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5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Under the Securities Exchange Act of 1934</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(Amendment No. 3)*</w:t>
      </w:r>
    </w:p>
    <w:p>
      <w:pPr>
        <w:spacing w:after="0" w:line="2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South Plains Financial,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35560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par value $1.00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83946P107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47" w:lineRule="exact"/>
        <w:rPr>
          <w:sz w:val="24"/>
          <w:szCs w:val="24"/>
          <w:color w:val="auto"/>
        </w:rPr>
      </w:pPr>
    </w:p>
    <w:p>
      <w:pPr>
        <w:ind w:left="960" w:hanging="304"/>
        <w:spacing w:after="0"/>
        <w:tabs>
          <w:tab w:leader="none" w:pos="9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13d-1(b)</w:t>
      </w:r>
    </w:p>
    <w:p>
      <w:pPr>
        <w:spacing w:after="0" w:line="247" w:lineRule="exact"/>
        <w:rPr>
          <w:sz w:val="24"/>
          <w:szCs w:val="24"/>
          <w:color w:val="auto"/>
        </w:rPr>
      </w:pPr>
    </w:p>
    <w:p>
      <w:pPr>
        <w:ind w:left="960" w:hanging="304"/>
        <w:spacing w:after="0"/>
        <w:tabs>
          <w:tab w:leader="none" w:pos="9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13d-1(c)</w:t>
      </w:r>
    </w:p>
    <w:p>
      <w:pPr>
        <w:spacing w:after="0" w:line="246" w:lineRule="exact"/>
        <w:rPr>
          <w:rFonts w:ascii="MS PGothic" w:cs="MS PGothic" w:eastAsia="MS PGothic" w:hAnsi="MS PGothic"/>
          <w:sz w:val="22"/>
          <w:szCs w:val="22"/>
          <w:color w:val="auto"/>
        </w:rPr>
      </w:pPr>
    </w:p>
    <w:p>
      <w:pPr>
        <w:ind w:left="960" w:hanging="304"/>
        <w:spacing w:after="0"/>
        <w:tabs>
          <w:tab w:leader="none" w:pos="96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color w:val="auto"/>
        </w:rPr>
        <w:t>Rule 13d-1(d)</w:t>
      </w:r>
    </w:p>
    <w:p>
      <w:pPr>
        <w:spacing w:after="0" w:line="233"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0"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w:t>
      </w:r>
      <w:r>
        <w:rPr>
          <w:rFonts w:ascii="Times New Roman" w:cs="Times New Roman" w:eastAsia="Times New Roman" w:hAnsi="Times New Roman"/>
          <w:sz w:val="22"/>
          <w:szCs w:val="22"/>
          <w:i w:val="1"/>
          <w:iCs w:val="1"/>
          <w:color w:val="auto"/>
        </w:rPr>
        <w:t>Notes</w:t>
      </w:r>
      <w:r>
        <w:rPr>
          <w:rFonts w:ascii="Times New Roman" w:cs="Times New Roman" w:eastAsia="Times New Roman" w:hAnsi="Times New Roman"/>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29"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87"/>
        </w:trPr>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60" w:type="dxa"/>
            <w:vAlign w:val="bottom"/>
          </w:tcPr>
          <w:p>
            <w:pPr>
              <w:ind w:left="960"/>
              <w:spacing w:after="0"/>
              <w:rPr>
                <w:sz w:val="20"/>
                <w:szCs w:val="20"/>
                <w:color w:val="auto"/>
              </w:rPr>
            </w:pPr>
            <w:r>
              <w:rPr>
                <w:rFonts w:ascii="Times New Roman" w:cs="Times New Roman" w:eastAsia="Times New Roman" w:hAnsi="Times New Roman"/>
                <w:sz w:val="22"/>
                <w:szCs w:val="22"/>
                <w:b w:val="1"/>
                <w:bCs w:val="1"/>
                <w:color w:val="auto"/>
              </w:rPr>
              <w:t>SCHEDULE 13G</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7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3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CUSIP No.</w:t>
            </w:r>
          </w:p>
        </w:tc>
        <w:tc>
          <w:tcPr>
            <w:tcW w:w="9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83946P107</w:t>
            </w:r>
          </w:p>
        </w:tc>
        <w:tc>
          <w:tcPr>
            <w:tcW w:w="4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40" w:type="dxa"/>
            <w:vAlign w:val="bottom"/>
            <w:tcBorders>
              <w:bottom w:val="single" w:sz="8" w:color="auto"/>
              <w:right w:val="single" w:sz="8" w:color="auto"/>
            </w:tcBorders>
          </w:tcPr>
          <w:p>
            <w:pPr>
              <w:spacing w:after="0"/>
              <w:rPr>
                <w:sz w:val="19"/>
                <w:szCs w:val="19"/>
                <w:color w:val="auto"/>
              </w:rPr>
            </w:pPr>
          </w:p>
        </w:tc>
        <w:tc>
          <w:tcPr>
            <w:tcW w:w="7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3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5"/>
          </w:tcPr>
          <w:p>
            <w:pPr>
              <w:spacing w:after="0"/>
              <w:rPr>
                <w:sz w:val="21"/>
                <w:szCs w:val="21"/>
                <w:color w:val="auto"/>
              </w:rPr>
            </w:pPr>
          </w:p>
        </w:tc>
        <w:tc>
          <w:tcPr>
            <w:tcW w:w="7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w:t>
            </w:r>
          </w:p>
        </w:tc>
        <w:tc>
          <w:tcPr>
            <w:tcW w:w="100" w:type="dxa"/>
            <w:vAlign w:val="bottom"/>
            <w:tcBorders>
              <w:right w:val="single" w:sz="8" w:color="auto"/>
            </w:tcBorders>
          </w:tcPr>
          <w:p>
            <w:pPr>
              <w:spacing w:after="0"/>
              <w:rPr>
                <w:sz w:val="20"/>
                <w:szCs w:val="20"/>
                <w:color w:val="auto"/>
              </w:rPr>
            </w:pP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20" w:type="dxa"/>
            <w:vAlign w:val="bottom"/>
            <w:vMerge w:val="continue"/>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South Plains Financial, Inc. Employee Stock Ownership Plan Trust (the “ESOP Trust”)</w:t>
            </w: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20" w:type="dxa"/>
            <w:vAlign w:val="bottom"/>
            <w:tcBorders>
              <w:bottom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2440" w:type="dxa"/>
            <w:vAlign w:val="bottom"/>
            <w:tcBorders>
              <w:bottom w:val="single" w:sz="8" w:color="auto"/>
            </w:tcBorders>
            <w:gridSpan w:val="5"/>
          </w:tcPr>
          <w:p>
            <w:pPr>
              <w:spacing w:after="0"/>
              <w:rPr>
                <w:sz w:val="14"/>
                <w:szCs w:val="14"/>
                <w:color w:val="auto"/>
              </w:rPr>
            </w:pPr>
          </w:p>
        </w:tc>
        <w:tc>
          <w:tcPr>
            <w:tcW w:w="726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2</w:t>
            </w:r>
          </w:p>
        </w:tc>
        <w:tc>
          <w:tcPr>
            <w:tcW w:w="100" w:type="dxa"/>
            <w:vAlign w:val="bottom"/>
            <w:tcBorders>
              <w:right w:val="single" w:sz="8" w:color="auto"/>
            </w:tcBorders>
          </w:tcPr>
          <w:p>
            <w:pPr>
              <w:spacing w:after="0"/>
              <w:rPr>
                <w:sz w:val="20"/>
                <w:szCs w:val="20"/>
                <w:color w:val="auto"/>
              </w:rPr>
            </w:pP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320" w:type="dxa"/>
            <w:vAlign w:val="bottom"/>
            <w:vMerge w:val="continue"/>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820" w:type="dxa"/>
            <w:vAlign w:val="bottom"/>
            <w:gridSpan w:val="2"/>
          </w:tcPr>
          <w:p>
            <w:pPr>
              <w:spacing w:after="0" w:line="207" w:lineRule="exact"/>
              <w:rPr>
                <w:sz w:val="20"/>
                <w:szCs w:val="20"/>
                <w:color w:val="auto"/>
              </w:rPr>
            </w:pP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32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gridSpan w:val="2"/>
          </w:tcPr>
          <w:p>
            <w:pPr>
              <w:spacing w:after="0" w:line="207" w:lineRule="exact"/>
              <w:rPr>
                <w:sz w:val="20"/>
                <w:szCs w:val="20"/>
                <w:color w:val="auto"/>
              </w:rPr>
            </w:pPr>
            <w:r>
              <w:rPr>
                <w:rFonts w:ascii="Times New Roman" w:cs="Times New Roman" w:eastAsia="Times New Roman" w:hAnsi="Times New Roman"/>
                <w:sz w:val="18"/>
                <w:szCs w:val="18"/>
                <w:color w:val="auto"/>
              </w:rPr>
              <w:t>(b)</w:t>
            </w:r>
            <w:r>
              <w:rPr>
                <w:rFonts w:ascii="MS PGothic" w:cs="MS PGothic" w:eastAsia="MS PGothic" w:hAnsi="MS PGothic"/>
                <w:sz w:val="18"/>
                <w:szCs w:val="18"/>
                <w:color w:val="auto"/>
              </w:rPr>
              <w:t>☐</w:t>
            </w: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726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3</w:t>
            </w:r>
          </w:p>
        </w:tc>
        <w:tc>
          <w:tcPr>
            <w:tcW w:w="100" w:type="dxa"/>
            <w:vAlign w:val="bottom"/>
            <w:tcBorders>
              <w:right w:val="single" w:sz="8" w:color="auto"/>
            </w:tcBorders>
          </w:tcPr>
          <w:p>
            <w:pPr>
              <w:spacing w:after="0"/>
              <w:rPr>
                <w:sz w:val="20"/>
                <w:szCs w:val="20"/>
                <w:color w:val="auto"/>
              </w:rPr>
            </w:pPr>
          </w:p>
        </w:tc>
        <w:tc>
          <w:tcPr>
            <w:tcW w:w="1300" w:type="dxa"/>
            <w:vAlign w:val="bottom"/>
            <w:gridSpan w:val="4"/>
            <w:shd w:val="clear" w:color="auto" w:fill="BFBFBF"/>
          </w:tcPr>
          <w:p>
            <w:pPr>
              <w:spacing w:after="0"/>
              <w:rPr>
                <w:sz w:val="20"/>
                <w:szCs w:val="20"/>
                <w:color w:val="auto"/>
              </w:rPr>
            </w:pPr>
            <w:r>
              <w:rPr>
                <w:rFonts w:ascii="Times New Roman" w:cs="Times New Roman" w:eastAsia="Times New Roman" w:hAnsi="Times New Roman"/>
                <w:sz w:val="18"/>
                <w:szCs w:val="18"/>
                <w:b w:val="1"/>
                <w:bCs w:val="1"/>
                <w:color w:val="auto"/>
                <w:w w:val="97"/>
              </w:rPr>
              <w:t>SEC USE ONLY</w:t>
            </w:r>
          </w:p>
        </w:tc>
        <w:tc>
          <w:tcPr>
            <w:tcW w:w="1140" w:type="dxa"/>
            <w:vAlign w:val="bottom"/>
            <w:tcBorders>
              <w:right w:val="single" w:sz="8" w:color="BFBFBF"/>
            </w:tcBorders>
            <w:shd w:val="clear" w:color="auto" w:fill="BFBFBF"/>
          </w:tcPr>
          <w:p>
            <w:pPr>
              <w:spacing w:after="0"/>
              <w:rPr>
                <w:sz w:val="20"/>
                <w:szCs w:val="20"/>
                <w:color w:val="auto"/>
              </w:rPr>
            </w:pPr>
          </w:p>
        </w:tc>
        <w:tc>
          <w:tcPr>
            <w:tcW w:w="7260" w:type="dxa"/>
            <w:vAlign w:val="bottom"/>
            <w:shd w:val="clear" w:color="auto" w:fill="BFBFBF"/>
          </w:tcPr>
          <w:p>
            <w:pPr>
              <w:spacing w:after="0"/>
              <w:rPr>
                <w:sz w:val="20"/>
                <w:szCs w:val="20"/>
                <w:color w:val="auto"/>
              </w:rPr>
            </w:pPr>
          </w:p>
        </w:tc>
        <w:tc>
          <w:tcPr>
            <w:tcW w:w="120" w:type="dxa"/>
            <w:vAlign w:val="bottom"/>
            <w:tcBorders>
              <w:right w:val="single" w:sz="8" w:color="auto"/>
            </w:tcBorders>
            <w:shd w:val="clear" w:color="auto" w:fill="BFBFBF"/>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320" w:type="dxa"/>
            <w:vAlign w:val="bottom"/>
            <w:vMerge w:val="continue"/>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20" w:type="dxa"/>
            <w:vAlign w:val="bottom"/>
            <w:tcBorders>
              <w:right w:val="single" w:sz="8" w:color="BFBFBF"/>
            </w:tcBorders>
            <w:shd w:val="clear" w:color="auto" w:fill="BFBFBF"/>
          </w:tcPr>
          <w:p>
            <w:pPr>
              <w:spacing w:after="0"/>
              <w:rPr>
                <w:sz w:val="24"/>
                <w:szCs w:val="24"/>
                <w:color w:val="auto"/>
              </w:rPr>
            </w:pPr>
          </w:p>
        </w:tc>
        <w:tc>
          <w:tcPr>
            <w:tcW w:w="200" w:type="dxa"/>
            <w:vAlign w:val="bottom"/>
            <w:shd w:val="clear" w:color="auto" w:fill="BFBFBF"/>
          </w:tcPr>
          <w:p>
            <w:pPr>
              <w:spacing w:after="0"/>
              <w:rPr>
                <w:sz w:val="24"/>
                <w:szCs w:val="24"/>
                <w:color w:val="auto"/>
              </w:rPr>
            </w:pPr>
          </w:p>
        </w:tc>
        <w:tc>
          <w:tcPr>
            <w:tcW w:w="460" w:type="dxa"/>
            <w:vAlign w:val="bottom"/>
            <w:tcBorders>
              <w:right w:val="single" w:sz="8" w:color="BFBFBF"/>
            </w:tcBorders>
            <w:shd w:val="clear" w:color="auto" w:fill="BFBFBF"/>
          </w:tcPr>
          <w:p>
            <w:pPr>
              <w:spacing w:after="0"/>
              <w:rPr>
                <w:sz w:val="24"/>
                <w:szCs w:val="24"/>
                <w:color w:val="auto"/>
              </w:rPr>
            </w:pPr>
          </w:p>
        </w:tc>
        <w:tc>
          <w:tcPr>
            <w:tcW w:w="20" w:type="dxa"/>
            <w:vAlign w:val="bottom"/>
            <w:shd w:val="clear" w:color="auto" w:fill="BFBFBF"/>
          </w:tcPr>
          <w:p>
            <w:pPr>
              <w:spacing w:after="0"/>
              <w:rPr>
                <w:sz w:val="24"/>
                <w:szCs w:val="24"/>
                <w:color w:val="auto"/>
              </w:rPr>
            </w:pPr>
          </w:p>
        </w:tc>
        <w:tc>
          <w:tcPr>
            <w:tcW w:w="1140" w:type="dxa"/>
            <w:vAlign w:val="bottom"/>
            <w:tcBorders>
              <w:right w:val="single" w:sz="8" w:color="BFBFBF"/>
            </w:tcBorders>
            <w:shd w:val="clear" w:color="auto" w:fill="BFBFBF"/>
          </w:tcPr>
          <w:p>
            <w:pPr>
              <w:spacing w:after="0"/>
              <w:rPr>
                <w:sz w:val="24"/>
                <w:szCs w:val="24"/>
                <w:color w:val="auto"/>
              </w:rPr>
            </w:pPr>
          </w:p>
        </w:tc>
        <w:tc>
          <w:tcPr>
            <w:tcW w:w="7260" w:type="dxa"/>
            <w:vAlign w:val="bottom"/>
            <w:shd w:val="clear" w:color="auto" w:fill="BFBFBF"/>
          </w:tcPr>
          <w:p>
            <w:pPr>
              <w:spacing w:after="0"/>
              <w:rPr>
                <w:sz w:val="24"/>
                <w:szCs w:val="24"/>
                <w:color w:val="auto"/>
              </w:rPr>
            </w:pPr>
          </w:p>
        </w:tc>
        <w:tc>
          <w:tcPr>
            <w:tcW w:w="120" w:type="dxa"/>
            <w:vAlign w:val="bottom"/>
            <w:tcBorders>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320" w:type="dxa"/>
            <w:vAlign w:val="bottom"/>
            <w:tcBorders>
              <w:bottom w:val="single" w:sz="8" w:color="auto"/>
            </w:tcBorders>
          </w:tcPr>
          <w:p>
            <w:pPr>
              <w:spacing w:after="0"/>
              <w:rPr>
                <w:sz w:val="23"/>
                <w:szCs w:val="23"/>
                <w:color w:val="auto"/>
              </w:rPr>
            </w:pPr>
          </w:p>
        </w:tc>
        <w:tc>
          <w:tcPr>
            <w:tcW w:w="100" w:type="dxa"/>
            <w:vAlign w:val="bottom"/>
            <w:tcBorders>
              <w:bottom w:val="single" w:sz="8" w:color="auto"/>
              <w:right w:val="single" w:sz="8" w:color="auto"/>
            </w:tcBorders>
          </w:tcPr>
          <w:p>
            <w:pPr>
              <w:spacing w:after="0"/>
              <w:rPr>
                <w:sz w:val="23"/>
                <w:szCs w:val="23"/>
                <w:color w:val="auto"/>
              </w:rPr>
            </w:pPr>
          </w:p>
        </w:tc>
        <w:tc>
          <w:tcPr>
            <w:tcW w:w="620" w:type="dxa"/>
            <w:vAlign w:val="bottom"/>
            <w:tcBorders>
              <w:bottom w:val="single" w:sz="8" w:color="auto"/>
              <w:right w:val="single" w:sz="8" w:color="BFBFBF"/>
            </w:tcBorders>
            <w:shd w:val="clear" w:color="auto" w:fill="BFBFBF"/>
          </w:tcPr>
          <w:p>
            <w:pPr>
              <w:spacing w:after="0"/>
              <w:rPr>
                <w:sz w:val="23"/>
                <w:szCs w:val="23"/>
                <w:color w:val="auto"/>
              </w:rPr>
            </w:pPr>
          </w:p>
        </w:tc>
        <w:tc>
          <w:tcPr>
            <w:tcW w:w="200" w:type="dxa"/>
            <w:vAlign w:val="bottom"/>
            <w:tcBorders>
              <w:bottom w:val="single" w:sz="8" w:color="auto"/>
            </w:tcBorders>
            <w:shd w:val="clear" w:color="auto" w:fill="BFBFBF"/>
          </w:tcPr>
          <w:p>
            <w:pPr>
              <w:spacing w:after="0"/>
              <w:rPr>
                <w:sz w:val="23"/>
                <w:szCs w:val="23"/>
                <w:color w:val="auto"/>
              </w:rPr>
            </w:pPr>
          </w:p>
        </w:tc>
        <w:tc>
          <w:tcPr>
            <w:tcW w:w="460" w:type="dxa"/>
            <w:vAlign w:val="bottom"/>
            <w:tcBorders>
              <w:bottom w:val="single" w:sz="8" w:color="auto"/>
              <w:right w:val="single" w:sz="8" w:color="BFBFBF"/>
            </w:tcBorders>
            <w:shd w:val="clear" w:color="auto" w:fill="BFBFBF"/>
          </w:tcPr>
          <w:p>
            <w:pPr>
              <w:spacing w:after="0"/>
              <w:rPr>
                <w:sz w:val="23"/>
                <w:szCs w:val="23"/>
                <w:color w:val="auto"/>
              </w:rPr>
            </w:pPr>
          </w:p>
        </w:tc>
        <w:tc>
          <w:tcPr>
            <w:tcW w:w="20" w:type="dxa"/>
            <w:vAlign w:val="bottom"/>
            <w:tcBorders>
              <w:bottom w:val="single" w:sz="8" w:color="auto"/>
            </w:tcBorders>
            <w:shd w:val="clear" w:color="auto" w:fill="BFBFBF"/>
          </w:tcPr>
          <w:p>
            <w:pPr>
              <w:spacing w:after="0"/>
              <w:rPr>
                <w:sz w:val="23"/>
                <w:szCs w:val="23"/>
                <w:color w:val="auto"/>
              </w:rPr>
            </w:pPr>
          </w:p>
        </w:tc>
        <w:tc>
          <w:tcPr>
            <w:tcW w:w="1140" w:type="dxa"/>
            <w:vAlign w:val="bottom"/>
            <w:tcBorders>
              <w:bottom w:val="single" w:sz="8" w:color="auto"/>
              <w:right w:val="single" w:sz="8" w:color="BFBFBF"/>
            </w:tcBorders>
            <w:shd w:val="clear" w:color="auto" w:fill="BFBFBF"/>
          </w:tcPr>
          <w:p>
            <w:pPr>
              <w:spacing w:after="0"/>
              <w:rPr>
                <w:sz w:val="23"/>
                <w:szCs w:val="23"/>
                <w:color w:val="auto"/>
              </w:rPr>
            </w:pPr>
          </w:p>
        </w:tc>
        <w:tc>
          <w:tcPr>
            <w:tcW w:w="7260" w:type="dxa"/>
            <w:vAlign w:val="bottom"/>
            <w:tcBorders>
              <w:bottom w:val="single" w:sz="8" w:color="auto"/>
            </w:tcBorders>
            <w:shd w:val="clear" w:color="auto" w:fill="BFBFBF"/>
          </w:tcPr>
          <w:p>
            <w:pPr>
              <w:spacing w:after="0"/>
              <w:rPr>
                <w:sz w:val="23"/>
                <w:szCs w:val="23"/>
                <w:color w:val="auto"/>
              </w:rPr>
            </w:pPr>
          </w:p>
        </w:tc>
        <w:tc>
          <w:tcPr>
            <w:tcW w:w="120" w:type="dxa"/>
            <w:vAlign w:val="bottom"/>
            <w:tcBorders>
              <w:bottom w:val="single" w:sz="8" w:color="auto"/>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4</w:t>
            </w:r>
          </w:p>
        </w:tc>
        <w:tc>
          <w:tcPr>
            <w:tcW w:w="100" w:type="dxa"/>
            <w:vAlign w:val="bottom"/>
            <w:tcBorders>
              <w:right w:val="single" w:sz="8" w:color="auto"/>
            </w:tcBorders>
          </w:tcPr>
          <w:p>
            <w:pPr>
              <w:spacing w:after="0"/>
              <w:rPr>
                <w:sz w:val="20"/>
                <w:szCs w:val="20"/>
                <w:color w:val="auto"/>
              </w:rPr>
            </w:pP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20" w:type="dxa"/>
            <w:vAlign w:val="bottom"/>
            <w:vMerge w:val="continue"/>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3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State of Texas</w:t>
            </w:r>
          </w:p>
        </w:tc>
        <w:tc>
          <w:tcPr>
            <w:tcW w:w="114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20" w:type="dxa"/>
            <w:vAlign w:val="bottom"/>
            <w:tcBorders>
              <w:bottom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726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5</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0</w:t>
            </w:r>
          </w:p>
        </w:tc>
        <w:tc>
          <w:tcPr>
            <w:tcW w:w="72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right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right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726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6</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200" w:type="dxa"/>
            <w:vAlign w:val="bottom"/>
          </w:tcPr>
          <w:p>
            <w:pPr>
              <w:spacing w:after="0"/>
              <w:rPr>
                <w:sz w:val="19"/>
                <w:szCs w:val="19"/>
                <w:color w:val="auto"/>
              </w:rPr>
            </w:pPr>
          </w:p>
        </w:tc>
        <w:tc>
          <w:tcPr>
            <w:tcW w:w="460" w:type="dxa"/>
            <w:vAlign w:val="bottom"/>
            <w:tcBorders>
              <w:right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403,120</w:t>
            </w:r>
          </w:p>
        </w:tc>
        <w:tc>
          <w:tcPr>
            <w:tcW w:w="726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200" w:type="dxa"/>
            <w:vAlign w:val="bottom"/>
          </w:tcPr>
          <w:p>
            <w:pPr>
              <w:spacing w:after="0"/>
              <w:rPr>
                <w:sz w:val="18"/>
                <w:szCs w:val="18"/>
                <w:color w:val="auto"/>
              </w:rPr>
            </w:pPr>
          </w:p>
        </w:tc>
        <w:tc>
          <w:tcPr>
            <w:tcW w:w="460" w:type="dxa"/>
            <w:vAlign w:val="bottom"/>
            <w:tcBorders>
              <w:righ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72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204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200" w:type="dxa"/>
            <w:vAlign w:val="bottom"/>
            <w:tcBorders>
              <w:bottom w:val="single" w:sz="8" w:color="auto"/>
            </w:tcBorders>
          </w:tcPr>
          <w:p>
            <w:pPr>
              <w:spacing w:after="0"/>
              <w:rPr>
                <w:sz w:val="11"/>
                <w:szCs w:val="11"/>
                <w:color w:val="auto"/>
              </w:rPr>
            </w:pPr>
          </w:p>
        </w:tc>
        <w:tc>
          <w:tcPr>
            <w:tcW w:w="460" w:type="dxa"/>
            <w:vAlign w:val="bottom"/>
            <w:tcBorders>
              <w:bottom w:val="single" w:sz="8" w:color="auto"/>
              <w:right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7260" w:type="dxa"/>
            <w:vAlign w:val="bottom"/>
            <w:tcBorders>
              <w:bottom w:val="single" w:sz="8" w:color="auto"/>
            </w:tcBorders>
          </w:tcPr>
          <w:p>
            <w:pPr>
              <w:spacing w:after="0"/>
              <w:rPr>
                <w:sz w:val="11"/>
                <w:szCs w:val="11"/>
                <w:color w:val="auto"/>
              </w:rPr>
            </w:pPr>
          </w:p>
        </w:tc>
        <w:tc>
          <w:tcPr>
            <w:tcW w:w="1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6"/>
        </w:trPr>
        <w:tc>
          <w:tcPr>
            <w:tcW w:w="2040" w:type="dxa"/>
            <w:vAlign w:val="bottom"/>
            <w:tcBorders>
              <w:right w:val="single" w:sz="8" w:color="auto"/>
            </w:tcBorders>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46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8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REPORTING PERSON</w:t>
            </w:r>
          </w:p>
        </w:tc>
        <w:tc>
          <w:tcPr>
            <w:tcW w:w="200" w:type="dxa"/>
            <w:vAlign w:val="bottom"/>
          </w:tcPr>
          <w:p>
            <w:pPr>
              <w:spacing w:after="0"/>
              <w:rPr>
                <w:sz w:val="18"/>
                <w:szCs w:val="18"/>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7</w:t>
            </w:r>
          </w:p>
        </w:tc>
        <w:tc>
          <w:tcPr>
            <w:tcW w:w="20" w:type="dxa"/>
            <w:vAlign w:val="bottom"/>
          </w:tcPr>
          <w:p>
            <w:pPr>
              <w:spacing w:after="0"/>
              <w:rPr>
                <w:sz w:val="18"/>
                <w:szCs w:val="18"/>
                <w:color w:val="auto"/>
              </w:rPr>
            </w:pPr>
          </w:p>
        </w:tc>
        <w:tc>
          <w:tcPr>
            <w:tcW w:w="8400" w:type="dxa"/>
            <w:vAlign w:val="bottom"/>
            <w:gridSpan w:val="2"/>
            <w:vMerge w:val="continue"/>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1320" w:type="dxa"/>
            <w:vAlign w:val="bottom"/>
            <w:vMerge w:val="restart"/>
          </w:tcPr>
          <w:p>
            <w:pPr>
              <w:jc w:val="center"/>
              <w:ind w:left="589"/>
              <w:spacing w:after="0"/>
              <w:rPr>
                <w:sz w:val="20"/>
                <w:szCs w:val="20"/>
                <w:color w:val="auto"/>
              </w:rPr>
            </w:pPr>
            <w:r>
              <w:rPr>
                <w:rFonts w:ascii="Times New Roman" w:cs="Times New Roman" w:eastAsia="Times New Roman" w:hAnsi="Times New Roman"/>
                <w:sz w:val="18"/>
                <w:szCs w:val="18"/>
                <w:b w:val="1"/>
                <w:bCs w:val="1"/>
                <w:color w:val="auto"/>
              </w:rPr>
              <w:t>WITH</w:t>
            </w:r>
          </w:p>
        </w:tc>
        <w:tc>
          <w:tcPr>
            <w:tcW w:w="100" w:type="dxa"/>
            <w:vAlign w:val="bottom"/>
          </w:tcPr>
          <w:p>
            <w:pPr>
              <w:spacing w:after="0"/>
              <w:rPr>
                <w:sz w:val="16"/>
                <w:szCs w:val="16"/>
                <w:color w:val="auto"/>
              </w:rPr>
            </w:pPr>
          </w:p>
        </w:tc>
        <w:tc>
          <w:tcPr>
            <w:tcW w:w="62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Borders>
              <w:right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0</w:t>
            </w:r>
          </w:p>
        </w:tc>
        <w:tc>
          <w:tcPr>
            <w:tcW w:w="72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3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right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60" w:type="dxa"/>
            <w:vAlign w:val="bottom"/>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right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7260" w:type="dxa"/>
            <w:vAlign w:val="bottom"/>
            <w:tcBorders>
              <w:bottom w:val="single" w:sz="8" w:color="auto"/>
            </w:tcBorders>
          </w:tcPr>
          <w:p>
            <w:pPr>
              <w:spacing w:after="0"/>
              <w:rPr>
                <w:sz w:val="24"/>
                <w:szCs w:val="24"/>
                <w:color w:val="auto"/>
              </w:rPr>
            </w:pPr>
          </w:p>
        </w:tc>
        <w:tc>
          <w:tcPr>
            <w:tcW w:w="1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Borders>
              <w:right w:val="single" w:sz="8" w:color="auto"/>
            </w:tcBorders>
            <w:vMerge w:val="restart"/>
          </w:tcPr>
          <w:p>
            <w:pPr>
              <w:jc w:val="right"/>
              <w:ind w:right="98"/>
              <w:spacing w:after="0"/>
              <w:rPr>
                <w:sz w:val="20"/>
                <w:szCs w:val="20"/>
                <w:color w:val="auto"/>
              </w:rPr>
            </w:pPr>
            <w:r>
              <w:rPr>
                <w:rFonts w:ascii="Times New Roman" w:cs="Times New Roman" w:eastAsia="Times New Roman" w:hAnsi="Times New Roman"/>
                <w:sz w:val="32"/>
                <w:szCs w:val="32"/>
                <w:b w:val="1"/>
                <w:bCs w:val="1"/>
                <w:color w:val="auto"/>
              </w:rPr>
              <w:t>8</w:t>
            </w:r>
          </w:p>
        </w:tc>
        <w:tc>
          <w:tcPr>
            <w:tcW w:w="20" w:type="dxa"/>
            <w:vAlign w:val="bottom"/>
          </w:tcPr>
          <w:p>
            <w:pPr>
              <w:spacing w:after="0"/>
              <w:rPr>
                <w:sz w:val="20"/>
                <w:szCs w:val="20"/>
                <w:color w:val="auto"/>
              </w:rPr>
            </w:pPr>
          </w:p>
        </w:tc>
        <w:tc>
          <w:tcPr>
            <w:tcW w:w="8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Borders>
              <w:right w:val="single" w:sz="8" w:color="auto"/>
            </w:tcBorders>
            <w:vMerge w:val="continue"/>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403,120</w:t>
            </w:r>
          </w:p>
        </w:tc>
        <w:tc>
          <w:tcPr>
            <w:tcW w:w="72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right w:val="single" w:sz="8" w:color="auto"/>
            </w:tcBorders>
          </w:tcPr>
          <w:p>
            <w:pPr>
              <w:spacing w:after="0"/>
              <w:rPr>
                <w:sz w:val="14"/>
                <w:szCs w:val="14"/>
                <w:color w:val="auto"/>
              </w:rPr>
            </w:pPr>
          </w:p>
        </w:tc>
        <w:tc>
          <w:tcPr>
            <w:tcW w:w="660" w:type="dxa"/>
            <w:vAlign w:val="bottom"/>
            <w:tcBorders>
              <w:bottom w:val="single" w:sz="8" w:color="auto"/>
              <w:right w:val="single" w:sz="8" w:color="auto"/>
            </w:tcBorders>
            <w:gridSpan w:val="2"/>
          </w:tcPr>
          <w:p>
            <w:pPr>
              <w:spacing w:after="0"/>
              <w:rPr>
                <w:sz w:val="14"/>
                <w:szCs w:val="14"/>
                <w:color w:val="auto"/>
              </w:rPr>
            </w:pPr>
          </w:p>
        </w:tc>
        <w:tc>
          <w:tcPr>
            <w:tcW w:w="1160" w:type="dxa"/>
            <w:vAlign w:val="bottom"/>
            <w:tcBorders>
              <w:bottom w:val="single" w:sz="8" w:color="auto"/>
            </w:tcBorders>
            <w:gridSpan w:val="2"/>
          </w:tcPr>
          <w:p>
            <w:pPr>
              <w:spacing w:after="0"/>
              <w:rPr>
                <w:sz w:val="14"/>
                <w:szCs w:val="14"/>
                <w:color w:val="auto"/>
              </w:rPr>
            </w:pPr>
          </w:p>
        </w:tc>
        <w:tc>
          <w:tcPr>
            <w:tcW w:w="726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9</w:t>
            </w:r>
          </w:p>
        </w:tc>
        <w:tc>
          <w:tcPr>
            <w:tcW w:w="100" w:type="dxa"/>
            <w:vAlign w:val="bottom"/>
            <w:tcBorders>
              <w:right w:val="single" w:sz="8" w:color="auto"/>
            </w:tcBorders>
          </w:tcPr>
          <w:p>
            <w:pPr>
              <w:spacing w:after="0"/>
              <w:rPr>
                <w:sz w:val="20"/>
                <w:szCs w:val="20"/>
                <w:color w:val="auto"/>
              </w:rPr>
            </w:pP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20" w:type="dxa"/>
            <w:vAlign w:val="bottom"/>
            <w:vMerge w:val="continue"/>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6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5"/>
              </w:rPr>
              <w:t>403,120</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20" w:type="dxa"/>
            <w:vAlign w:val="bottom"/>
            <w:tcBorders>
              <w:bottom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1160" w:type="dxa"/>
            <w:vAlign w:val="bottom"/>
            <w:tcBorders>
              <w:bottom w:val="single" w:sz="8" w:color="auto"/>
            </w:tcBorders>
            <w:gridSpan w:val="2"/>
          </w:tcPr>
          <w:p>
            <w:pPr>
              <w:spacing w:after="0"/>
              <w:rPr>
                <w:sz w:val="14"/>
                <w:szCs w:val="14"/>
                <w:color w:val="auto"/>
              </w:rPr>
            </w:pPr>
          </w:p>
        </w:tc>
        <w:tc>
          <w:tcPr>
            <w:tcW w:w="726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10</w:t>
            </w:r>
          </w:p>
        </w:tc>
        <w:tc>
          <w:tcPr>
            <w:tcW w:w="100" w:type="dxa"/>
            <w:vAlign w:val="bottom"/>
            <w:tcBorders>
              <w:right w:val="single" w:sz="8" w:color="auto"/>
            </w:tcBorders>
          </w:tcPr>
          <w:p>
            <w:pPr>
              <w:spacing w:after="0"/>
              <w:rPr>
                <w:sz w:val="20"/>
                <w:szCs w:val="20"/>
                <w:color w:val="auto"/>
              </w:rPr>
            </w:pP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CHECK IF THE AGGREGATE AMOUNT IN ROW (9) EXCLUDES CERTAIN SHARES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25"/>
        </w:trPr>
        <w:tc>
          <w:tcPr>
            <w:tcW w:w="1320" w:type="dxa"/>
            <w:vAlign w:val="bottom"/>
            <w:vMerge w:val="continue"/>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82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132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gridSpan w:val="2"/>
          </w:tcPr>
          <w:p>
            <w:pPr>
              <w:spacing w:after="0"/>
              <w:rPr>
                <w:sz w:val="12"/>
                <w:szCs w:val="12"/>
                <w:color w:val="auto"/>
              </w:rPr>
            </w:pPr>
          </w:p>
        </w:tc>
        <w:tc>
          <w:tcPr>
            <w:tcW w:w="1160" w:type="dxa"/>
            <w:vAlign w:val="bottom"/>
            <w:tcBorders>
              <w:bottom w:val="single" w:sz="8" w:color="auto"/>
            </w:tcBorders>
            <w:gridSpan w:val="2"/>
          </w:tcPr>
          <w:p>
            <w:pPr>
              <w:spacing w:after="0"/>
              <w:rPr>
                <w:sz w:val="12"/>
                <w:szCs w:val="12"/>
                <w:color w:val="auto"/>
              </w:rPr>
            </w:pPr>
          </w:p>
        </w:tc>
        <w:tc>
          <w:tcPr>
            <w:tcW w:w="7260" w:type="dxa"/>
            <w:vAlign w:val="bottom"/>
            <w:tcBorders>
              <w:bottom w:val="single" w:sz="8" w:color="auto"/>
            </w:tcBorders>
          </w:tcPr>
          <w:p>
            <w:pPr>
              <w:spacing w:after="0"/>
              <w:rPr>
                <w:sz w:val="12"/>
                <w:szCs w:val="12"/>
                <w:color w:val="auto"/>
              </w:rPr>
            </w:pPr>
          </w:p>
        </w:tc>
        <w:tc>
          <w:tcPr>
            <w:tcW w:w="1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37"/>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3"/>
              </w:rPr>
              <w:t>11</w:t>
            </w:r>
          </w:p>
        </w:tc>
        <w:tc>
          <w:tcPr>
            <w:tcW w:w="100" w:type="dxa"/>
            <w:vAlign w:val="bottom"/>
            <w:tcBorders>
              <w:right w:val="single" w:sz="8" w:color="auto"/>
            </w:tcBorders>
          </w:tcPr>
          <w:p>
            <w:pPr>
              <w:spacing w:after="0"/>
              <w:rPr>
                <w:sz w:val="20"/>
                <w:szCs w:val="20"/>
                <w:color w:val="auto"/>
              </w:rPr>
            </w:pP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20" w:type="dxa"/>
            <w:vAlign w:val="bottom"/>
            <w:vMerge w:val="continue"/>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2.36% (1)</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20" w:type="dxa"/>
            <w:vAlign w:val="bottom"/>
            <w:tcBorders>
              <w:bottom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spacing w:after="0"/>
              <w:rPr>
                <w:sz w:val="14"/>
                <w:szCs w:val="14"/>
                <w:color w:val="auto"/>
              </w:rPr>
            </w:pPr>
          </w:p>
        </w:tc>
        <w:tc>
          <w:tcPr>
            <w:tcW w:w="1160" w:type="dxa"/>
            <w:vAlign w:val="bottom"/>
            <w:tcBorders>
              <w:bottom w:val="single" w:sz="8" w:color="auto"/>
            </w:tcBorders>
            <w:gridSpan w:val="2"/>
          </w:tcPr>
          <w:p>
            <w:pPr>
              <w:spacing w:after="0"/>
              <w:rPr>
                <w:sz w:val="14"/>
                <w:szCs w:val="14"/>
                <w:color w:val="auto"/>
              </w:rPr>
            </w:pPr>
          </w:p>
        </w:tc>
        <w:tc>
          <w:tcPr>
            <w:tcW w:w="726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32"/>
                <w:szCs w:val="32"/>
                <w:b w:val="1"/>
                <w:bCs w:val="1"/>
                <w:color w:val="auto"/>
                <w:w w:val="99"/>
              </w:rPr>
              <w:t>12</w:t>
            </w:r>
          </w:p>
        </w:tc>
        <w:tc>
          <w:tcPr>
            <w:tcW w:w="100" w:type="dxa"/>
            <w:vAlign w:val="bottom"/>
            <w:tcBorders>
              <w:right w:val="single" w:sz="8" w:color="auto"/>
            </w:tcBorders>
          </w:tcPr>
          <w:p>
            <w:pPr>
              <w:spacing w:after="0"/>
              <w:rPr>
                <w:sz w:val="20"/>
                <w:szCs w:val="20"/>
                <w:color w:val="auto"/>
              </w:rPr>
            </w:pPr>
          </w:p>
        </w:tc>
        <w:tc>
          <w:tcPr>
            <w:tcW w:w="97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320" w:type="dxa"/>
            <w:vAlign w:val="bottom"/>
            <w:vMerge w:val="continue"/>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EP</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320" w:type="dxa"/>
            <w:vAlign w:val="bottom"/>
            <w:tcBorders>
              <w:bottom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7260" w:type="dxa"/>
            <w:vAlign w:val="bottom"/>
            <w:tcBorders>
              <w:bottom w:val="single" w:sz="8" w:color="auto"/>
            </w:tcBorders>
          </w:tcPr>
          <w:p>
            <w:pPr>
              <w:spacing w:after="0"/>
              <w:rPr>
                <w:sz w:val="14"/>
                <w:szCs w:val="14"/>
                <w:color w:val="auto"/>
              </w:rPr>
            </w:pPr>
          </w:p>
        </w:tc>
        <w:tc>
          <w:tcPr>
            <w:tcW w:w="12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ind w:left="980"/>
        <w:spacing w:after="0"/>
        <w:rPr>
          <w:sz w:val="20"/>
          <w:szCs w:val="20"/>
          <w:color w:val="auto"/>
        </w:rPr>
      </w:pPr>
      <w:r>
        <w:rPr>
          <w:rFonts w:ascii="Times New Roman" w:cs="Times New Roman" w:eastAsia="Times New Roman" w:hAnsi="Times New Roman"/>
          <w:sz w:val="18"/>
          <w:szCs w:val="18"/>
          <w:color w:val="auto"/>
        </w:rPr>
        <w:t>(1)  Percentage based on 17,062,572 shares of common stock outstanding as of March 31, 2023.</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2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243"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Name of issuer: </w:t>
      </w:r>
      <w:r>
        <w:rPr>
          <w:rFonts w:ascii="Times New Roman" w:cs="Times New Roman" w:eastAsia="Times New Roman" w:hAnsi="Times New Roman"/>
          <w:sz w:val="18"/>
          <w:szCs w:val="18"/>
          <w:color w:val="auto"/>
        </w:rPr>
        <w:t>South Plains Financial, Inc. (the “Company”)</w:t>
      </w:r>
    </w:p>
    <w:p>
      <w:pPr>
        <w:spacing w:after="0" w:line="252"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Address of issuer’s principal executive offices: </w:t>
      </w:r>
      <w:r>
        <w:rPr>
          <w:rFonts w:ascii="Times New Roman" w:cs="Times New Roman" w:eastAsia="Times New Roman" w:hAnsi="Times New Roman"/>
          <w:sz w:val="18"/>
          <w:szCs w:val="18"/>
          <w:color w:val="auto"/>
        </w:rPr>
        <w:t>5219 City Bank Parkway, Lubbock, Texas 79407</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242"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Name of person filing: </w:t>
      </w:r>
      <w:r>
        <w:rPr>
          <w:rFonts w:ascii="Times New Roman" w:cs="Times New Roman" w:eastAsia="Times New Roman" w:hAnsi="Times New Roman"/>
          <w:sz w:val="18"/>
          <w:szCs w:val="18"/>
          <w:color w:val="auto"/>
        </w:rPr>
        <w:t>South Plains Financial, Inc. Employee Stock Ownership Plan Trust (the “ESOP Trust”)</w:t>
      </w:r>
    </w:p>
    <w:p>
      <w:pPr>
        <w:spacing w:after="0" w:line="252"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or principal business office or, if none, residence:</w:t>
      </w:r>
    </w:p>
    <w:p>
      <w:pPr>
        <w:spacing w:after="0" w:line="247" w:lineRule="exact"/>
        <w:rPr>
          <w:sz w:val="20"/>
          <w:szCs w:val="20"/>
          <w:color w:val="auto"/>
        </w:rPr>
      </w:pPr>
    </w:p>
    <w:p>
      <w:pPr>
        <w:ind w:left="660" w:right="380"/>
        <w:spacing w:after="0" w:line="258" w:lineRule="auto"/>
        <w:rPr>
          <w:sz w:val="20"/>
          <w:szCs w:val="20"/>
          <w:color w:val="auto"/>
        </w:rPr>
      </w:pPr>
      <w:r>
        <w:rPr>
          <w:rFonts w:ascii="Times New Roman" w:cs="Times New Roman" w:eastAsia="Times New Roman" w:hAnsi="Times New Roman"/>
          <w:sz w:val="22"/>
          <w:szCs w:val="22"/>
          <w:color w:val="auto"/>
        </w:rPr>
        <w:t>c/o City Bank Trust Department and Kendra Lane (collectively, the “Trustees”), 5219 City Bank Parkway, Lubbock, Texas 79407</w:t>
      </w:r>
    </w:p>
    <w:p>
      <w:pPr>
        <w:spacing w:after="0" w:line="190"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Citizenship: </w:t>
      </w:r>
      <w:r>
        <w:rPr>
          <w:rFonts w:ascii="Times New Roman" w:cs="Times New Roman" w:eastAsia="Times New Roman" w:hAnsi="Times New Roman"/>
          <w:sz w:val="18"/>
          <w:szCs w:val="18"/>
          <w:color w:val="auto"/>
        </w:rPr>
        <w:t>State of Texas</w:t>
      </w:r>
    </w:p>
    <w:p>
      <w:pPr>
        <w:spacing w:after="0" w:line="252"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Title of class of securities: </w:t>
      </w:r>
      <w:r>
        <w:rPr>
          <w:rFonts w:ascii="Times New Roman" w:cs="Times New Roman" w:eastAsia="Times New Roman" w:hAnsi="Times New Roman"/>
          <w:sz w:val="18"/>
          <w:szCs w:val="18"/>
          <w:color w:val="auto"/>
        </w:rPr>
        <w:t>Common Stock, par value $1.00 per share</w:t>
      </w:r>
    </w:p>
    <w:p>
      <w:pPr>
        <w:spacing w:after="0" w:line="252"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CUSIP No.: </w:t>
      </w:r>
      <w:r>
        <w:rPr>
          <w:rFonts w:ascii="Times New Roman" w:cs="Times New Roman" w:eastAsia="Times New Roman" w:hAnsi="Times New Roman"/>
          <w:sz w:val="18"/>
          <w:szCs w:val="18"/>
          <w:color w:val="auto"/>
        </w:rPr>
        <w:t>83946P107</w:t>
      </w:r>
    </w:p>
    <w:p>
      <w:pPr>
        <w:spacing w:after="0" w:line="252"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 240.13d-1(b) or 240.13d-2(b) or (c), check whether the person filing is a:</w:t>
      </w:r>
    </w:p>
    <w:p>
      <w:pPr>
        <w:spacing w:after="0" w:line="227" w:lineRule="exact"/>
        <w:rPr>
          <w:sz w:val="20"/>
          <w:szCs w:val="20"/>
          <w:color w:val="auto"/>
        </w:rPr>
      </w:pPr>
    </w:p>
    <w:p>
      <w:pPr>
        <w:ind w:left="1200" w:hanging="558"/>
        <w:spacing w:after="0" w:line="207" w:lineRule="exact"/>
        <w:tabs>
          <w:tab w:leader="none" w:pos="120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1200" w:hanging="558"/>
        <w:spacing w:after="0" w:line="207" w:lineRule="exact"/>
        <w:tabs>
          <w:tab w:leader="none" w:pos="120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1200" w:hanging="558"/>
        <w:spacing w:after="0" w:line="207" w:lineRule="exact"/>
        <w:tabs>
          <w:tab w:leader="none" w:pos="120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1200" w:hanging="558"/>
        <w:spacing w:after="0" w:line="207" w:lineRule="exact"/>
        <w:tabs>
          <w:tab w:leader="none" w:pos="120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1200" w:hanging="558"/>
        <w:spacing w:after="0" w:line="207" w:lineRule="exact"/>
        <w:tabs>
          <w:tab w:leader="none" w:pos="120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 investment adviser in accordance with § 240.13d-1(b)(1)(ii)(E);</w:t>
      </w:r>
    </w:p>
    <w:p>
      <w:pPr>
        <w:spacing w:after="0" w:line="225" w:lineRule="exact"/>
        <w:rPr>
          <w:rFonts w:ascii="Times New Roman" w:cs="Times New Roman" w:eastAsia="Times New Roman" w:hAnsi="Times New Roman"/>
          <w:sz w:val="18"/>
          <w:szCs w:val="18"/>
          <w:color w:val="auto"/>
        </w:rPr>
      </w:pPr>
    </w:p>
    <w:p>
      <w:pPr>
        <w:ind w:left="1200" w:hanging="558"/>
        <w:spacing w:after="0" w:line="207" w:lineRule="exact"/>
        <w:tabs>
          <w:tab w:leader="none" w:pos="120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An employee benefit plan or endowment fund in accordance with § 240.13d-1(b)(1)(ii)(F);</w:t>
      </w:r>
    </w:p>
    <w:p>
      <w:pPr>
        <w:spacing w:after="0" w:line="225" w:lineRule="exact"/>
        <w:rPr>
          <w:rFonts w:ascii="Times New Roman" w:cs="Times New Roman" w:eastAsia="Times New Roman" w:hAnsi="Times New Roman"/>
          <w:sz w:val="18"/>
          <w:szCs w:val="18"/>
          <w:color w:val="auto"/>
        </w:rPr>
      </w:pPr>
    </w:p>
    <w:p>
      <w:pPr>
        <w:ind w:left="1200" w:hanging="558"/>
        <w:spacing w:after="0" w:line="207" w:lineRule="exact"/>
        <w:tabs>
          <w:tab w:leader="none" w:pos="120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parent holding company or control person in accordance with § 240.13d-1(b)(1)(ii)(G);</w:t>
      </w:r>
    </w:p>
    <w:p>
      <w:pPr>
        <w:spacing w:after="0" w:line="225" w:lineRule="exact"/>
        <w:rPr>
          <w:rFonts w:ascii="Times New Roman" w:cs="Times New Roman" w:eastAsia="Times New Roman" w:hAnsi="Times New Roman"/>
          <w:sz w:val="18"/>
          <w:szCs w:val="18"/>
          <w:color w:val="auto"/>
        </w:rPr>
      </w:pPr>
    </w:p>
    <w:p>
      <w:pPr>
        <w:ind w:left="1200" w:hanging="558"/>
        <w:spacing w:after="0" w:line="207" w:lineRule="exact"/>
        <w:tabs>
          <w:tab w:leader="none" w:pos="120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savings associations as defined in Section 3(b) of the Federal Deposit Insurance Act (12 U.S.C. 1813);</w:t>
      </w:r>
    </w:p>
    <w:p>
      <w:pPr>
        <w:spacing w:after="0" w:line="225" w:lineRule="exact"/>
        <w:rPr>
          <w:rFonts w:ascii="Times New Roman" w:cs="Times New Roman" w:eastAsia="Times New Roman" w:hAnsi="Times New Roman"/>
          <w:sz w:val="18"/>
          <w:szCs w:val="18"/>
          <w:color w:val="auto"/>
        </w:rPr>
      </w:pPr>
    </w:p>
    <w:p>
      <w:pPr>
        <w:ind w:left="1740" w:right="100" w:hanging="1098"/>
        <w:spacing w:after="0" w:line="226" w:lineRule="exact"/>
        <w:tabs>
          <w:tab w:leader="none" w:pos="1187"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 1940 (15 U.S.C. 80a-3);</w:t>
      </w:r>
    </w:p>
    <w:p>
      <w:pPr>
        <w:spacing w:after="0" w:line="197" w:lineRule="exact"/>
        <w:rPr>
          <w:rFonts w:ascii="Times New Roman" w:cs="Times New Roman" w:eastAsia="Times New Roman" w:hAnsi="Times New Roman"/>
          <w:sz w:val="18"/>
          <w:szCs w:val="18"/>
          <w:color w:val="auto"/>
        </w:rPr>
      </w:pPr>
    </w:p>
    <w:p>
      <w:pPr>
        <w:ind w:left="1200" w:hanging="558"/>
        <w:spacing w:after="0" w:line="207" w:lineRule="exact"/>
        <w:tabs>
          <w:tab w:leader="none" w:pos="120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 non-U.S. institution in accordance with § 240.13d-1(b)(1)(ii)(J);</w:t>
      </w:r>
    </w:p>
    <w:p>
      <w:pPr>
        <w:spacing w:after="0" w:line="225" w:lineRule="exact"/>
        <w:rPr>
          <w:rFonts w:ascii="Times New Roman" w:cs="Times New Roman" w:eastAsia="Times New Roman" w:hAnsi="Times New Roman"/>
          <w:sz w:val="18"/>
          <w:szCs w:val="18"/>
          <w:color w:val="auto"/>
        </w:rPr>
      </w:pPr>
    </w:p>
    <w:p>
      <w:pPr>
        <w:ind w:left="1740" w:hanging="1098"/>
        <w:spacing w:after="0" w:line="226" w:lineRule="exact"/>
        <w:tabs>
          <w:tab w:leader="none" w:pos="1187"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Group, in accordance with § 240.13d-1(b)(1)(ii)(K). If filing as a non-U.S. institution in accordance with § 240.13d-1(b)(1)(ii)(J), please specify the type of institution: ____</w:t>
      </w:r>
    </w:p>
    <w:p>
      <w:pPr>
        <w:spacing w:after="0" w:line="200" w:lineRule="exact"/>
        <w:rPr>
          <w:sz w:val="20"/>
          <w:szCs w:val="20"/>
          <w:color w:val="auto"/>
        </w:rPr>
      </w:pP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4"/>
          <w:szCs w:val="14"/>
          <w:color w:val="auto"/>
        </w:rPr>
        <w:t>Page 3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08" w:right="499" w:bottom="1440" w:gutter="0" w:footer="0" w:header="0"/>
        </w:sectPr>
      </w:pPr>
    </w:p>
    <w:bookmarkStart w:id="3" w:name="page4"/>
    <w:bookmarkEnd w:id="3"/>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Ownership</w:t>
      </w:r>
    </w:p>
    <w:p>
      <w:pPr>
        <w:spacing w:after="0" w:line="252"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Amount beneficially owned:</w:t>
      </w:r>
    </w:p>
    <w:p>
      <w:pPr>
        <w:spacing w:after="0" w:line="252"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Percent of class:</w:t>
      </w:r>
    </w:p>
    <w:p>
      <w:pPr>
        <w:spacing w:after="0" w:line="252"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Number of shares as to which the person has:</w:t>
      </w:r>
    </w:p>
    <w:p>
      <w:pPr>
        <w:spacing w:after="0" w:line="252" w:lineRule="exact"/>
        <w:rPr>
          <w:rFonts w:ascii="Times New Roman" w:cs="Times New Roman" w:eastAsia="Times New Roman" w:hAnsi="Times New Roman"/>
          <w:sz w:val="18"/>
          <w:szCs w:val="18"/>
          <w:b w:val="1"/>
          <w:bCs w:val="1"/>
          <w:color w:val="auto"/>
        </w:rPr>
      </w:pPr>
    </w:p>
    <w:p>
      <w:pPr>
        <w:ind w:left="1620" w:hanging="964"/>
        <w:spacing w:after="0"/>
        <w:tabs>
          <w:tab w:leader="none" w:pos="1620"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Sole power to vote or to direct the vote:</w:t>
      </w:r>
    </w:p>
    <w:p>
      <w:pPr>
        <w:spacing w:after="0" w:line="252" w:lineRule="exact"/>
        <w:rPr>
          <w:rFonts w:ascii="Times New Roman" w:cs="Times New Roman" w:eastAsia="Times New Roman" w:hAnsi="Times New Roman"/>
          <w:sz w:val="18"/>
          <w:szCs w:val="18"/>
          <w:b w:val="1"/>
          <w:bCs w:val="1"/>
          <w:color w:val="auto"/>
        </w:rPr>
      </w:pPr>
    </w:p>
    <w:p>
      <w:pPr>
        <w:ind w:left="1620" w:hanging="964"/>
        <w:spacing w:after="0"/>
        <w:tabs>
          <w:tab w:leader="none" w:pos="1620"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Shared power to vote or to direct the vote:</w:t>
      </w:r>
    </w:p>
    <w:p>
      <w:pPr>
        <w:spacing w:after="0" w:line="252" w:lineRule="exact"/>
        <w:rPr>
          <w:rFonts w:ascii="Times New Roman" w:cs="Times New Roman" w:eastAsia="Times New Roman" w:hAnsi="Times New Roman"/>
          <w:sz w:val="18"/>
          <w:szCs w:val="18"/>
          <w:b w:val="1"/>
          <w:bCs w:val="1"/>
          <w:color w:val="auto"/>
        </w:rPr>
      </w:pPr>
    </w:p>
    <w:p>
      <w:pPr>
        <w:ind w:left="1620" w:hanging="964"/>
        <w:spacing w:after="0"/>
        <w:tabs>
          <w:tab w:leader="none" w:pos="1620"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Sole power to dispose or to direct the disposition of:</w:t>
      </w:r>
    </w:p>
    <w:p>
      <w:pPr>
        <w:spacing w:after="0" w:line="252" w:lineRule="exact"/>
        <w:rPr>
          <w:rFonts w:ascii="Times New Roman" w:cs="Times New Roman" w:eastAsia="Times New Roman" w:hAnsi="Times New Roman"/>
          <w:sz w:val="18"/>
          <w:szCs w:val="18"/>
          <w:b w:val="1"/>
          <w:bCs w:val="1"/>
          <w:color w:val="auto"/>
        </w:rPr>
      </w:pPr>
    </w:p>
    <w:p>
      <w:pPr>
        <w:ind w:left="1620" w:hanging="964"/>
        <w:spacing w:after="0"/>
        <w:tabs>
          <w:tab w:leader="none" w:pos="1620" w:val="left"/>
        </w:tabs>
        <w:numPr>
          <w:ilvl w:val="1"/>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Shared power to dispose or to direct the disposition of:</w:t>
      </w:r>
    </w:p>
    <w:p>
      <w:pPr>
        <w:spacing w:after="0" w:line="2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See page 2, items 5 through 11.</w:t>
      </w:r>
    </w:p>
    <w:p>
      <w:pPr>
        <w:spacing w:after="0" w:line="233" w:lineRule="exact"/>
        <w:rPr>
          <w:sz w:val="20"/>
          <w:szCs w:val="20"/>
          <w:color w:val="auto"/>
        </w:rPr>
      </w:pPr>
    </w:p>
    <w:p>
      <w:pPr>
        <w:jc w:val="both"/>
        <w:ind w:left="660"/>
        <w:spacing w:after="0" w:line="244" w:lineRule="auto"/>
        <w:rPr>
          <w:sz w:val="20"/>
          <w:szCs w:val="20"/>
          <w:color w:val="auto"/>
        </w:rPr>
      </w:pPr>
      <w:r>
        <w:rPr>
          <w:rFonts w:ascii="Times New Roman" w:cs="Times New Roman" w:eastAsia="Times New Roman" w:hAnsi="Times New Roman"/>
          <w:sz w:val="21"/>
          <w:szCs w:val="21"/>
          <w:color w:val="auto"/>
        </w:rPr>
        <w:t>This statement is filed on behalf of the ESOP Trust. As of March 31, 2023, the ESOP Trust held 403,120 shares of common stock of the Company, representing approximately 2.36% of the Company’s outstanding common stock. All of the shares held by the ESOP Trust were allocated to participant accounts. The Trustees may be deemed to beneficially own, under applicable regulations of the Securities and Exchange Commission, the 403,120 shares of common stock held by the ESOP Trust. Under the terms of the ESOP, the Trustees must vote shares allocated to participant accounts in accordance with the directions received from the participants. With respect to shares for which the Trustees do not receive timely and proper voting directions from participants, the ESOP’s Investment Committee (the “Investment Committee”) shall direct the Trustees to not vote such Company common stock except as required by law, or as required by the Investment Committee’s fiduciary duties under the Employee Retirement Income Security Act of 1974, as it may be amended from time to time (“ERISA”). With respect to unallocated and fractional shares of Company Common Stock, the Investment Committee shall direct the Trustees to vote in a manner which most closely reflect the participants’ direction of allocated shares unless the Investment Committee’s fiduciary duties under ERISA would require a different result. The Trustees disclaim beneficial ownership of all shares of Company common stock owned by the ESOP Trust.</w:t>
      </w:r>
    </w:p>
    <w:p>
      <w:pPr>
        <w:spacing w:after="0" w:line="210" w:lineRule="exact"/>
        <w:rPr>
          <w:sz w:val="20"/>
          <w:szCs w:val="20"/>
          <w:color w:val="auto"/>
        </w:rPr>
      </w:pPr>
    </w:p>
    <w:p>
      <w:pPr>
        <w:jc w:val="both"/>
        <w:ind w:left="660"/>
        <w:spacing w:after="0" w:line="251" w:lineRule="auto"/>
        <w:rPr>
          <w:sz w:val="20"/>
          <w:szCs w:val="20"/>
          <w:color w:val="auto"/>
        </w:rPr>
      </w:pPr>
      <w:r>
        <w:rPr>
          <w:rFonts w:ascii="Times New Roman" w:cs="Times New Roman" w:eastAsia="Times New Roman" w:hAnsi="Times New Roman"/>
          <w:sz w:val="21"/>
          <w:szCs w:val="21"/>
          <w:color w:val="auto"/>
        </w:rPr>
        <w:t>On December 30, 2022, the Board of Directors of the Company adopted resolutions to terminate the ESOP effective as of December 31, 2022. In connection with such termination, subsequent to December 31, 2022, the ESOP began distributing the shares of common stock of the Company held by the ESOP Trust and allocated to participant accounts. As a result, as of March 31, 2023, the ESOP Trust holds less than 5% of the common stock of the Company. Accordingly, this is the final amendment to the ESOP Trust’s Schedule 13G and constitutes an “exit filing” for the ESOP Trust.</w:t>
      </w:r>
    </w:p>
    <w:p>
      <w:pPr>
        <w:spacing w:after="0" w:line="20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5 Percent or Less of a Class.</w:t>
      </w:r>
    </w:p>
    <w:p>
      <w:pPr>
        <w:spacing w:after="0" w:line="247"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5 percent of the class of securities, check the following [ x ].</w:t>
      </w:r>
    </w:p>
    <w:p>
      <w:pPr>
        <w:spacing w:after="0" w:line="19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5 Percent on Behalf of Another Person.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ind w:left="980" w:hanging="971"/>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Page 4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3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pacing w:after="0" w:line="213" w:lineRule="exact"/>
        <w:rPr>
          <w:sz w:val="20"/>
          <w:szCs w:val="20"/>
          <w:color w:val="auto"/>
        </w:rPr>
      </w:pPr>
    </w:p>
    <w:p>
      <w:pPr>
        <w:jc w:val="right"/>
        <w:ind w:right="4199"/>
        <w:spacing w:after="0"/>
        <w:rPr>
          <w:sz w:val="20"/>
          <w:szCs w:val="20"/>
          <w:color w:val="auto"/>
        </w:rPr>
      </w:pPr>
      <w:r>
        <w:rPr>
          <w:rFonts w:ascii="Times New Roman" w:cs="Times New Roman" w:eastAsia="Times New Roman" w:hAnsi="Times New Roman"/>
          <w:sz w:val="14"/>
          <w:szCs w:val="14"/>
          <w:color w:val="auto"/>
        </w:rPr>
        <w:t>Page 5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7"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38"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April 7, 2023</w:t>
      </w:r>
    </w:p>
    <w:p>
      <w:pPr>
        <w:spacing w:after="0" w:line="23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South Plains Financial, Inc. Employee Stock Ownership Plan Trust</w:t>
      </w:r>
    </w:p>
    <w:p>
      <w:pPr>
        <w:spacing w:after="0" w:line="22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By: City Bank Trust Department</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/s/ Rob Dean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26035</wp:posOffset>
            </wp:positionV>
            <wp:extent cx="655764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3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Rob Dean</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Authorized Officer</w:t>
      </w:r>
    </w:p>
    <w:p>
      <w:pPr>
        <w:spacing w:after="0" w:line="20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By: Kendra Lane</w:t>
      </w:r>
    </w:p>
    <w:p>
      <w:pPr>
        <w:spacing w:after="0" w:line="22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/s/ Kendra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26035</wp:posOffset>
            </wp:positionV>
            <wp:extent cx="655764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57645" cy="17145"/>
                    </a:xfrm>
                    <a:prstGeom prst="rect">
                      <a:avLst/>
                    </a:prstGeom>
                    <a:noFill/>
                  </pic:spPr>
                </pic:pic>
              </a:graphicData>
            </a:graphic>
          </wp:anchor>
        </w:drawing>
      </w:r>
    </w:p>
    <w:p>
      <w:pPr>
        <w:spacing w:after="0" w:line="3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Kendra Lane</w:t>
      </w:r>
    </w:p>
    <w:p>
      <w:pPr>
        <w:spacing w:after="0" w:line="2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Vice President of Human Resources</w:t>
      </w:r>
    </w:p>
    <w:p>
      <w:pPr>
        <w:spacing w:after="0" w:line="2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 xml:space="preserve">The original statement shall be signed by each person on whose behalf the statement is filed or his authorized representative. If the statement is signed on behalf of a person by his authorized representative other than an executive officer or general partner of this filing person, evidence of the representative's authority to sign on behalf of such person shall be filed with the statement,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a power of attorney for this purpose which is already on file with the Commission may be incorporated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by reference. The name and any title of each person who signs the statement shall be typed or printed beneath his signature.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Page 6 of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3"/>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2023-04-10T10:13:25Z</dcterms:created>
  <dcterms:modified xsi:type="dcterms:W3CDTF">2023-04-10T10:13:25Z</dcterms:modified>
</cp:coreProperties>
</file>