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rPr/>
      </w:pPr>
      <w:r>
        <w:rPr/>
      </w:r>
    </w:p>
    <w:p>
      <w:pPr>
        <w:pStyle w:val="TextBody"/>
        <w:spacing w:before="0" w:after="0"/>
        <w:jc w:val="center"/>
        <w:rPr>
          <w:rFonts w:ascii="Times New Roman" w:hAnsi="Times New Roman"/>
          <w:b/>
          <w:sz w:val="28"/>
        </w:rPr>
      </w:pPr>
      <w:r>
        <w:rPr>
          <w:rFonts w:ascii="Times New Roman" w:hAnsi="Times New Roman"/>
          <w:b/>
          <w:sz w:val="28"/>
        </w:rPr>
        <w:t>UNITED STATES</w:t>
      </w:r>
    </w:p>
    <w:p>
      <w:pPr>
        <w:pStyle w:val="TextBody"/>
        <w:spacing w:before="0" w:after="0"/>
        <w:jc w:val="center"/>
        <w:rPr>
          <w:rFonts w:ascii="Times New Roman" w:hAnsi="Times New Roman"/>
          <w:b/>
          <w:sz w:val="28"/>
        </w:rPr>
      </w:pPr>
      <w:r>
        <w:rPr>
          <w:rFonts w:ascii="Times New Roman" w:hAnsi="Times New Roman"/>
          <w:b/>
          <w:sz w:val="28"/>
        </w:rPr>
        <w:t xml:space="preserve">SECURITIES </w:t>
      </w:r>
      <w:r>
        <w:rPr>
          <w:rFonts w:ascii="Times New Roman" w:hAnsi="Times New Roman"/>
          <w:b/>
          <w:sz w:val="24"/>
        </w:rPr>
        <w:t>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sz w:val="20"/>
        </w:rPr>
      </w:pPr>
      <w:r>
        <w:rPr>
          <w:sz w:val="20"/>
        </w:rPr>
      </w:r>
    </w:p>
    <w:p>
      <w:pPr>
        <w:pStyle w:val="HorizontalLine"/>
        <w:jc w:val="left"/>
        <w:rPr/>
      </w:pPr>
      <w:r>
        <w:rPr/>
      </w:r>
    </w:p>
    <w:p>
      <w:pPr>
        <w:pStyle w:val="TextBody"/>
        <w:spacing w:before="0" w:after="0"/>
        <w:jc w:val="left"/>
        <w:rPr>
          <w:rFonts w:ascii="Times New Roman" w:hAnsi="Times New Roman"/>
          <w:b w:val="false"/>
          <w:sz w:val="20"/>
        </w:rPr>
      </w:pPr>
      <w:r>
        <w:rPr>
          <w:rFonts w:ascii="Times New Roman" w:hAnsi="Times New Roman"/>
          <w:b w:val="false"/>
          <w:sz w:val="20"/>
        </w:rPr>
      </w:r>
    </w:p>
    <w:p>
      <w:pPr>
        <w:pStyle w:val="TextBody"/>
        <w:spacing w:before="0" w:after="0"/>
        <w:jc w:val="center"/>
        <w:rPr>
          <w:rFonts w:ascii="Times New Roman" w:hAnsi="Times New Roman"/>
          <w:b/>
          <w:sz w:val="36"/>
        </w:rPr>
      </w:pPr>
      <w:r>
        <w:rPr>
          <w:rFonts w:ascii="Times New Roman" w:hAnsi="Times New Roman"/>
          <w:b/>
          <w:sz w:val="36"/>
        </w:rPr>
        <w:t>FORM 8-K</w:t>
      </w:r>
    </w:p>
    <w:p>
      <w:pPr>
        <w:pStyle w:val="TextBody"/>
        <w:spacing w:before="0" w:after="0"/>
        <w:jc w:val="left"/>
        <w:rPr>
          <w:sz w:val="20"/>
        </w:rPr>
      </w:pPr>
      <w:r>
        <w:rPr>
          <w:sz w:val="20"/>
        </w:rPr>
      </w:r>
    </w:p>
    <w:p>
      <w:pPr>
        <w:pStyle w:val="HorizontalLine"/>
        <w:jc w:val="left"/>
        <w:rPr/>
      </w:pPr>
      <w:r>
        <w:rPr/>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center"/>
        <w:rPr>
          <w:rFonts w:ascii="Times New Roman" w:hAnsi="Times New Roman"/>
          <w:b/>
          <w:sz w:val="20"/>
        </w:rPr>
      </w:pPr>
      <w:r>
        <w:rPr>
          <w:rFonts w:ascii="Times New Roman" w:hAnsi="Times New Roman"/>
          <w:b/>
          <w:sz w:val="20"/>
        </w:rPr>
        <w:t>CURRENT REPORT</w:t>
      </w:r>
    </w:p>
    <w:p>
      <w:pPr>
        <w:pStyle w:val="TextBody"/>
        <w:spacing w:before="0" w:after="0"/>
        <w:jc w:val="center"/>
        <w:rPr>
          <w:rFonts w:ascii="Times New Roman" w:hAnsi="Times New Roman"/>
          <w:b/>
          <w:sz w:val="20"/>
        </w:rPr>
      </w:pPr>
      <w:r>
        <w:rPr>
          <w:rFonts w:ascii="Times New Roman" w:hAnsi="Times New Roman"/>
          <w:b/>
          <w:sz w:val="20"/>
        </w:rPr>
        <w:t>Pursuant to Section 13 or 15(d) of</w:t>
      </w:r>
    </w:p>
    <w:p>
      <w:pPr>
        <w:pStyle w:val="TextBody"/>
        <w:spacing w:before="0" w:after="0"/>
        <w:jc w:val="center"/>
        <w:rPr>
          <w:rFonts w:ascii="Times New Roman" w:hAnsi="Times New Roman"/>
          <w:b/>
          <w:sz w:val="20"/>
        </w:rPr>
      </w:pPr>
      <w:r>
        <w:rPr>
          <w:rFonts w:ascii="Times New Roman" w:hAnsi="Times New Roman"/>
          <w:b/>
          <w:sz w:val="20"/>
        </w:rPr>
        <w:t>the Securities Exchange Act of 1934</w:t>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center"/>
        <w:rPr>
          <w:rFonts w:ascii="Times New Roman" w:hAnsi="Times New Roman"/>
          <w:b/>
          <w:sz w:val="20"/>
        </w:rPr>
      </w:pPr>
      <w:r>
        <w:rPr>
          <w:rFonts w:ascii="Times New Roman" w:hAnsi="Times New Roman"/>
          <w:b/>
          <w:sz w:val="20"/>
        </w:rPr>
        <w:t>Date of Report (Date of earliest event reported):  May 5, 2023</w:t>
      </w:r>
    </w:p>
    <w:p>
      <w:pPr>
        <w:pStyle w:val="TextBody"/>
        <w:spacing w:before="0" w:after="0"/>
        <w:rPr/>
      </w:pPr>
      <w:r>
        <w:rPr/>
      </w:r>
    </w:p>
    <w:p>
      <w:pPr>
        <w:pStyle w:val="HorizontalLine"/>
        <w:rPr/>
      </w:pPr>
      <w:r>
        <w:rPr/>
      </w:r>
    </w:p>
    <w:p>
      <w:pPr>
        <w:pStyle w:val="TextBody"/>
        <w:spacing w:before="0" w:after="0"/>
        <w:jc w:val="left"/>
        <w:rPr>
          <w:rFonts w:ascii="Times New Roman" w:hAnsi="Times New Roman"/>
          <w:b w:val="false"/>
          <w:sz w:val="20"/>
        </w:rPr>
      </w:pPr>
      <w:r>
        <w:rPr>
          <w:rFonts w:ascii="Times New Roman" w:hAnsi="Times New Roman"/>
          <w:b w:val="false"/>
          <w:sz w:val="20"/>
        </w:rPr>
      </w:r>
    </w:p>
    <w:p>
      <w:pPr>
        <w:pStyle w:val="TextBody"/>
        <w:spacing w:before="0" w:after="0"/>
        <w:jc w:val="center"/>
        <w:rPr>
          <w:rFonts w:ascii="Times New Roman" w:hAnsi="Times New Roman"/>
          <w:b/>
          <w:sz w:val="48"/>
        </w:rPr>
      </w:pPr>
      <w:r>
        <w:rPr>
          <w:rFonts w:ascii="Times New Roman" w:hAnsi="Times New Roman"/>
          <w:b/>
          <w:sz w:val="48"/>
        </w:rPr>
        <w:t>South Plains Financial, Inc.</w:t>
      </w:r>
    </w:p>
    <w:p>
      <w:pPr>
        <w:pStyle w:val="TextBody"/>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rPr/>
      </w:pPr>
      <w:r>
        <w:rPr/>
      </w:r>
    </w:p>
    <w:p>
      <w:pPr>
        <w:pStyle w:val="HorizontalLine"/>
        <w:rPr/>
      </w:pPr>
      <w:r>
        <w:rPr/>
      </w:r>
    </w:p>
    <w:p>
      <w:pPr>
        <w:pStyle w:val="TextBody"/>
        <w:spacing w:before="0" w:after="0"/>
        <w:rPr>
          <w:rFonts w:ascii="Times New Roman" w:hAnsi="Times New Roman"/>
          <w:sz w:val="20"/>
        </w:rPr>
      </w:pPr>
      <w:r>
        <w:rPr>
          <w:rFonts w:ascii="Times New Roman" w:hAnsi="Times New Roman"/>
          <w:sz w:val="20"/>
        </w:rPr>
      </w:r>
    </w:p>
    <w:tbl>
      <w:tblPr>
        <w:tblW w:w="8550" w:type="dxa"/>
        <w:jc w:val="left"/>
        <w:tblInd w:w="0" w:type="dxa"/>
        <w:tblCellMar>
          <w:top w:w="0" w:type="dxa"/>
          <w:left w:w="0" w:type="dxa"/>
          <w:bottom w:w="0" w:type="dxa"/>
          <w:right w:w="0" w:type="dxa"/>
        </w:tblCellMar>
      </w:tblPr>
      <w:tblGrid>
        <w:gridCol w:w="3575"/>
        <w:gridCol w:w="2210"/>
        <w:gridCol w:w="2765"/>
      </w:tblGrid>
      <w:tr>
        <w:trPr/>
        <w:tc>
          <w:tcPr>
            <w:tcW w:w="357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Texas</w:t>
            </w:r>
          </w:p>
        </w:tc>
        <w:tc>
          <w:tcPr>
            <w:tcW w:w="221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001-38895</w:t>
            </w:r>
          </w:p>
        </w:tc>
        <w:tc>
          <w:tcPr>
            <w:tcW w:w="276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75-2453320</w:t>
            </w:r>
          </w:p>
        </w:tc>
      </w:tr>
      <w:tr>
        <w:trPr/>
        <w:tc>
          <w:tcPr>
            <w:tcW w:w="357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(Commission File Number)</w:t>
            </w:r>
          </w:p>
        </w:tc>
        <w:tc>
          <w:tcPr>
            <w:tcW w:w="276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rPr>
          <w:sz w:val="20"/>
        </w:rPr>
      </w:pPr>
      <w:r>
        <w:rPr>
          <w:sz w:val="20"/>
        </w:rPr>
      </w:r>
    </w:p>
    <w:tbl>
      <w:tblPr>
        <w:tblW w:w="5450" w:type="dxa"/>
        <w:jc w:val="left"/>
        <w:tblInd w:w="0" w:type="dxa"/>
        <w:tblCellMar>
          <w:top w:w="0" w:type="dxa"/>
          <w:left w:w="0" w:type="dxa"/>
          <w:bottom w:w="0" w:type="dxa"/>
          <w:right w:w="0" w:type="dxa"/>
        </w:tblCellMar>
      </w:tblPr>
      <w:tblGrid>
        <w:gridCol w:w="4522"/>
        <w:gridCol w:w="23"/>
        <w:gridCol w:w="905"/>
      </w:tblGrid>
      <w:tr>
        <w:trPr/>
        <w:tc>
          <w:tcPr>
            <w:tcW w:w="4522" w:type="dxa"/>
            <w:tcBorders/>
            <w:shd w:fill="auto" w:val="clear"/>
            <w:vAlign w:val="center"/>
          </w:tcPr>
          <w:p>
            <w:pPr>
              <w:pStyle w:val="TableContents"/>
              <w:spacing w:before="0" w:after="0"/>
              <w:ind w:left="0" w:right="1325" w:hanging="0"/>
              <w:jc w:val="center"/>
              <w:rPr>
                <w:rFonts w:ascii="Times New Roman" w:hAnsi="Times New Roman"/>
                <w:b/>
                <w:sz w:val="20"/>
              </w:rPr>
            </w:pPr>
            <w:r>
              <w:rPr>
                <w:rFonts w:ascii="Times New Roman" w:hAnsi="Times New Roman"/>
                <w:b/>
                <w:sz w:val="20"/>
              </w:rPr>
              <w:t>5219 City Bank Parkway</w:t>
            </w:r>
          </w:p>
          <w:p>
            <w:pPr>
              <w:pStyle w:val="TableContents"/>
              <w:spacing w:before="0" w:after="0"/>
              <w:ind w:left="0" w:right="1322" w:hanging="0"/>
              <w:jc w:val="center"/>
              <w:rPr>
                <w:rFonts w:ascii="Times New Roman" w:hAnsi="Times New Roman"/>
                <w:b/>
                <w:sz w:val="20"/>
              </w:rPr>
            </w:pPr>
            <w:r>
              <w:rPr>
                <w:rFonts w:ascii="Times New Roman" w:hAnsi="Times New Roman"/>
                <w:b/>
                <w:sz w:val="20"/>
              </w:rPr>
              <w:t>Lubbock, Texas</w:t>
            </w:r>
          </w:p>
        </w:tc>
        <w:tc>
          <w:tcPr>
            <w:tcW w:w="23" w:type="dxa"/>
            <w:tcBorders/>
            <w:shd w:fill="auto" w:val="clear"/>
            <w:vAlign w:val="center"/>
          </w:tcPr>
          <w:p>
            <w:pPr>
              <w:pStyle w:val="TableContents"/>
              <w:spacing w:before="0" w:after="283"/>
              <w:rPr/>
            </w:pPr>
            <w:r>
              <w:rPr/>
            </w:r>
          </w:p>
        </w:tc>
        <w:tc>
          <w:tcPr>
            <w:tcW w:w="905" w:type="dxa"/>
            <w:tcBorders/>
            <w:shd w:fill="auto" w:val="clear"/>
            <w:vAlign w:val="center"/>
          </w:tcPr>
          <w:p>
            <w:pPr>
              <w:pStyle w:val="TableContents"/>
              <w:spacing w:before="0" w:after="0"/>
              <w:ind w:left="1410" w:right="0" w:hanging="0"/>
              <w:jc w:val="center"/>
              <w:rPr>
                <w:rFonts w:ascii="Times New Roman" w:hAnsi="Times New Roman"/>
                <w:b/>
                <w:sz w:val="20"/>
              </w:rPr>
            </w:pPr>
            <w:r>
              <w:rPr>
                <w:rFonts w:ascii="Times New Roman" w:hAnsi="Times New Roman"/>
                <w:b/>
                <w:sz w:val="20"/>
              </w:rPr>
              <w:t>79407</w:t>
            </w:r>
          </w:p>
        </w:tc>
      </w:tr>
      <w:tr>
        <w:trPr/>
        <w:tc>
          <w:tcPr>
            <w:tcW w:w="4522" w:type="dxa"/>
            <w:tcBorders/>
            <w:shd w:fill="auto" w:val="clear"/>
            <w:vAlign w:val="center"/>
          </w:tcPr>
          <w:p>
            <w:pPr>
              <w:pStyle w:val="TableContents"/>
              <w:spacing w:before="0" w:after="0"/>
              <w:ind w:left="0" w:right="1322" w:hanging="0"/>
              <w:jc w:val="center"/>
              <w:rPr>
                <w:rFonts w:ascii="Times New Roman" w:hAnsi="Times New Roman"/>
                <w:sz w:val="20"/>
              </w:rPr>
            </w:pPr>
            <w:r>
              <w:rPr>
                <w:rFonts w:ascii="Times New Roman" w:hAnsi="Times New Roman"/>
                <w:sz w:val="20"/>
              </w:rPr>
              <w:t>(Address of principal executive offices)</w:t>
            </w:r>
          </w:p>
        </w:tc>
        <w:tc>
          <w:tcPr>
            <w:tcW w:w="23" w:type="dxa"/>
            <w:tcBorders/>
            <w:shd w:fill="auto" w:val="clear"/>
            <w:vAlign w:val="center"/>
          </w:tcPr>
          <w:p>
            <w:pPr>
              <w:pStyle w:val="TableContents"/>
              <w:spacing w:before="0" w:after="283"/>
              <w:rPr/>
            </w:pPr>
            <w:r>
              <w:rPr/>
            </w:r>
          </w:p>
        </w:tc>
        <w:tc>
          <w:tcPr>
            <w:tcW w:w="905" w:type="dxa"/>
            <w:tcBorders/>
            <w:shd w:fill="auto" w:val="clear"/>
            <w:vAlign w:val="center"/>
          </w:tcPr>
          <w:p>
            <w:pPr>
              <w:pStyle w:val="TableContents"/>
              <w:spacing w:before="0" w:after="0"/>
              <w:ind w:left="1410" w:right="0" w:hanging="0"/>
              <w:jc w:val="center"/>
              <w:rPr>
                <w:rFonts w:ascii="Times New Roman" w:hAnsi="Times New Roman"/>
                <w:sz w:val="20"/>
              </w:rPr>
            </w:pPr>
            <w:r>
              <w:rPr>
                <w:rFonts w:ascii="Times New Roman" w:hAnsi="Times New Roman"/>
                <w:sz w:val="20"/>
              </w:rPr>
              <w:t>(Zip Code)</w:t>
            </w:r>
          </w:p>
        </w:tc>
      </w:tr>
    </w:tbl>
    <w:p>
      <w:pPr>
        <w:pStyle w:val="TextBody"/>
        <w:spacing w:before="0" w:after="0"/>
        <w:rPr>
          <w:sz w:val="20"/>
        </w:rPr>
      </w:pPr>
      <w:r>
        <w:rPr>
          <w:sz w:val="20"/>
        </w:rPr>
      </w:r>
    </w:p>
    <w:p>
      <w:pPr>
        <w:pStyle w:val="TextBody"/>
        <w:spacing w:before="0" w:after="0"/>
        <w:jc w:val="center"/>
        <w:rPr>
          <w:b/>
          <w:sz w:val="20"/>
        </w:rPr>
      </w:pPr>
      <w:r>
        <w:rPr>
          <w:b/>
          <w:sz w:val="20"/>
        </w:rPr>
        <w:t>(806) 792-7101</w:t>
      </w:r>
    </w:p>
    <w:p>
      <w:pPr>
        <w:pStyle w:val="TextBody"/>
        <w:jc w:val="center"/>
        <w:rPr>
          <w:sz w:val="20"/>
        </w:rPr>
      </w:pPr>
      <w:r>
        <w:rPr>
          <w:sz w:val="20"/>
        </w:rPr>
        <w:t>(Registrant’s telephone number, including area code)</w:t>
      </w:r>
    </w:p>
    <w:p>
      <w:pPr>
        <w:pStyle w:val="TextBody"/>
        <w:spacing w:before="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0"/>
              <w:jc w:val="left"/>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0"/>
              <w:jc w:val="left"/>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0"/>
              <w:jc w:val="left"/>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0"/>
              <w:jc w:val="left"/>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rPr/>
      </w:pPr>
      <w:r>
        <w:rPr/>
        <w:t> </w:t>
      </w:r>
    </w:p>
    <w:tbl>
      <w:tblPr>
        <w:tblW w:w="8535" w:type="dxa"/>
        <w:jc w:val="left"/>
        <w:tblInd w:w="0" w:type="dxa"/>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410"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sz w:val="20"/>
              </w:rPr>
            </w:pPr>
            <w:r>
              <w:rPr>
                <w:rFonts w:ascii="Times New Roman" w:hAnsi="Times New Roman"/>
                <w:sz w:val="20"/>
              </w:rPr>
              <w:t>SPFI</w:t>
            </w:r>
          </w:p>
        </w:tc>
        <w:tc>
          <w:tcPr>
            <w:tcW w:w="3590"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right"/>
        <w:rPr>
          <w:rFonts w:ascii="Times New Roman" w:hAnsi="Times New Roman"/>
          <w:color w:val="000000"/>
          <w:sz w:val="20"/>
        </w:rPr>
      </w:pPr>
      <w:r>
        <w:rPr>
          <w:rFonts w:ascii="Times New Roman" w:hAnsi="Times New Roman"/>
          <w:color w:val="000000"/>
          <w:sz w:val="20"/>
        </w:rPr>
        <w:t>Emerging growth company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color w:val="000000"/>
        </w:rPr>
      </w:pPr>
      <w:r>
        <w:rPr>
          <w:color w:val="000000"/>
        </w:rPr>
        <w:t xml:space="preserve">   </w:t>
      </w:r>
    </w:p>
    <w:p>
      <w:pPr>
        <w:pStyle w:val="HorizontalLine"/>
        <w:jc w:val="left"/>
        <w:rPr/>
      </w:pPr>
      <w:r>
        <w:rPr/>
      </w:r>
    </w:p>
    <w:p>
      <w:pPr>
        <w:pStyle w:val="HorizontalLine"/>
        <w:spacing w:before="200" w:after="200"/>
        <w:rPr/>
      </w:pPr>
      <w:r>
        <w:rPr/>
      </w:r>
    </w:p>
    <w:tbl>
      <w:tblPr>
        <w:tblW w:w="2020" w:type="dxa"/>
        <w:jc w:val="left"/>
        <w:tblInd w:w="0" w:type="dxa"/>
        <w:tblCellMar>
          <w:top w:w="0" w:type="dxa"/>
          <w:left w:w="0" w:type="dxa"/>
          <w:bottom w:w="0" w:type="dxa"/>
          <w:right w:w="0" w:type="dxa"/>
        </w:tblCellMar>
      </w:tblPr>
      <w:tblGrid>
        <w:gridCol w:w="830"/>
        <w:gridCol w:w="1190"/>
      </w:tblGrid>
      <w:tr>
        <w:trPr/>
        <w:tc>
          <w:tcPr>
            <w:tcW w:w="830"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Item 8.01</w:t>
            </w:r>
          </w:p>
        </w:tc>
        <w:tc>
          <w:tcPr>
            <w:tcW w:w="1190"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color w:val="000000"/>
          <w:sz w:val="20"/>
        </w:rPr>
        <w:t>On May 5, 2023, the Board of Directors (the “Board”) of South Plains Financial, Inc. (the “Company”) approved a new stock repurchase program for up to $15.0 million of the outstanding shares of the Company’s common stock (the “Stock Repurchase Program”).  The Stock Repurchase Program will conclude on May 5, 2024,</w:t>
      </w:r>
      <w:r>
        <w:rPr>
          <w:rFonts w:ascii="Times New Roman" w:hAnsi="Times New Roman"/>
          <w:sz w:val="20"/>
        </w:rPr>
        <w:t> </w:t>
      </w:r>
      <w:r>
        <w:rPr>
          <w:rFonts w:ascii="Times New Roman" w:hAnsi="Times New Roman"/>
          <w:color w:val="000000"/>
          <w:sz w:val="20"/>
        </w:rPr>
        <w:t>subject to the earlier termination or extension of the Stock Repurchase Program by the Board or the $15.0 million designated for the Stock Repurchase Program are depleted.</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A copy of the Company’s press release announcing the Stock Repurchase Program is attached as Exhibit 99.1 to this Current Report on Form 8-K and is incorporated herein by reference.</w:t>
      </w:r>
    </w:p>
    <w:p>
      <w:pPr>
        <w:pStyle w:val="TextBody"/>
        <w:spacing w:before="0" w:after="0"/>
        <w:rPr/>
      </w:pPr>
      <w:r>
        <w:rPr/>
        <w:t> </w:t>
      </w:r>
    </w:p>
    <w:tbl>
      <w:tblPr>
        <w:tblW w:w="3790" w:type="dxa"/>
        <w:jc w:val="left"/>
        <w:tblInd w:w="0" w:type="dxa"/>
        <w:tblCellMar>
          <w:top w:w="0" w:type="dxa"/>
          <w:left w:w="0" w:type="dxa"/>
          <w:bottom w:w="0" w:type="dxa"/>
          <w:right w:w="0" w:type="dxa"/>
        </w:tblCellMar>
      </w:tblPr>
      <w:tblGrid>
        <w:gridCol w:w="830"/>
        <w:gridCol w:w="2960"/>
      </w:tblGrid>
      <w:tr>
        <w:trPr/>
        <w:tc>
          <w:tcPr>
            <w:tcW w:w="8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Item 9.01</w:t>
            </w:r>
          </w:p>
        </w:tc>
        <w:tc>
          <w:tcPr>
            <w:tcW w:w="296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rPr/>
      </w:pPr>
      <w:r>
        <w:rPr/>
        <w:t> </w:t>
      </w:r>
    </w:p>
    <w:tbl>
      <w:tblPr>
        <w:tblW w:w="6715" w:type="dxa"/>
        <w:jc w:val="left"/>
        <w:tblInd w:w="0" w:type="dxa"/>
        <w:tblCellMar>
          <w:top w:w="0" w:type="dxa"/>
          <w:left w:w="0" w:type="dxa"/>
          <w:bottom w:w="0" w:type="dxa"/>
          <w:right w:w="0" w:type="dxa"/>
        </w:tblCellMar>
      </w:tblPr>
      <w:tblGrid>
        <w:gridCol w:w="60"/>
        <w:gridCol w:w="380"/>
        <w:gridCol w:w="6275"/>
      </w:tblGrid>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w:t>
            </w:r>
          </w:p>
        </w:tc>
        <w:tc>
          <w:tcPr>
            <w:tcW w:w="62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Exhibits.</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both"/>
              <w:rPr/>
            </w:pPr>
            <w:hyperlink w:anchor="brhc20052582_ex99-1.htm">
              <w:r>
                <w:rPr>
                  <w:rStyle w:val="InternetLink"/>
                  <w:rFonts w:ascii="Times New Roman" w:hAnsi="Times New Roman"/>
                  <w:sz w:val="20"/>
                </w:rPr>
                <w:t>99.1</w:t>
              </w:r>
            </w:hyperlink>
          </w:p>
        </w:tc>
        <w:tc>
          <w:tcPr>
            <w:tcW w:w="62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Press release, dated May 5, 2023, announcing the Stock Repurchase Program.</w:t>
            </w:r>
          </w:p>
        </w:tc>
      </w:tr>
    </w:tbl>
    <w:p>
      <w:pPr>
        <w:pStyle w:val="TextBody"/>
        <w:spacing w:before="0" w:after="0"/>
        <w:rPr>
          <w:sz w:val="20"/>
        </w:rPr>
      </w:pPr>
      <w:r>
        <w:rPr>
          <w:sz w:val="20"/>
        </w:rPr>
      </w:r>
    </w:p>
    <w:p>
      <w:pPr>
        <w:pStyle w:val="HorizontalLine"/>
        <w:spacing w:before="200" w:after="200"/>
        <w:rPr/>
      </w:pPr>
      <w:r>
        <w:rPr/>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t> </w:t>
      </w:r>
    </w:p>
    <w:tbl>
      <w:tblPr>
        <w:tblW w:w="5055" w:type="dxa"/>
        <w:jc w:val="left"/>
        <w:tblInd w:w="0" w:type="dxa"/>
        <w:tblCellMar>
          <w:top w:w="0" w:type="dxa"/>
          <w:left w:w="0" w:type="dxa"/>
          <w:bottom w:w="0" w:type="dxa"/>
          <w:right w:w="0" w:type="dxa"/>
        </w:tblCellMar>
      </w:tblPr>
      <w:tblGrid>
        <w:gridCol w:w="1685"/>
        <w:gridCol w:w="320"/>
        <w:gridCol w:w="3050"/>
      </w:tblGrid>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SOUTH PLAINS FINANCIAL, INC.</w:t>
            </w:r>
          </w:p>
        </w:tc>
      </w:tr>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Dated:  May 5, 2023</w:t>
            </w:r>
          </w:p>
        </w:tc>
        <w:tc>
          <w:tcPr>
            <w:tcW w:w="320" w:type="dxa"/>
            <w:tcBorders/>
            <w:shd w:fill="auto" w:val="clear"/>
            <w:vAlign w:val="center"/>
          </w:tcPr>
          <w:p>
            <w:pPr>
              <w:pStyle w:val="TableContents"/>
              <w:spacing w:before="0" w:after="283"/>
              <w:rPr>
                <w:sz w:val="20"/>
              </w:rPr>
            </w:pPr>
            <w:r>
              <w:rPr>
                <w:sz w:val="20"/>
              </w:rPr>
              <w:t>By:</w:t>
            </w:r>
          </w:p>
        </w:tc>
        <w:tc>
          <w:tcPr>
            <w:tcW w:w="3050"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sz w:val="20"/>
              </w:rPr>
            </w:pPr>
            <w:r>
              <w:rPr>
                <w:rFonts w:ascii="Times New Roman" w:hAnsi="Times New Roman"/>
                <w:sz w:val="20"/>
              </w:rPr>
              <w:t>/s/ Steve B. Crockett</w:t>
            </w:r>
          </w:p>
        </w:tc>
      </w:tr>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0"/>
              <w:ind w:left="360" w:right="0" w:hanging="0"/>
              <w:jc w:val="left"/>
              <w:rPr>
                <w:rFonts w:ascii="Times New Roman" w:hAnsi="Times New Roman"/>
                <w:sz w:val="20"/>
              </w:rPr>
            </w:pPr>
            <w:r>
              <w:rPr>
                <w:rFonts w:ascii="Times New Roman" w:hAnsi="Times New Roman"/>
                <w:sz w:val="20"/>
              </w:rPr>
              <w:t>Steven B. Crockett</w:t>
            </w:r>
          </w:p>
        </w:tc>
      </w:tr>
      <w:tr>
        <w:trPr/>
        <w:tc>
          <w:tcPr>
            <w:tcW w:w="168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0"/>
              <w:ind w:left="360" w:right="0" w:hanging="0"/>
              <w:jc w:val="left"/>
              <w:rPr>
                <w:rFonts w:ascii="Times New Roman" w:hAnsi="Times New Roman"/>
                <w:sz w:val="20"/>
              </w:rPr>
            </w:pPr>
            <w:r>
              <w:rPr>
                <w:rFonts w:ascii="Times New Roman" w:hAnsi="Times New Roman"/>
                <w:sz w:val="20"/>
              </w:rPr>
              <w:t>Chief Financial Officer and Treasurer</w:t>
            </w:r>
          </w:p>
        </w:tc>
      </w:tr>
    </w:tbl>
    <w:p>
      <w:pPr>
        <w:pStyle w:val="TextBody"/>
        <w:spacing w:before="0" w:after="0"/>
        <w:rPr>
          <w:sz w:val="20"/>
        </w:rPr>
      </w:pPr>
      <w:r>
        <w:rPr>
          <w:sz w:val="20"/>
        </w:rPr>
      </w:r>
    </w:p>
    <w:p>
      <w:pPr>
        <w:pStyle w:val="TextBody"/>
        <w:spacing w:before="0" w:after="0"/>
        <w:rPr>
          <w:sz w:val="20"/>
        </w:rPr>
      </w:pPr>
      <w:r>
        <w:rPr>
          <w:sz w:val="20"/>
        </w:rPr>
      </w:r>
    </w:p>
    <w:p>
      <w:pPr>
        <w:pStyle w:val="HorizontalLine"/>
        <w:rPr/>
      </w:pPr>
      <w:r>
        <w:rPr/>
      </w:r>
      <w:r>
        <w:br w:type="page"/>
      </w:r>
    </w:p>
    <w:p>
      <w:pPr>
        <w:pStyle w:val="HorizontalLine"/>
        <w:pBdr>
          <w:bottom w:val="single" w:sz="20" w:space="0" w:color="808080"/>
        </w:pBdr>
        <w:rPr/>
      </w:pPr>
      <w:r>
        <w:rPr/>
      </w:r>
      <w:bookmarkStart w:id="0" w:name="brhc20052582_ex99-1.htm"/>
      <w:bookmarkStart w:id="1" w:name="ksbrhc20052582_ex991"/>
      <w:bookmarkStart w:id="2" w:name="brhc20052582_ex99-1.htm"/>
      <w:bookmarkStart w:id="3" w:name="ksbrhc20052582_ex991"/>
      <w:bookmarkEnd w:id="2"/>
      <w:bookmarkEnd w:id="3"/>
    </w:p>
    <w:p>
      <w:pPr>
        <w:pStyle w:val="TextBody"/>
        <w:spacing w:before="0" w:after="0"/>
        <w:jc w:val="right"/>
        <w:rPr>
          <w:b/>
          <w:sz w:val="20"/>
        </w:rPr>
      </w:pPr>
      <w:r>
        <w:rPr>
          <w:b/>
          <w:sz w:val="20"/>
        </w:rPr>
        <w:t>Exhibit 99.1</w:t>
      </w:r>
    </w:p>
    <w:p>
      <w:pPr>
        <w:pStyle w:val="TextBody"/>
        <w:spacing w:before="0" w:after="0"/>
        <w:jc w:val="right"/>
        <w:rPr>
          <w:b/>
          <w:sz w:val="20"/>
        </w:rPr>
      </w:pPr>
      <w:r>
        <w:rPr>
          <w:b/>
          <w:sz w:val="20"/>
        </w:rPr>
      </w:r>
    </w:p>
    <w:p>
      <w:pPr>
        <w:pStyle w:val="TextBody"/>
        <w:spacing w:before="0" w:after="0"/>
        <w:rPr>
          <w:sz w:val="20"/>
        </w:rPr>
      </w:pPr>
      <w:r>
        <w:rPr>
          <w:sz w:val="20"/>
        </w:rPr>
        <w:br/>
      </w:r>
      <w:r>
        <w:rPr>
          <w:sz w:val="20"/>
        </w:rPr>
        <w:drawing>
          <wp:inline distT="0" distB="0" distL="0" distR="0">
            <wp:extent cx="38481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48100" cy="600075"/>
                    </a:xfrm>
                    <a:prstGeom prst="rect">
                      <a:avLst/>
                    </a:prstGeom>
                  </pic:spPr>
                </pic:pic>
              </a:graphicData>
            </a:graphic>
          </wp:inline>
        </w:drawing>
      </w:r>
    </w:p>
    <w:p>
      <w:pPr>
        <w:pStyle w:val="TextBody"/>
        <w:spacing w:before="0" w:after="0"/>
        <w:jc w:val="center"/>
        <w:rPr>
          <w:rFonts w:ascii="Times New Roman" w:hAnsi="Times New Roman"/>
          <w:b/>
          <w:sz w:val="20"/>
        </w:rPr>
      </w:pPr>
      <w:r>
        <w:rPr>
          <w:rFonts w:ascii="Times New Roman" w:hAnsi="Times New Roman"/>
          <w:b/>
          <w:sz w:val="20"/>
        </w:rPr>
        <w:t>South Plains Financial, Inc. Announces Stock Repurchase Program</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LUBBOCK, Texas, May 5, 2023 (GLOBE NEWSWIRE) – South Plains Financial, Inc. (NASDAQ:SPFI) (“South Plains” or the “Company”), today announced that the board of directors of the Company (the “Board”) approved a stock repurchase program for up to $15.0 million of the outstanding shares of the Company’s common stock (the “Stock Repurchase Program”).  The Stock Repurchase Program will conclude on May 5, 2024, subject to the earlier termination or extension of the Stock Repurchase Program by the Board or the $15.0 million designated for the Stock Repurchase Program are depleted.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Curtis Griffith, South Plains’ Chairman and Chief Executive Officer, commented, “While the banking sector is experiencing some turmoil and uncertainty, South Plains remains in an advantageous position given our strong liquidity and capital, our community-based deposit franchise where 83% of our deposits are insured, and a high-quality loan portfolio that we believe is well positioned for an uncertain economy.  That said, our shares do not currently reflect the Bank’s positive fundamentals as we believe they continue to trade meaningfully below intrinsic value.  As a result, our Board has authorized a $15 million share repurchase program where we will commit a portion of the proceeds from the sale of Windmark to buy back our own stock, which is the most compelling acquisition that we can make in today’s market.”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Under the Stock Repurchase Program, the Company may repurchase shares of common stock from time to time in open market purchases or privately negotiated transactions.  Any open market repurchases will be conducted in accordance with the limitations set forth in Rule 10b-18 promulgated under the Securities Exchange Act of 1934, as amended (the “Exchange Act”), and other applicable legal requirements.  Repurchases under the Stock Repurchase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timing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or terminate repurchases at any time prior to the Stock Repurchase Program’s expiration, without any prior notice.  The Stock Repurchase Program does not obligate the Company to repurchase any particular number or amount of shares of common stock.</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About South Plains Financial, Inc.</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sz w:val="20"/>
          <w:u w:val="single"/>
        </w:rPr>
        <w:t>https://www.spfi.bank</w:t>
      </w:r>
      <w:r>
        <w:rPr>
          <w:rFonts w:ascii="Times New Roman" w:hAnsi="Times New Roman"/>
          <w:sz w:val="20"/>
        </w:rPr>
        <w:t> for more information.</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rPr/>
      </w:pPr>
      <w:r>
        <w:rPr/>
        <w:drawing>
          <wp:inline distT="0" distB="0" distL="0" distR="0">
            <wp:extent cx="38481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48100" cy="600075"/>
                    </a:xfrm>
                    <a:prstGeom prst="rect">
                      <a:avLst/>
                    </a:prstGeom>
                  </pic:spPr>
                </pic:pic>
              </a:graphicData>
            </a:graphic>
          </wp:inline>
        </w:drawing>
      </w:r>
    </w:p>
    <w:p>
      <w:pPr>
        <w:pStyle w:val="TextBody"/>
        <w:spacing w:before="0" w:after="0"/>
        <w:rPr/>
      </w:pPr>
      <w:r>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rPr/>
      </w:pPr>
      <w:r>
        <w:rPr/>
        <w:t> </w:t>
      </w:r>
    </w:p>
    <w:p>
      <w:pPr>
        <w:pStyle w:val="TextBody"/>
        <w:spacing w:before="0" w:after="0"/>
        <w:jc w:val="both"/>
        <w:rPr>
          <w:rFonts w:ascii="Times New Roman" w:hAnsi="Times New Roman"/>
          <w:sz w:val="24"/>
        </w:rPr>
      </w:pPr>
      <w:r>
        <w:rPr>
          <w:rFonts w:ascii="Times New Roman" w:hAnsi="Times New Roman"/>
          <w:color w:val="000000"/>
          <w:sz w:val="20"/>
        </w:rPr>
        <w:t xml:space="preserve">The Company routinely posts important information for investors on its web site (under </w:t>
      </w:r>
      <w:r>
        <w:rPr>
          <w:rFonts w:ascii="Times New Roman" w:hAnsi="Times New Roman"/>
          <w:sz w:val="20"/>
          <w:u w:val="single"/>
        </w:rPr>
        <w:t>www.spfi.bank</w:t>
      </w:r>
      <w:r>
        <w:rPr>
          <w:rFonts w:ascii="Times New Roman" w:hAnsi="Times New Roman"/>
          <w:color w:val="000000"/>
          <w:sz w:val="24"/>
        </w:rPr>
        <w:t> </w:t>
      </w:r>
      <w:r>
        <w:rPr>
          <w:rFonts w:ascii="Times New Roman" w:hAnsi="Times New Roman"/>
          <w:color w:val="000000"/>
          <w:sz w:val="20"/>
        </w:rPr>
        <w:t xml:space="preserve">and, more specifically, under the News &amp; Events tab at </w:t>
      </w:r>
      <w:r>
        <w:rPr>
          <w:rFonts w:ascii="Times New Roman" w:hAnsi="Times New Roman"/>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spacing w:before="0" w:after="0"/>
        <w:rPr/>
      </w:pPr>
      <w:r>
        <w:rPr/>
        <w:t> </w:t>
      </w:r>
    </w:p>
    <w:p>
      <w:pPr>
        <w:pStyle w:val="TextBody"/>
        <w:spacing w:before="0" w:after="0"/>
        <w:jc w:val="both"/>
        <w:rPr>
          <w:rFonts w:ascii="Times New Roman" w:hAnsi="Times New Roman"/>
          <w:sz w:val="24"/>
        </w:rPr>
      </w:pPr>
      <w:r>
        <w:rPr>
          <w:rFonts w:ascii="Times New Roman" w:hAnsi="Times New Roman"/>
          <w:color w:val="000000"/>
          <w:sz w:val="20"/>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quantitative tightening and current and future monetary policies of the Board of Governors of the Federal Reserve System, regulatory considerations, the extent of the impact of the COVID-19 pandemic (and any current or future variants thereof),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Times New Roman" w:hAnsi="Times New Roman"/>
          <w:i/>
          <w:color w:val="000000"/>
          <w:sz w:val="20"/>
        </w:rPr>
        <w:t>Risk Factors”</w:t>
      </w:r>
      <w:r>
        <w:rPr>
          <w:rFonts w:ascii="Times New Roman" w:hAnsi="Times New Roman"/>
          <w:color w:val="000000"/>
          <w:sz w:val="24"/>
        </w:rPr>
        <w:t xml:space="preserve"> </w:t>
      </w:r>
      <w:r>
        <w:rPr>
          <w:rFonts w:ascii="Times New Roman" w:hAnsi="Times New Roman"/>
          <w:color w:val="000000"/>
          <w:sz w:val="20"/>
        </w:rPr>
        <w:t>section of our most recent Annual Report on Form 10-K, as well as the “</w:t>
      </w:r>
      <w:r>
        <w:rPr>
          <w:rFonts w:ascii="Times New Roman" w:hAnsi="Times New Roman"/>
          <w:i/>
          <w:color w:val="000000"/>
          <w:sz w:val="20"/>
        </w:rPr>
        <w:t>Risk Factors</w:t>
      </w:r>
      <w:r>
        <w:rPr>
          <w:rFonts w:ascii="Times New Roman" w:hAnsi="Times New Roman"/>
          <w:color w:val="000000"/>
          <w:sz w:val="24"/>
        </w:rPr>
        <w:t xml:space="preserve">” </w:t>
      </w:r>
      <w:r>
        <w:rPr>
          <w:rFonts w:ascii="Times New Roman" w:hAnsi="Times New Roman"/>
          <w:color w:val="000000"/>
          <w:sz w:val="20"/>
        </w:rPr>
        <w:t xml:space="preserve">section of other documents South Plains files or furnishes with the SEC from time to time, which are available on the SEC’s website, </w:t>
      </w:r>
      <w:r>
        <w:rPr>
          <w:rFonts w:ascii="Times New Roman" w:hAnsi="Times New Roman"/>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pStyle w:val="TextBody"/>
        <w:spacing w:before="0" w:after="0"/>
        <w:rPr/>
      </w:pPr>
      <w:r>
        <w:rPr/>
        <w:t> </w:t>
      </w:r>
    </w:p>
    <w:p>
      <w:pPr>
        <w:pStyle w:val="Normal"/>
        <w:spacing w:before="0" w:after="0"/>
        <w:rPr>
          <w:sz w:val="4"/>
          <w:szCs w:val="4"/>
        </w:rPr>
      </w:pPr>
      <w:r>
        <w:rPr>
          <w:sz w:val="4"/>
          <w:szCs w:val="4"/>
        </w:rPr>
      </w:r>
      <w:bookmarkStart w:id="4" w:name="zffb1fb56d2d948808cad936df61fc34c"/>
      <w:bookmarkStart w:id="5" w:name="zffb1fb56d2d948808cad936df61fc34c"/>
      <w:bookmarkEnd w:id="5"/>
    </w:p>
    <w:tbl>
      <w:tblPr>
        <w:tblW w:w="4825" w:type="dxa"/>
        <w:jc w:val="left"/>
        <w:tblInd w:w="0" w:type="dxa"/>
        <w:tblCellMar>
          <w:top w:w="0" w:type="dxa"/>
          <w:left w:w="0" w:type="dxa"/>
          <w:bottom w:w="0" w:type="dxa"/>
          <w:right w:w="0" w:type="dxa"/>
        </w:tblCellMar>
      </w:tblPr>
      <w:tblGrid>
        <w:gridCol w:w="725"/>
        <w:gridCol w:w="4100"/>
      </w:tblGrid>
      <w:tr>
        <w:trPr/>
        <w:tc>
          <w:tcPr>
            <w:tcW w:w="72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investors@city.bank</w:t>
            </w:r>
          </w:p>
        </w:tc>
      </w:tr>
      <w:tr>
        <w:trPr/>
        <w:tc>
          <w:tcPr>
            <w:tcW w:w="725"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(866) 771-3347</w:t>
            </w:r>
          </w:p>
        </w:tc>
      </w:tr>
    </w:tbl>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spacing w:before="0" w:after="0"/>
        <w:rPr>
          <w:sz w:val="20"/>
        </w:rPr>
      </w:pPr>
      <w:r>
        <w:rPr>
          <w:sz w:val="20"/>
        </w:rPr>
      </w:r>
    </w:p>
    <w:p>
      <w:pPr>
        <w:pStyle w:val="TextBody"/>
        <w:spacing w:before="0" w:after="0"/>
        <w:rPr>
          <w:sz w:val="20"/>
        </w:rPr>
      </w:pPr>
      <w:r>
        <w:rPr>
          <w:sz w:val="20"/>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1733</Words>
  <CharactersWithSpaces>11556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