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920" w:right="1960" w:hanging="3912"/>
        <w:spacing w:after="0" w:line="455" w:lineRule="auto"/>
        <w:tabs>
          <w:tab w:leader="none" w:pos="48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040" w:right="1580" w:hanging="3032"/>
        <w:spacing w:after="0" w:line="462" w:lineRule="auto"/>
        <w:tabs>
          <w:tab w:leader="none" w:pos="497"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______________ to_______________</w:t>
      </w:r>
    </w:p>
    <w:p>
      <w:pPr>
        <w:spacing w:after="0" w:line="1" w:lineRule="exact"/>
        <w:rPr>
          <w:rFonts w:ascii="Arial" w:cs="Arial" w:eastAsia="Arial" w:hAnsi="Arial"/>
          <w:sz w:val="18"/>
          <w:szCs w:val="18"/>
          <w:color w:val="auto"/>
        </w:rPr>
      </w:pPr>
    </w:p>
    <w:p>
      <w:pPr>
        <w:ind w:left="422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001-38895</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75-2453320</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79407</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(806) 792-7101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Trading Symbol(s)</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34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320" w:type="dxa"/>
            <w:vAlign w:val="bottom"/>
          </w:tcPr>
          <w:p>
            <w:pPr>
              <w:spacing w:after="0"/>
              <w:rPr>
                <w:sz w:val="20"/>
                <w:szCs w:val="20"/>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9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9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220" w:type="dxa"/>
            <w:vAlign w:val="bottom"/>
          </w:tcPr>
          <w:p>
            <w:pPr>
              <w:ind w:left="12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960" w:type="dxa"/>
            <w:vAlign w:val="bottom"/>
          </w:tcPr>
          <w:p>
            <w:pPr>
              <w:ind w:left="1920"/>
              <w:spacing w:after="0" w:line="242" w:lineRule="exact"/>
              <w:rPr>
                <w:sz w:val="20"/>
                <w:szCs w:val="20"/>
                <w:color w:val="auto"/>
              </w:rPr>
            </w:pPr>
            <w:r>
              <w:rPr>
                <w:rFonts w:ascii="Arial" w:cs="Arial" w:eastAsia="Arial" w:hAnsi="Arial"/>
                <w:sz w:val="18"/>
                <w:szCs w:val="18"/>
                <w:color w:val="auto"/>
              </w:rPr>
              <w:t xml:space="preserve">Accelerated filer  </w:t>
            </w:r>
            <w:r>
              <w:rPr>
                <w:rFonts w:ascii="Arial Unicode MS" w:cs="Arial Unicode MS" w:eastAsia="Arial Unicode MS" w:hAnsi="Arial Unicode MS"/>
                <w:sz w:val="18"/>
                <w:szCs w:val="18"/>
                <w:color w:val="auto"/>
              </w:rPr>
              <w:t>☒</w:t>
            </w:r>
          </w:p>
        </w:tc>
        <w:tc>
          <w:tcPr>
            <w:tcW w:w="240" w:type="dxa"/>
            <w:vAlign w:val="bottom"/>
            <w:vMerge w:val="restart"/>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220" w:type="dxa"/>
            <w:vAlign w:val="bottom"/>
          </w:tcPr>
          <w:p>
            <w:pPr>
              <w:ind w:left="2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960" w:type="dxa"/>
            <w:vAlign w:val="bottom"/>
          </w:tcPr>
          <w:p>
            <w:pPr>
              <w:ind w:left="192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tcPr>
          <w:p>
            <w:pPr>
              <w:ind w:left="192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50" w:lineRule="exact"/>
        <w:rPr>
          <w:sz w:val="24"/>
          <w:szCs w:val="24"/>
          <w:color w:val="auto"/>
        </w:rPr>
      </w:pPr>
    </w:p>
    <w:p>
      <w:pPr>
        <w:jc w:val="both"/>
        <w:ind w:right="20"/>
        <w:spacing w:after="0" w:line="239" w:lineRule="exact"/>
        <w:rPr>
          <w:sz w:val="20"/>
          <w:szCs w:val="20"/>
          <w:color w:val="auto"/>
        </w:rPr>
      </w:pPr>
      <w:r>
        <w:rPr>
          <w:rFonts w:ascii="Arial" w:cs="Arial" w:eastAsia="Arial" w:hAnsi="Arial"/>
          <w:sz w:val="18"/>
          <w:szCs w:val="18"/>
          <w:color w:val="auto"/>
        </w:rPr>
        <w:t xml:space="preserve">Indicate by check mark whether the registrant has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led a report on and attestation to its management’s assessment of the e</w:t>
      </w:r>
      <w:r>
        <w:rPr>
          <w:rFonts w:ascii="Arial Unicode MS" w:cs="Arial Unicode MS" w:eastAsia="Arial Unicode MS" w:hAnsi="Arial Unicode MS"/>
          <w:sz w:val="18"/>
          <w:szCs w:val="18"/>
          <w:color w:val="auto"/>
        </w:rPr>
        <w:t>ﬀ</w:t>
      </w:r>
      <w:r>
        <w:rPr>
          <w:rFonts w:ascii="Arial" w:cs="Arial" w:eastAsia="Arial" w:hAnsi="Arial"/>
          <w:sz w:val="18"/>
          <w:szCs w:val="18"/>
          <w:color w:val="auto"/>
        </w:rPr>
        <w:t xml:space="preserve">ectiveness of its internal control over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nancial reporting under Section 404(b) of the Sarbanes-Oxley Act (15 U.S.C. 7262(b)) by the registered public accounting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rm that prepared or issued its audit report. </w:t>
      </w:r>
      <w:r>
        <w:rPr>
          <w:rFonts w:ascii="Arial Unicode MS" w:cs="Arial Unicode MS" w:eastAsia="Arial Unicode MS" w:hAnsi="Arial Unicode MS"/>
          <w:sz w:val="18"/>
          <w:szCs w:val="18"/>
          <w:color w:val="auto"/>
        </w:rPr>
        <w:t>☐</w:t>
      </w:r>
    </w:p>
    <w:p>
      <w:pPr>
        <w:spacing w:after="0" w:line="150"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223"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shares of common stock on The NASDAQ Stock Market, LLC on June 30, 2021, was $309.2 million.</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outstanding as of March 3, 2022 was 17,693,639.</w:t>
      </w:r>
    </w:p>
    <w:p>
      <w:pPr>
        <w:sectPr>
          <w:pgSz w:w="11900" w:h="16838" w:orient="portrait"/>
          <w:cols w:equalWidth="0" w:num="1">
            <w:col w:w="11240"/>
          </w:cols>
          <w:pgMar w:left="320" w:top="522" w:right="339"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relating to the Annual Meeting of Shareholders, scheduled to be held on May 11,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9"/>
          </w:tcPr>
          <w:p>
            <w:pPr>
              <w:ind w:left="3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3"/>
              </w:rPr>
              <w:t>Page No.</w:t>
            </w:r>
          </w:p>
        </w:tc>
        <w:tc>
          <w:tcPr>
            <w:tcW w:w="0" w:type="dxa"/>
            <w:vAlign w:val="bottom"/>
          </w:tcPr>
          <w:p>
            <w:pPr>
              <w:spacing w:after="0"/>
              <w:rPr>
                <w:sz w:val="1"/>
                <w:szCs w:val="1"/>
                <w:color w:val="auto"/>
              </w:rPr>
            </w:pPr>
          </w:p>
        </w:tc>
      </w:tr>
      <w:tr>
        <w:trPr>
          <w:trHeight w:val="209"/>
        </w:trPr>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shd w:val="clear" w:color="auto" w:fill="CCEEFF"/>
          </w:tcPr>
          <w:p>
            <w:pPr>
              <w:spacing w:after="0" w:line="182"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780" w:type="dxa"/>
            <w:vAlign w:val="bottom"/>
            <w:tcBorders>
              <w:bottom w:val="single" w:sz="8" w:color="CCEEFF"/>
            </w:tcBorders>
            <w:gridSpan w:val="21"/>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5"/>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1A</w:t>
            </w:r>
          </w:p>
        </w:tc>
        <w:tc>
          <w:tcPr>
            <w:tcW w:w="9420" w:type="dxa"/>
            <w:vAlign w:val="bottom"/>
            <w:gridSpan w:val="2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Unresolved Staff Comments</w:t>
              </w:r>
            </w:hyperlink>
          </w:p>
        </w:tc>
        <w:tc>
          <w:tcPr>
            <w:tcW w:w="7380" w:type="dxa"/>
            <w:vAlign w:val="bottom"/>
            <w:tcBorders>
              <w:bottom w:val="single" w:sz="8" w:color="CCEEFF"/>
            </w:tcBorders>
            <w:gridSpan w:val="1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176"/>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2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23"/>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23"/>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5.</w:t>
            </w:r>
          </w:p>
        </w:tc>
        <w:tc>
          <w:tcPr>
            <w:tcW w:w="9420" w:type="dxa"/>
            <w:vAlign w:val="bottom"/>
            <w:gridSpan w:val="2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Market for Registrant’s Common Equity, Related Stockholder Matters and Issuer Purchases of Equity Securities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6.</w:t>
            </w:r>
          </w:p>
        </w:tc>
        <w:tc>
          <w:tcPr>
            <w:tcW w:w="9420" w:type="dxa"/>
            <w:vAlign w:val="bottom"/>
            <w:gridSpan w:val="2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[Reserved]</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7.</w:t>
            </w:r>
          </w:p>
        </w:tc>
        <w:tc>
          <w:tcPr>
            <w:tcW w:w="9420" w:type="dxa"/>
            <w:vAlign w:val="bottom"/>
            <w:gridSpan w:val="2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Quantitative and Qualitative Disclosures About Market Risk</w:t>
              </w:r>
            </w:hyperlink>
          </w:p>
        </w:tc>
        <w:tc>
          <w:tcPr>
            <w:tcW w:w="506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75"/>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8.</w:t>
            </w:r>
          </w:p>
        </w:tc>
        <w:tc>
          <w:tcPr>
            <w:tcW w:w="9420" w:type="dxa"/>
            <w:vAlign w:val="bottom"/>
            <w:gridSpan w:val="2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Financial Statements and Supplementary Data</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9.</w:t>
            </w:r>
          </w:p>
        </w:tc>
        <w:tc>
          <w:tcPr>
            <w:tcW w:w="9420" w:type="dxa"/>
            <w:vAlign w:val="bottom"/>
            <w:gridSpan w:val="23"/>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Changes in and Disagreements With Accountants on Accounting and Financial Disclosure</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176"/>
        </w:trPr>
        <w:tc>
          <w:tcPr>
            <w:tcW w:w="1040" w:type="dxa"/>
            <w:vAlign w:val="bottom"/>
            <w:tcBorders>
              <w:top w:val="single" w:sz="8" w:color="CCEEFF"/>
            </w:tcBorders>
          </w:tcPr>
          <w:p>
            <w:pPr>
              <w:ind w:left="120"/>
              <w:spacing w:after="0" w:line="176" w:lineRule="exact"/>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0"/>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Controls and Procedures</w:t>
              </w:r>
            </w:hyperlink>
          </w:p>
        </w:tc>
        <w:tc>
          <w:tcPr>
            <w:tcW w:w="2920" w:type="dxa"/>
            <w:vAlign w:val="bottom"/>
            <w:tcBorders>
              <w:top w:val="single" w:sz="8" w:color="CCEEFF"/>
            </w:tcBorders>
            <w:gridSpan w:val="3"/>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9B.</w:t>
            </w:r>
          </w:p>
        </w:tc>
        <w:tc>
          <w:tcPr>
            <w:tcW w:w="9420" w:type="dxa"/>
            <w:vAlign w:val="bottom"/>
            <w:gridSpan w:val="23"/>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9C.</w:t>
            </w:r>
          </w:p>
        </w:tc>
        <w:tc>
          <w:tcPr>
            <w:tcW w:w="9420" w:type="dxa"/>
            <w:vAlign w:val="bottom"/>
            <w:gridSpan w:val="23"/>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Disclosure Regarding Foreign Jurisdictions that Prevent Inspections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6"/>
              </w:rPr>
              <w:t>101</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10.</w:t>
            </w:r>
          </w:p>
        </w:tc>
        <w:tc>
          <w:tcPr>
            <w:tcW w:w="9420" w:type="dxa"/>
            <w:vAlign w:val="bottom"/>
            <w:gridSpan w:val="23"/>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Executive Compensation</w:t>
              </w:r>
            </w:hyperlink>
          </w:p>
        </w:tc>
        <w:tc>
          <w:tcPr>
            <w:tcW w:w="762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176"/>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12.</w:t>
            </w:r>
          </w:p>
        </w:tc>
        <w:tc>
          <w:tcPr>
            <w:tcW w:w="9420" w:type="dxa"/>
            <w:vAlign w:val="bottom"/>
            <w:gridSpan w:val="23"/>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13.</w:t>
            </w:r>
          </w:p>
        </w:tc>
        <w:tc>
          <w:tcPr>
            <w:tcW w:w="9420" w:type="dxa"/>
            <w:vAlign w:val="bottom"/>
            <w:gridSpan w:val="23"/>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Certain Relationships and Related Transactions, and Director Independence</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175"/>
        </w:trPr>
        <w:tc>
          <w:tcPr>
            <w:tcW w:w="1040" w:type="dxa"/>
            <w:vAlign w:val="bottom"/>
            <w:tcBorders>
              <w:top w:val="single" w:sz="8" w:color="CCEEFF"/>
            </w:tcBorders>
          </w:tcPr>
          <w:p>
            <w:pPr>
              <w:ind w:left="120"/>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Principal Accounting Fees and Services</w:t>
              </w:r>
            </w:hyperlink>
          </w:p>
        </w:tc>
        <w:tc>
          <w:tcPr>
            <w:tcW w:w="3980" w:type="dxa"/>
            <w:vAlign w:val="bottom"/>
            <w:tcBorders>
              <w:top w:val="single" w:sz="8" w:color="CCEEFF"/>
            </w:tcBorders>
            <w:gridSpan w:val="5"/>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Pr>
          <w:p>
            <w:pPr>
              <w:ind w:left="120"/>
              <w:spacing w:after="0" w:line="176" w:lineRule="exact"/>
              <w:rPr>
                <w:sz w:val="20"/>
                <w:szCs w:val="20"/>
                <w:color w:val="auto"/>
              </w:rPr>
            </w:pPr>
            <w:r>
              <w:rPr>
                <w:rFonts w:ascii="Arial" w:cs="Arial" w:eastAsia="Arial" w:hAnsi="Arial"/>
                <w:sz w:val="18"/>
                <w:szCs w:val="18"/>
                <w:color w:val="auto"/>
              </w:rPr>
              <w:t>Item 15.</w:t>
            </w:r>
          </w:p>
        </w:tc>
        <w:tc>
          <w:tcPr>
            <w:tcW w:w="9420" w:type="dxa"/>
            <w:vAlign w:val="bottom"/>
            <w:gridSpan w:val="23"/>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Exhibits, Financial Statement Schedules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Item 16.</w:t>
            </w:r>
          </w:p>
        </w:tc>
        <w:tc>
          <w:tcPr>
            <w:tcW w:w="9420" w:type="dxa"/>
            <w:vAlign w:val="bottom"/>
            <w:gridSpan w:val="23"/>
            <w:shd w:val="clear" w:color="auto" w:fill="CCEEFF"/>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Form 10-K Summary</w:t>
              </w:r>
            </w:hyperlink>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460" w:type="dxa"/>
            <w:vAlign w:val="bottom"/>
            <w:gridSpan w:val="24"/>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SIGNATURES</w:t>
              </w:r>
            </w:hyperlink>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419"/>
        </w:trPr>
        <w:tc>
          <w:tcPr>
            <w:tcW w:w="10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Annual Report on Form 10-K for the year ended December 31, 2021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effectively execute our expansion strategy and manage our growth, including identifying and consummating suitable acquisitions;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and economic conditions, particularly those affecting our market areas, as well as the concentration of our business in such market areas, and the uncertain inflationary outlook in the United States and our market areas;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duration and severity of the ongoing COVID-19 pandemic, and any current or future variants thereof, and the response of governmental authorities to the COVID-19 pandemic;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coronavirus), other international or domestic calamities, and other matters beyond our control;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tariffs and trade barriers;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(“Dodd-Frank Act”), Economic Growth, Regulatory Relief, and Consumer Protection Act of 2018 (“EGRRCPA”), and others relating to banking, consumer protection, securities and tax matters;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Biden administration.</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Report and the “Risk Factors” set forth under Part I, Item IA of this Report.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323"/>
        <w:spacing w:after="0" w:line="263" w:lineRule="auto"/>
        <w:rPr>
          <w:sz w:val="20"/>
          <w:szCs w:val="20"/>
          <w:color w:val="auto"/>
        </w:rPr>
      </w:pPr>
      <w:r>
        <w:rPr>
          <w:rFonts w:ascii="Arial" w:cs="Arial" w:eastAsia="Arial" w:hAnsi="Arial"/>
          <w:sz w:val="18"/>
          <w:szCs w:val="18"/>
          <w:color w:val="auto"/>
        </w:rPr>
        <w:t>South Plains Financial, Inc. (the “Company” or “SPFI”) is a bank holding company headquartered in Lubbock, Texas, and City Bank, SPFI’s wholly-owned banking subsidiary, is one of the largest independent banks in West Texas (“City Bank” or the “Bank”). The Company is hereafter collectively referred to as “we,” “us” or “our.”</w:t>
      </w:r>
    </w:p>
    <w:p>
      <w:pPr>
        <w:spacing w:after="0" w:line="184"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We have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7"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We had total assets of $3.90 billion, gross loans held for investment of $2.44 billion, total deposits of $3.34 billion, and total shareholders’ equity of $407.4 million as of December 31, 2021.</w:t>
      </w:r>
    </w:p>
    <w:p>
      <w:pPr>
        <w:spacing w:after="0" w:line="170" w:lineRule="exact"/>
        <w:rPr>
          <w:sz w:val="20"/>
          <w:szCs w:val="20"/>
          <w:color w:val="auto"/>
        </w:rPr>
      </w:pPr>
    </w:p>
    <w:p>
      <w:pPr>
        <w:jc w:val="both"/>
        <w:ind w:firstLine="323"/>
        <w:spacing w:after="0" w:line="289" w:lineRule="auto"/>
        <w:rPr>
          <w:sz w:val="20"/>
          <w:szCs w:val="20"/>
          <w:color w:val="auto"/>
        </w:rPr>
      </w:pPr>
      <w:r>
        <w:rPr>
          <w:rFonts w:ascii="Arial" w:cs="Arial" w:eastAsia="Arial" w:hAnsi="Arial"/>
          <w:sz w:val="16"/>
          <w:szCs w:val="16"/>
          <w:color w:val="auto"/>
        </w:rPr>
        <w:t>Our history dates back over 80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 We acquired West Texas State Bank, Odessa, Texas, approximately $430 million in assets, in 2019 through the merger of West Texas State Bank with and into the Bank.</w:t>
      </w:r>
    </w:p>
    <w:p>
      <w:pPr>
        <w:spacing w:after="0" w:line="166"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currently operate 25 full-service banking locations across seven geographic markets resulting from six acquisitions, de novo branch establishments, and the formation of a de novo bank in Ruidoso, New Mexico, which we later merged into the Bank. We also operate 15 loan production offices both in our banking markets and in certain key areas in Texas that focus on mortgage loan origination.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the markets that we serve.</w:t>
      </w:r>
    </w:p>
    <w:p>
      <w:pPr>
        <w:spacing w:after="0" w:line="192" w:lineRule="exact"/>
        <w:rPr>
          <w:sz w:val="20"/>
          <w:szCs w:val="20"/>
          <w:color w:val="auto"/>
        </w:rPr>
      </w:pPr>
    </w:p>
    <w:p>
      <w:pPr>
        <w:jc w:val="both"/>
        <w:ind w:right="20" w:firstLine="323"/>
        <w:spacing w:after="0" w:line="277" w:lineRule="auto"/>
        <w:rPr>
          <w:sz w:val="20"/>
          <w:szCs w:val="20"/>
          <w:color w:val="auto"/>
        </w:rPr>
      </w:pPr>
      <w:r>
        <w:rPr>
          <w:rFonts w:ascii="Arial" w:cs="Arial" w:eastAsia="Arial" w:hAnsi="Arial"/>
          <w:sz w:val="18"/>
          <w:szCs w:val="18"/>
          <w:color w:val="auto"/>
        </w:rPr>
        <w:t>We operate in two reportable segments of business: community banking, which includes City Bank, our sole banking subsidiary, and insurance, which includes Windmark Insurance Agency, Inc. (“Windmark”).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Activities</w:t>
      </w:r>
    </w:p>
    <w:p>
      <w:pPr>
        <w:spacing w:after="0" w:line="229"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7"/>
          <w:szCs w:val="17"/>
          <w:color w:val="auto"/>
        </w:rPr>
        <w:t>On July 25, 2019, we entered into an Agreement and Plan of Merger with West Texas State Bank, a Texas banking association (“WTSB”), providing for our acquisition of WTSB through the merger of SPFI Merger Sub, Inc., a Texas corporation and wholly-owned subsidiary of SPFI, with and into WTSB, with WTSB continuing as the surviving entity and thereafter being a wholly-owned subsidiary of SPFI. The merger was consummated on November 12, 2019 and WTSB merged with and into City Bank, with City Bank surviving the merger.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Area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operate in the following markets (deposit information is as of December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Lubbock/South Plains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operate 10 branches holding $2.1 billion of deposits in the Lubbock metropolitan statistical area (“MSA”) and the surrounding South Plains region of Texas.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Dallas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operate three branches with $450.3 million of deposits and eight loan production offices, which we refer to as mortgage offices, in the Dallas-Fort Worth-Arlington MSA, which we refer to as the Dallas-Fort Worth metroplex.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 Paso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operate two bank branches with $204.9 million of deposits and one mortgage office in the El Paso MSA.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Houston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We operate one branch with $27.0 million of deposits in the Houston-The Woodlands-Sugarland MSA, which we refer to as Greater Houston.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branch is located in the city of Houston.</w:t>
      </w:r>
    </w:p>
    <w:p>
      <w:pPr>
        <w:sectPr>
          <w:pgSz w:w="11900" w:h="16838" w:orient="portrait"/>
          <w:cols w:equalWidth="0" w:num="1">
            <w:col w:w="11240"/>
          </w:cols>
          <w:pgMar w:left="320" w:top="121"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Bryan/College Station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operate one branch and one mortgage office in the city of College Station, Texas, which has $72.6 million in deposits. We refer to the Bryan-College Station MSA as Bryan/College Station.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Permian Basin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operate six branches with $287.0 million of deposits in the Permian Basin region of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Ruidoso/Eastern New Mexico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We operate two branches with $170.8 million of deposits in the village of Ruidoso, New Mexico.</w:t>
      </w:r>
    </w:p>
    <w:p>
      <w:pPr>
        <w:spacing w:after="0" w:line="22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We believe our exposure to these dynamic and complementary markets provides us with economic diversification and the opportunity for expansion across Texas and New Mexico.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188"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7"/>
          <w:szCs w:val="17"/>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firstLine="323"/>
        <w:spacing w:after="0" w:line="308" w:lineRule="auto"/>
        <w:rPr>
          <w:sz w:val="20"/>
          <w:szCs w:val="20"/>
          <w:color w:val="auto"/>
        </w:rPr>
      </w:pPr>
      <w:r>
        <w:rPr>
          <w:rFonts w:ascii="Arial" w:cs="Arial" w:eastAsia="Arial" w:hAnsi="Arial"/>
          <w:sz w:val="17"/>
          <w:szCs w:val="17"/>
          <w:color w:val="auto"/>
        </w:rPr>
        <w:t>As of December 31, 2021, we had approximately 680 total employees, which included 609 full-time employees and 71 part-time employees. None of our employees are covered under a collective bargaining agreement and management considers its employee relations to be satisfactory.</w:t>
      </w:r>
    </w:p>
    <w:p>
      <w:pPr>
        <w:spacing w:after="0" w:line="146"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believe our ability to attract and retain employees is a key to our success. Accordingly, we strive to offer competitive salaries and employee benefits to all employees and monitor salaries in our market areas. In addition to competitive base salaries and benefits, additional employee programs include annual bonus opportunities, Company matched 401(k) Plan contributions, healthcare and insurance benefits, health savings and flexible spending accounts, long-term care and long-term disability benefits, life insurance benefits, a robust wellness program, and paid-time off.</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We adhere to what we believe are disciplined underwriting standards, but also remain cognizant of serving the credit needs of customers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spacing w:after="0" w:line="192"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7"/>
          <w:szCs w:val="17"/>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16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Credit Concentrations</w:t>
      </w:r>
      <w:r>
        <w:rPr>
          <w:rFonts w:ascii="Arial" w:cs="Arial" w:eastAsia="Arial" w:hAnsi="Arial"/>
          <w:sz w:val="17"/>
          <w:szCs w:val="17"/>
          <w:color w:val="auto"/>
        </w:rPr>
        <w:t>. In connection with the management of our credit portfolio, we actively manage the composition of our loan portfolio,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credit 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sectPr>
          <w:pgSz w:w="11900" w:h="16838" w:orient="portrait"/>
          <w:cols w:equalWidth="0" w:num="1">
            <w:col w:w="11240"/>
          </w:cols>
          <w:pgMar w:left="320" w:top="121"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Loan Approval Process</w:t>
      </w:r>
      <w:r>
        <w:rPr>
          <w:rFonts w:ascii="Arial" w:cs="Arial" w:eastAsia="Arial" w:hAnsi="Arial"/>
          <w:sz w:val="17"/>
          <w:szCs w:val="17"/>
          <w:color w:val="auto"/>
        </w:rPr>
        <w:t>. We seek to achieve an appropriate balance between prudent, disciplined underwriting and flexibility in our decision-making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responsiveness to our customers. Our Board requires news loans over $5 million to relationships in excess of $20 million to be reported to the Board Credit Risk Committee. As of December 31, 2021, the Bank had a legal lending limit of approximately $97.5 million. As of that date, our 20 largest borrowing relationships ranged from approximately $18.6 million to $51.0 million (including unfunded commitments) and totaled approximately $515.9 million in total commitments (representing, in the aggregate, 17.3% of our total outstanding commitments).</w:t>
      </w:r>
    </w:p>
    <w:p>
      <w:pPr>
        <w:spacing w:after="0" w:line="176"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Our credit approval policies provide for various levels of officer and senior management lending authority for new credits and renewals, which are based on position, capability and experience. Loans in excess of an individual officer’s lending limit up to $3 million may be approved with joint authorities of a market president and a senior credit officer. Loan relationships over $3 million are approved by our Executive Loan Committee. These limits are reviewed periodically by the Bank’s Board. We believe that our credit approval process provides for thorough underwriting and efficient decision-making.</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Credit Risk Management</w:t>
      </w:r>
      <w:r>
        <w:rPr>
          <w:rFonts w:ascii="Arial" w:cs="Arial" w:eastAsia="Arial" w:hAnsi="Arial"/>
          <w:sz w:val="18"/>
          <w:szCs w:val="18"/>
          <w:color w:val="auto"/>
        </w:rPr>
        <w:t>. Credit risk management involves a partnership between our loan officers and our credit approval, credit administration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collections personnel. Loan delinquencies and exceptions are constantly monitored by credit personnel and consultations with loan officers occur as often as daily. Our performance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188"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Our policies require rapid notification of delinquency and prompt initiation of collection actions. Loan officers, credit administration personnel, and senior management proactively support collection activities.</w:t>
      </w:r>
    </w:p>
    <w:p>
      <w:pPr>
        <w:spacing w:after="0" w:line="170"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7"/>
          <w:szCs w:val="17"/>
          <w:color w:val="auto"/>
        </w:rPr>
        <w:t>In accordance with our credit risk management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178"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review of at least 60% of the total dollar amount of the loan portfolio.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We manage our securities portfolio primarily for liquidity purposes, including depositor and borrower funding requirements and availability as collateral for public fund deposits, with a secondary focus on interest income. Our securities portfolio is classified as either available-for-sale or held-to-maturity and can be used for pledging on public deposits, selling under repurchase agreements and meeting unforeseen liquidity needs. The investments in our securities portfolio are a variety of high-grade securities, including government agency securities, government guaranteed mortgage backed securities and municipal securities.</w:t>
      </w:r>
    </w:p>
    <w:p>
      <w:pPr>
        <w:spacing w:after="0" w:line="188"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ind w:firstLine="323"/>
        <w:spacing w:after="0" w:line="311"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In addition to deposits, we may utilize advances from the Federal Home Loan Bank of Dallas (the “FHLB”), and other borrowings, such as a line of credit with the Federal Reserve Bank of Dallas (the “FRB”), uncollateralized lines of credit with multiple banks, subordinated debt securities, and junior subordinated deferrable interest debentures as supplementary funding sources to finance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Banking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w:t>
      </w:r>
    </w:p>
    <w:p>
      <w:pPr>
        <w:spacing w:after="0" w:line="225"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Our mortgage originations totaled $1.5 billion for the year ended December 31, 2021. In 2021, we sold approximately 97% of the mortgages we originated. We originate mortgages primarily from our branches or loan production offices in Lubbock, El Paso, College Station, Abilene, Arlington, Austin, Beaumont, Dallas, Dripping Springs, Forney, Fort Worth, Grand Prairie, Houston, Midland, Southlake, and Waco, Texas. We refer to our loan production offices as mortgage offices. While our mortgage operation represents a sizable component of our total noninterest income, comprising 61%, or $59.7 million, for the year ended December 31, 2021, we view the mortgage business as an ancillary part of our operations. Within our mortgage origination portfolio, refinances of existing mortgages represented 54% of total mortgage originations in 2021. We retain mortgage servicing rights from time to time when we sell mortgages to third parties. As of December 31, 2021, we serviced $2.0 billion of mortgages that we originated and sold to third parties.</w:t>
      </w:r>
    </w:p>
    <w:p>
      <w:pPr>
        <w:spacing w:after="0" w:line="192"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7"/>
          <w:szCs w:val="17"/>
          <w:color w:val="auto"/>
        </w:rPr>
        <w:t>We leverage a variety of digital reporting tools to increase the efficiency of the underwriting process, enhance loan production and boost overall margins while keeping expenses to a minimum. New market expansion will depend primarily on opportunities to hire and retain high quality loan origination staff. Additionally, existing markets are monitored for profitability and efficiencies to determine if we would need to exit any locations.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Windmark Insurance, a wholly-owned subsidiary of the Bank, offers a variety of crop insurance products through our offices in Texas, Oklahoma, Nebraska, and Colorado and by acting as the general agency for independent agents in 17 states. Windmark Insurance’s operations contributed $8.1 million of total revenues for the year ended December 31, 2021. That revenue was derived from a total insurance premium base of over $158 million. Crop insurance is offered to producers of many different crops from 14 approved providers who operate under agreements with the U.S. Department of Agriculture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Services</w:t>
      </w:r>
    </w:p>
    <w:p>
      <w:pPr>
        <w:spacing w:after="0" w:line="225" w:lineRule="exact"/>
        <w:rPr>
          <w:sz w:val="20"/>
          <w:szCs w:val="20"/>
          <w:color w:val="auto"/>
        </w:rPr>
      </w:pPr>
    </w:p>
    <w:p>
      <w:pPr>
        <w:jc w:val="both"/>
        <w:ind w:firstLine="323"/>
        <w:spacing w:after="0" w:line="296" w:lineRule="auto"/>
        <w:rPr>
          <w:sz w:val="20"/>
          <w:szCs w:val="20"/>
          <w:color w:val="auto"/>
        </w:rPr>
      </w:pPr>
      <w:r>
        <w:rPr>
          <w:rFonts w:ascii="Arial" w:cs="Arial" w:eastAsia="Arial" w:hAnsi="Arial"/>
          <w:sz w:val="16"/>
          <w:szCs w:val="16"/>
          <w:color w:val="auto"/>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individual retirement accounts (“IRAs”), simplified employee pensions plans, employee stock ownership plans (“ESOPs”), defined benefit plans, profit-sharing plans, Keoghs and managed IRAs. Our trust department had $457 million of assets under management at December 31, 2021, and contributed $2.9 million of fee income for the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Services</w:t>
      </w:r>
    </w:p>
    <w:p>
      <w:pPr>
        <w:spacing w:after="0" w:line="225"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The Investment Center at City Bank provides a variety of investments offered through Raymond James Financial Services, Inc. (Member FINRA/SIPC) including self-directed IRAs, money market funds, 401(k) plans, mutual funds, annuities and tax-deferred annuities, stocks and bonds, investments for non-U.S. residents, treasury bills, treasury notes and bonds and tax-exempt municipal bonds. Gross revenue derived from our investment services for 2021 was $1.9 million with $596.5 million in assets under management at December 31, 2021.</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96" w:lineRule="exact"/>
        <w:rPr>
          <w:sz w:val="20"/>
          <w:szCs w:val="20"/>
          <w:color w:val="auto"/>
        </w:rPr>
      </w:pPr>
    </w:p>
    <w:p>
      <w:pPr>
        <w:jc w:val="both"/>
        <w:ind w:firstLine="323"/>
        <w:spacing w:after="0" w:line="296"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161"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7"/>
          <w:szCs w:val="17"/>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78"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 Requirements</w:t>
      </w:r>
    </w:p>
    <w:p>
      <w:pPr>
        <w:spacing w:after="0" w:line="229"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195"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The Basel III Capital Rules also establish a “capital conservation buffer” of 2.5% above the regulatory minimum risk-based capital requirements. An institution is subject to limitations on certain activities, including payment of dividends, share repurchases and discretionary bonuses to executive officers, if its capital level is below the buffered ratio.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340"/>
              <w:spacing w:after="0"/>
              <w:rPr>
                <w:sz w:val="20"/>
                <w:szCs w:val="20"/>
                <w:color w:val="auto"/>
              </w:rPr>
            </w:pPr>
            <w:r>
              <w:rPr>
                <w:rFonts w:ascii="Arial" w:cs="Arial" w:eastAsia="Arial" w:hAnsi="Arial"/>
                <w:sz w:val="18"/>
                <w:szCs w:val="18"/>
                <w:color w:val="auto"/>
              </w:rPr>
              <w:t>The Basel III minimum capital ratios are summarized in the table below.</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72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Basel III</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Basel III</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Basel III</w:t>
            </w:r>
          </w:p>
        </w:tc>
      </w:tr>
      <w:tr>
        <w:trPr>
          <w:trHeight w:val="216"/>
        </w:trPr>
        <w:tc>
          <w:tcPr>
            <w:tcW w:w="7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Minimum</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Ratio with</w:t>
            </w:r>
          </w:p>
        </w:tc>
      </w:tr>
      <w:tr>
        <w:trPr>
          <w:trHeight w:val="216"/>
        </w:trPr>
        <w:tc>
          <w:tcPr>
            <w:tcW w:w="7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for Capital</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r>
      <w:tr>
        <w:trPr>
          <w:trHeight w:val="216"/>
        </w:trPr>
        <w:tc>
          <w:tcPr>
            <w:tcW w:w="7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Adequacy</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Conservation</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Conservation</w:t>
            </w:r>
          </w:p>
        </w:tc>
      </w:tr>
      <w:tr>
        <w:trPr>
          <w:trHeight w:val="241"/>
        </w:trPr>
        <w:tc>
          <w:tcPr>
            <w:tcW w:w="7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Purposes</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Buffer</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Buffer</w:t>
            </w:r>
          </w:p>
        </w:tc>
        <w:tc>
          <w:tcPr>
            <w:tcW w:w="160" w:type="dxa"/>
            <w:vAlign w:val="bottom"/>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risk based capital (CET1 to risk-weighted assets)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bl>
    <w:p>
      <w:pPr>
        <w:spacing w:after="0" w:line="187"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spacing w:after="0" w:line="16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loans, or acquisition, development, and construction, or ADC, loans;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184"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As of December 31, 2021, the Company’s and the Bank’s capital ratios exceeded the minimum capital adequacy guideline percentage requirements under the Basel III Capital Rules on a fully phased-in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Bank Leverage Ratio</w:t>
      </w:r>
    </w:p>
    <w:p>
      <w:pPr>
        <w:spacing w:after="0" w:line="229"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7"/>
          <w:szCs w:val="17"/>
          <w:color w:val="auto"/>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The final rule became effective on January 1, 2020, and the CBLR framework became available for banks to use beginning with their March 31, 2020 Call Reports.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QCBO, is defined as a bank, savings association, bank holding company or savings and loan holding company with: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CBLR of greater than 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non-advanced approaches institution.</w:t>
      </w:r>
    </w:p>
    <w:p>
      <w:pPr>
        <w:spacing w:after="0" w:line="225"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The numerator of the CBLR is referred to as “CBLR tangible equity” and is calculated as the QCBO’s total capital as reported in compliance with the reporting instructions to the Call Report or the FR Y-9C, or Reporting Instructions (prior to including non-controlling interests in consolidated subsidiaries) less:</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other comprehensive income, or AOCI;</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calculated in accordance with Reporting Instructions, other than mortgage servicing assets;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22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The denominator of the CBLR is the QCBO’s average assets, calculated in accordance with Reporting Instructions and less intangible assets and deferred tax assets deducted from CBLR tangible equity.</w:t>
      </w:r>
    </w:p>
    <w:p>
      <w:pPr>
        <w:spacing w:after="0" w:line="170"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Although the Company and the Bank are QCBOs, the Company and the Bank have currently not elected to opt in to the CBLR framework at this time and will continue to follow the Basel III capital requirements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229"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 Accordingly, a financial institution may be considered “well-capitalized” under the prompt corrective action framework, but not satisfy the full Basel III capital ratios. Generally, a financial institution must be “well capitalized” before the Federal Reserve will approve an application by a bank holding company to acquire a bank or merge with a bank holding company. The FDIC applies the same requirement in approving bank merger applications.</w:t>
      </w:r>
    </w:p>
    <w:p>
      <w:pPr>
        <w:spacing w:after="0" w:line="185"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7"/>
          <w:szCs w:val="17"/>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178"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7"/>
          <w:szCs w:val="17"/>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171"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As of December 31, 2021, the Bank met the requirements for being deemed “well-capitalized” for purposes of the prompt corrective action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 of Federal and State Banking Agencies</w:t>
      </w:r>
    </w:p>
    <w:p>
      <w:pPr>
        <w:spacing w:after="0" w:line="22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As a bank holding company, the Company is subject to regulation and supervision by the Federal Reserve under the Bank Holding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1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Acquisitions, Activities and Change in Control</w:t>
      </w:r>
      <w:r>
        <w:rPr>
          <w:rFonts w:ascii="Arial" w:cs="Arial" w:eastAsia="Arial" w:hAnsi="Arial"/>
          <w:sz w:val="16"/>
          <w:szCs w:val="16"/>
          <w:color w:val="auto"/>
        </w:rPr>
        <w:t>. The BHCA generally requires the prior approval by the Federal Reserve for any merger involving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165"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192"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The BHCA also prohibits any company from acquiring “control” of a bank or bank holding company without prior notice to the appropriate federal bank regulator. “Control” is conclusively presumed to exist upon the acquisition of 25% or more of the outstanding voting securities of a bank or bank holding company, but may arise based on the facts and circumstances even with ownership below 5.00% up to 24.99% ownership. On September 30, 2020, the Federal Reserve’s final rule revising the Federal Reserve’s regulations related to determinations of whether a company has “control” over another company, including a bank holding company or a bank, for purposes of the BHCA, became effective. The final rule created a tiered system of non-control presumptions based upon the percentage of any class of voting securities held by an acquirer and the presence of other indicia of control, The final rule’s four categories of tiered presumptions of non-control, based upon the percentage of ownership of any class of voting securities held by an acquirer, are (i) less than 5%, (ii) 5% to 9.99%, (iii) 10% to 14.99%, and (iv) 15% to 24.99%. By codifying the non-control presumptions, the final rule provides greater transparency with respect to the total level of equity, representative directors, management interlocks, limiting contractual provisions and business relationships that would be permissible to the Federal Reserve in order to avoid a determination of control. The Federal Reserve’s final rule applies to control determinations under the BHCA, but does not apply to the Change in Bank Control Act, as amended (the “CIBC Act”).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The CIBC Act provides that a person, which includes a natural person or entity, directly or indirectly, has “control” of a bank or bank holding company if it (i) owns, controls, or has the power to vote 25% or more of the voting securities of the bank or bank holding company, (ii) controls the election of directors, trustees, or general partners of the company, (iii) has a controlling influence over the management or policies of the company, or (iv) conditions in any manner the transfer of 25% or more of the voting securities of the company upon the transfer of 25 % or more of the outstanding shares of any class of voting securities of another company. Accordingly, the CIBC Act requires that prior to the acquisition of any class of voting securities of a bank or bank holding company that prior notice to the Federal Reserve be provided, if, immediately after the transaction, the acquiring person (or persons acting in concert) will own, control, or hold the power to vote 25% or more of any class of voting securities of the bank or bank holding company. A rebuttable presumption of control arises under the CIBC Act where a person (or persons acting in concert) controls 10% or more (but less than 25%) of a class of the voting securities of a bank or bank holding (i) which has registered securities under the Exchange Act, such as the Company, or (ii) no other person owns, controls, or holds the power to vote a greater percentage of any class of voting securities immediately after the transaction.</w:t>
      </w:r>
    </w:p>
    <w:p>
      <w:pPr>
        <w:spacing w:after="0" w:line="16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Permissible Activities</w:t>
      </w:r>
      <w:r>
        <w:rPr>
          <w:rFonts w:ascii="Arial" w:cs="Arial" w:eastAsia="Arial" w:hAnsi="Arial"/>
          <w:sz w:val="17"/>
          <w:szCs w:val="17"/>
          <w:color w:val="auto"/>
        </w:rPr>
        <w:t>. The BHCA generally prohibits the Company from controlling or engaging in any business other than that of banking,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spacing w:after="0" w:line="177"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77"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7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Source of Strength</w:t>
      </w:r>
      <w:r>
        <w:rPr>
          <w:rFonts w:ascii="Arial" w:cs="Arial" w:eastAsia="Arial" w:hAnsi="Arial"/>
          <w:sz w:val="16"/>
          <w:szCs w:val="16"/>
          <w:color w:val="auto"/>
        </w:rPr>
        <w:t>. Federal Reserve policy historically required bank holding companies to act as a source of financial and managerial strength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Imposition of Liability for Undercapitalized Subsidiaries</w:t>
      </w:r>
      <w:r>
        <w:rPr>
          <w:rFonts w:ascii="Arial" w:cs="Arial" w:eastAsia="Arial" w:hAnsi="Arial"/>
          <w:sz w:val="17"/>
          <w:szCs w:val="17"/>
          <w:color w:val="auto"/>
        </w:rPr>
        <w:t>. Bank regulators are required to take “prompt corrective action” to resolve problems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spacing w:after="0" w:line="1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Safe and Sound Banking Practices</w:t>
      </w:r>
      <w:r>
        <w:rPr>
          <w:rFonts w:ascii="Arial" w:cs="Arial" w:eastAsia="Arial" w:hAnsi="Arial"/>
          <w:sz w:val="17"/>
          <w:szCs w:val="17"/>
          <w:color w:val="auto"/>
        </w:rPr>
        <w:t>. Bank holding companies and their non-banking subsidiaries are prohibited from engaging in activities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Tie in Arrangements</w:t>
      </w:r>
      <w:r>
        <w:rPr>
          <w:rFonts w:ascii="Arial" w:cs="Arial" w:eastAsia="Arial" w:hAnsi="Arial"/>
          <w:sz w:val="18"/>
          <w:szCs w:val="18"/>
          <w:color w:val="auto"/>
        </w:rPr>
        <w:t>. Federal law prohibits bank holding companies and any subsidiary banks from engaging in certain tie in arrangements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Dividend Payments, Stock Redemptions and Repurchases</w:t>
      </w:r>
      <w:r>
        <w:rPr>
          <w:rFonts w:ascii="Arial" w:cs="Arial" w:eastAsia="Arial" w:hAnsi="Arial"/>
          <w:sz w:val="17"/>
          <w:szCs w:val="17"/>
          <w:color w:val="auto"/>
        </w:rPr>
        <w:t>. The Company’s ability to pay dividends to its shareholders is affected by both general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 reacquired by the corporation out of surplus. Dividends may be declared and paid in a corporation’s own authorized but unissued shares out of the surplus of the corporation upon the satisfaction of certain conditions.</w:t>
      </w:r>
    </w:p>
    <w:p>
      <w:pPr>
        <w:spacing w:after="0" w:line="178"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9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Bank holding companies must consult with the Federal Reserve before redeeming any equity or other capital instrument included in Tier 1 or Tier 2 capital prior to stated maturity, if (x) such redemption could have a material effect on the level or composition of the organization’s capital base, or (y) as a result of such repurchase, there is a net reduction of the outstanding amount of common stock or preferred stock outstanding at the beginning of the quarter in which the redemption or repurchase occurs.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Bank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City Bank is a Texas banking association and is subject to supervision, regulation and examination by the TDB and the FDIC. City Bank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also subject 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ectPr>
          <w:pgSz w:w="11900" w:h="16838" w:orient="portrait"/>
          <w:cols w:equalWidth="0" w:num="1">
            <w:col w:w="11240"/>
          </w:cols>
          <w:pgMar w:left="320" w:top="122"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Depositor Preference</w:t>
      </w:r>
      <w:r>
        <w:rPr>
          <w:rFonts w:ascii="Arial" w:cs="Arial" w:eastAsia="Arial" w:hAnsi="Arial"/>
          <w:sz w:val="18"/>
          <w:szCs w:val="18"/>
          <w:color w:val="auto"/>
        </w:rPr>
        <w:t>. In the event of the “liquidation or other resolution” of an insured depository institution, the claims of depositors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Brokered Deposit Restrictions</w:t>
      </w:r>
      <w:r>
        <w:rPr>
          <w:rFonts w:ascii="Arial" w:cs="Arial" w:eastAsia="Arial" w:hAnsi="Arial"/>
          <w:sz w:val="17"/>
          <w:szCs w:val="17"/>
          <w:color w:val="auto"/>
        </w:rPr>
        <w:t>. Well-capitalized institutions are not subject to limitations on brokered deposits, while adequately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2021, the Bank was eligible to accept brokered deposits without a waiver from the FDIC as the Bank was a well-capitalized institution.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Deposit Insurance</w:t>
      </w:r>
      <w:r>
        <w:rPr>
          <w:rFonts w:ascii="Arial" w:cs="Arial" w:eastAsia="Arial" w:hAnsi="Arial"/>
          <w:sz w:val="17"/>
          <w:szCs w:val="17"/>
          <w:color w:val="auto"/>
        </w:rPr>
        <w:t>. As an FDIC-insured institution, the Bank is required to pay deposit insurance premiums to the FDIC. The FDIC has adopted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spacing w:after="0" w:line="177"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had until September 3, 2020 to meet the 1.35% reserve ratio target, but it announced in November 2018 that the DIF had reached 1.36%, exceeding the 1.35% reserve ratio target. Because the reserve ratio exceeded the targeted 1.35% by the Dodd-Frank Act, two deposit assessment changes occurred under FDIC regulations: (i) surcharges on large banks ended, and the last surcharge on large banks was collected on December 28, 2018; and (ii) small banks were awarded assessment credits for the portion of their assessment that contributed to the growth in the reserve ratio from 1.15% to 1.35%, to be applied when the reserve ratio is at least 1.38%. The Bank’s assessment credit as calculated by the FDIC was $675,000 and was first applied to the Bank’s September 2019 Quarterly Invoice for Deposit Insurance, and then was applied on a quarterly basis until it was exhausted in March 2020. As of September 30, 2020, the FDIC announced that the ratio had declined to 1.30% due largely to consequences of the COVID-19 pandemic. The FDIC adopted a plan to restore the DIF to the 1.35% ratio within eight years but did not change its assessment schedule. Under the FDIC’s restoration plan, FDIC staff will update its projections for the DIF balance and DIF reserve ratio at least semiannually while the restoration plan is in effect. FDIC staff may in the future recommend assessment rate adjustments if deemed necessary.</w:t>
      </w:r>
    </w:p>
    <w:p>
      <w:pPr>
        <w:spacing w:after="0" w:line="168"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2021, the Bank paid $952,000 in FDIC deposit insurance premiums.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Audit Reports</w:t>
      </w:r>
      <w:r>
        <w:rPr>
          <w:rFonts w:ascii="Arial" w:cs="Arial" w:eastAsia="Arial" w:hAnsi="Arial"/>
          <w:sz w:val="18"/>
          <w:szCs w:val="18"/>
          <w:color w:val="auto"/>
        </w:rPr>
        <w:t>. For insured institutions with total assets of $1.0 billion or more, financial statements prepared in accordance with generally accepted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Examination Assessments</w:t>
      </w:r>
      <w:r>
        <w:rPr>
          <w:rFonts w:ascii="Arial" w:cs="Arial" w:eastAsia="Arial" w:hAnsi="Arial"/>
          <w:sz w:val="18"/>
          <w:szCs w:val="18"/>
          <w:color w:val="auto"/>
        </w:rPr>
        <w:t>. Texas-chartered banks are required to pay an annual assessment fee to the TDB to fund its operations. The fee is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of the bank’s assets at rates established by the Finance Commission of Texas. During the year ended December 31, 2021, the Bank paid examination assessments to the TDB totaling $279,000.</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Capital Requirements</w:t>
      </w:r>
      <w:r>
        <w:rPr>
          <w:rFonts w:ascii="Arial" w:cs="Arial" w:eastAsia="Arial" w:hAnsi="Arial"/>
          <w:sz w:val="18"/>
          <w:szCs w:val="18"/>
          <w:color w:val="auto"/>
        </w:rPr>
        <w:t>. Banks are generally required to maintain minimum capital ratios. For a discussion of the capital requirements applicable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see “Regulatory Capital Requirements” above.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Bank Reserves</w:t>
      </w:r>
      <w:r>
        <w:rPr>
          <w:rFonts w:ascii="Arial" w:cs="Arial" w:eastAsia="Arial" w:hAnsi="Arial"/>
          <w:sz w:val="18"/>
          <w:szCs w:val="18"/>
          <w:color w:val="auto"/>
        </w:rPr>
        <w:t>. The Federal Reserve requires all depository institutions to maintain reserves against some transaction accounts (primarily NOW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Liquidity Requirements</w:t>
      </w:r>
      <w:r>
        <w:rPr>
          <w:rFonts w:ascii="Arial" w:cs="Arial" w:eastAsia="Arial" w:hAnsi="Arial"/>
          <w:sz w:val="18"/>
          <w:szCs w:val="18"/>
          <w:color w:val="auto"/>
        </w:rPr>
        <w:t>. Historically, regulation and monitoring of bank and bank holding company liquidity has been addressed as a supervisory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195" w:lineRule="exact"/>
        <w:rPr>
          <w:sz w:val="20"/>
          <w:szCs w:val="20"/>
          <w:color w:val="auto"/>
        </w:rPr>
      </w:pPr>
    </w:p>
    <w:p>
      <w:pPr>
        <w:jc w:val="both"/>
        <w:ind w:firstLine="323"/>
        <w:spacing w:after="0" w:line="308" w:lineRule="auto"/>
        <w:rPr>
          <w:sz w:val="20"/>
          <w:szCs w:val="20"/>
          <w:color w:val="auto"/>
        </w:rPr>
      </w:pPr>
      <w:r>
        <w:rPr>
          <w:rFonts w:ascii="Arial" w:cs="Arial" w:eastAsia="Arial" w:hAnsi="Arial"/>
          <w:sz w:val="17"/>
          <w:szCs w:val="17"/>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14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Dividend Payments</w:t>
      </w:r>
      <w:r>
        <w:rPr>
          <w:rFonts w:ascii="Arial" w:cs="Arial" w:eastAsia="Arial" w:hAnsi="Arial"/>
          <w:sz w:val="16"/>
          <w:szCs w:val="16"/>
          <w:color w:val="auto"/>
        </w:rPr>
        <w:t>. The primary source of funds for the Company is dividends from the Bank. Unless the approval of the FDIC is obtained, the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166"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2021.</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Transactions with Affiliates</w:t>
      </w:r>
      <w:r>
        <w:rPr>
          <w:rFonts w:ascii="Arial" w:cs="Arial" w:eastAsia="Arial" w:hAnsi="Arial"/>
          <w:sz w:val="17"/>
          <w:szCs w:val="17"/>
          <w:color w:val="auto"/>
        </w:rPr>
        <w:t>. The Bank is subject to sections 23A and 23B of the Federal Reserve Act, or the Affiliates Act, and the Federal Reserve’s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 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Financial Subsidiaries</w:t>
      </w:r>
      <w:r>
        <w:rPr>
          <w:rFonts w:ascii="Arial" w:cs="Arial" w:eastAsia="Arial" w:hAnsi="Arial"/>
          <w:sz w:val="18"/>
          <w:szCs w:val="18"/>
          <w:color w:val="auto"/>
        </w:rPr>
        <w:t>. Under the Gramm-Leach-Bliley Act (“GLBA”), subject to certain conditions imposed by their respective banking regulators,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2021, the Bank did not have any financial subsidiaries.</w:t>
      </w:r>
    </w:p>
    <w:p>
      <w:pPr>
        <w:spacing w:after="0" w:line="19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Loans to Directors, Executive Officers and Principal Shareholders</w:t>
      </w:r>
      <w:r>
        <w:rPr>
          <w:rFonts w:ascii="Arial" w:cs="Arial" w:eastAsia="Arial" w:hAnsi="Arial"/>
          <w:sz w:val="16"/>
          <w:szCs w:val="16"/>
          <w:color w:val="auto"/>
        </w:rPr>
        <w:t>. The authority of the Bank to extend credit to its directors, executive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Furthermore, the Bank must periodically report all loans made to directors and other insiders to the bank regulators. As of December 31, 2021, the Bank’s total amount of lines of credit for loans to insiders and loans outstanding to insiders was $12.2 million.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Limits on Loans to One Borrower</w:t>
      </w:r>
      <w:r>
        <w:rPr>
          <w:rFonts w:ascii="Arial" w:cs="Arial" w:eastAsia="Arial" w:hAnsi="Arial"/>
          <w:sz w:val="18"/>
          <w:szCs w:val="18"/>
          <w:color w:val="auto"/>
        </w:rPr>
        <w:t>. As a Texas banking association, the Bank is subject to limits on the amount of loans it can make to one borrower.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$97.5 million as of December 31, 2021.</w:t>
      </w:r>
    </w:p>
    <w:p>
      <w:pPr>
        <w:spacing w:after="0" w:line="19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b w:val="1"/>
          <w:bCs w:val="1"/>
          <w:i w:val="1"/>
          <w:iCs w:val="1"/>
          <w:color w:val="auto"/>
        </w:rPr>
        <w:t>Safety and Soundness Standards / Risk Management</w:t>
      </w:r>
      <w:r>
        <w:rPr>
          <w:rFonts w:ascii="Arial" w:cs="Arial" w:eastAsia="Arial" w:hAnsi="Arial"/>
          <w:sz w:val="18"/>
          <w:szCs w:val="18"/>
          <w:color w:val="auto"/>
        </w:rPr>
        <w:t>. The federal banking agencies have adopted guidelines establishing operational and managerial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87"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81"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Branching Authority</w:t>
      </w:r>
      <w:r>
        <w:rPr>
          <w:rFonts w:ascii="Arial" w:cs="Arial" w:eastAsia="Arial" w:hAnsi="Arial"/>
          <w:sz w:val="18"/>
          <w:szCs w:val="18"/>
          <w:color w:val="auto"/>
        </w:rPr>
        <w:t>. Deposit-taking banking offices must be approved by the FDIC and, if such office is established within Texas, the TDB,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Interstate Deposit Restrictions</w:t>
      </w:r>
      <w:r>
        <w:rPr>
          <w:rFonts w:ascii="Arial" w:cs="Arial" w:eastAsia="Arial" w:hAnsi="Arial"/>
          <w:sz w:val="18"/>
          <w:szCs w:val="18"/>
          <w:color w:val="auto"/>
        </w:rPr>
        <w:t>. The Riegle-Neal Interstate Banking and Branching Efficiency Act of 1994 (“Interstate Act”), together with the Dodd-Frank Act, relaxed prior branching restrictions under federal law by permitting, subject to regulatory approval, banks to establish branches in states where the laws permit banks chartered in such states to establish branches.</w:t>
      </w:r>
    </w:p>
    <w:p>
      <w:pPr>
        <w:spacing w:after="0" w:line="184"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7"/>
          <w:szCs w:val="17"/>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For purposes of Section 109, the Bank’s home state is Texas and the Bank operates branches in one host state: New Mexico. The most recently published host state loan-to-deposit ratio using data as of June 30, 2020 reflects a statewide loan-to-deposit ratio in New Mexico of 64%. As of December 31, 2021, the Bank’s statewide loan-to-deposit ratio in New Mexico was 33%. Accordingly, management believes that the Bank is in compliance with Section 109 in New Mexico after application of the first step of the two-step test.</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Community Reinvestment Act</w:t>
      </w:r>
      <w:r>
        <w:rPr>
          <w:rFonts w:ascii="Arial" w:cs="Arial" w:eastAsia="Arial" w:hAnsi="Arial"/>
          <w:sz w:val="18"/>
          <w:szCs w:val="18"/>
          <w:color w:val="auto"/>
        </w:rPr>
        <w:t>. The CRA and the regulations issued thereunder are intended to encourage insured depository institutions,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safely and 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92" w:lineRule="exact"/>
        <w:rPr>
          <w:sz w:val="20"/>
          <w:szCs w:val="20"/>
          <w:color w:val="auto"/>
        </w:rPr>
      </w:pPr>
    </w:p>
    <w:p>
      <w:pPr>
        <w:jc w:val="both"/>
        <w:ind w:firstLine="323"/>
        <w:spacing w:after="0" w:line="301" w:lineRule="auto"/>
        <w:rPr>
          <w:sz w:val="20"/>
          <w:szCs w:val="20"/>
          <w:color w:val="auto"/>
        </w:rPr>
      </w:pPr>
      <w:r>
        <w:rPr>
          <w:rFonts w:ascii="Arial" w:cs="Arial" w:eastAsia="Arial" w:hAnsi="Arial"/>
          <w:sz w:val="16"/>
          <w:szCs w:val="16"/>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157"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On December 12, 2019, the OCC and the FDIC issued a joint proposal to revamp how the agencies will assess banks’ performance under the CRA. Among other changes, the proposal (i) expands the concept of assessment area (“AA”) to include geographies outside of a bank’s current AAs and in which the bank receives at least 5% of its retail deposits and (ii) introduces a series of objective tests for determining a bank’s presumptive CRA rating. While the OCC adopted a final rule on May 20, 2020, published on June 5, 2020 (the “June 2020 CRA rule”), that was generally consistent with the proposed rule, the FDIC did not join in the June 2020 CRA rule and has indicated it is not ready to adopt a final rule at this time, particularly in light of the ongoing COVID-19 pandemic. Members of Congress and community groups expressed hostility to the June 2020 CRA rule, and raised the possibility of repealing it through legislative action. In light of this, the OCC issued a final rule on December 14, 2021 rescinding the June 2020 CRA rule and replaced it with a rule based on the CRA rules adopted jointly by the federal banking agencies sin 1995. The Company and the Bank will continue to monitor these developments.</w:t>
      </w:r>
    </w:p>
    <w:p>
      <w:pPr>
        <w:spacing w:after="0" w:line="19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Bank Secrecy Act, Anti-Money Laundering and the Office of Foreign Assets Control Regulation</w:t>
      </w:r>
      <w:r>
        <w:rPr>
          <w:rFonts w:ascii="Arial" w:cs="Arial" w:eastAsia="Arial" w:hAnsi="Arial"/>
          <w:sz w:val="16"/>
          <w:szCs w:val="16"/>
          <w:color w:val="auto"/>
        </w:rPr>
        <w:t>. The Uniting and Strengthening America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Appropriate Tools Required to Intercept and Obstruct Terrorism Act of 2001 (the “USA PATRIOT Act”) is designed to deny terrorists and criminals the ability to obtain access to the U.S. financial system and has significant implications for depository institutions, brokers, dealers and other businesses involved in the transfer of money. The USA PATRIOT Act substantially broadened the scope of U.S. anti-money laundering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pacing w:after="0" w:line="174" w:lineRule="exact"/>
        <w:rPr>
          <w:sz w:val="20"/>
          <w:szCs w:val="20"/>
          <w:color w:val="auto"/>
        </w:rPr>
      </w:pPr>
    </w:p>
    <w:p>
      <w:pPr>
        <w:jc w:val="both"/>
        <w:ind w:firstLine="323"/>
        <w:spacing w:after="0" w:line="263" w:lineRule="auto"/>
        <w:rPr>
          <w:sz w:val="20"/>
          <w:szCs w:val="20"/>
          <w:color w:val="auto"/>
        </w:rPr>
      </w:pPr>
      <w:r>
        <w:rPr>
          <w:rFonts w:ascii="Arial" w:cs="Arial" w:eastAsia="Arial" w:hAnsi="Arial"/>
          <w:sz w:val="18"/>
          <w:szCs w:val="18"/>
          <w:color w:val="auto"/>
        </w:rPr>
        <w:t>Among other requirements, federal laws, including the Bank Secrecy Act (“BSA”), as amended by the USA PATRIOT Act and as further amended by the National Defense Authorization Act for Fiscal Year 2021 (the “National Defense Authorization Act”), and implementing regulations, require banks to establish and maintain AML programs that include, at a minimum:</w:t>
      </w:r>
    </w:p>
    <w:p>
      <w:pPr>
        <w:spacing w:after="0" w:line="184"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BSA, the USA PATRIOT Act, the National Defense Authorization Act and related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due diligence policies, procedures and controls applicable to certain foreign accounts and relationships.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90" w:lineRule="auto"/>
        <w:rPr>
          <w:sz w:val="20"/>
          <w:szCs w:val="20"/>
          <w:color w:val="auto"/>
        </w:rPr>
      </w:pPr>
      <w:r>
        <w:rPr>
          <w:rFonts w:ascii="Arial" w:cs="Arial" w:eastAsia="Arial" w:hAnsi="Arial"/>
          <w:sz w:val="16"/>
          <w:szCs w:val="16"/>
          <w:color w:val="auto"/>
        </w:rPr>
        <w:t>Additionally, the USA PATRIOT Act requires each financial institution to develop a customer identification program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65" w:lineRule="exact"/>
        <w:rPr>
          <w:sz w:val="20"/>
          <w:szCs w:val="20"/>
          <w:color w:val="auto"/>
        </w:rPr>
      </w:pPr>
    </w:p>
    <w:p>
      <w:pPr>
        <w:jc w:val="both"/>
        <w:ind w:firstLine="323"/>
        <w:spacing w:after="0" w:line="301" w:lineRule="auto"/>
        <w:rPr>
          <w:sz w:val="20"/>
          <w:szCs w:val="20"/>
          <w:color w:val="auto"/>
        </w:rPr>
      </w:pPr>
      <w:r>
        <w:rPr>
          <w:rFonts w:ascii="Arial" w:cs="Arial" w:eastAsia="Arial" w:hAnsi="Arial"/>
          <w:sz w:val="16"/>
          <w:szCs w:val="16"/>
          <w:color w:val="auto"/>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freezing or blocking accounts of, and transactions with, such targets and countries, prohibiting unlicensed trade and financial transactions with them and reporting blocked transactions after their occurrence.</w:t>
      </w:r>
    </w:p>
    <w:p>
      <w:pPr>
        <w:spacing w:after="0" w:line="157"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7"/>
          <w:szCs w:val="17"/>
          <w:color w:val="auto"/>
        </w:rPr>
        <w:t>The Financial Crimes Enforcement Network (“FinCEN”) issued a final rule regarding customer due diligence requirements for covered financial institutions in connection with their BSA and AML policies, that became effective in May 2018. The final rule adds a requirement to understand the nature and purpose of customer relationships and identify the “beneficial owner” (25% or more ownership interest) of legal entity customers. Bank regulators routinely examine institutions for compliance with these obligations and they must consider an institution’s anti-money laundering compliance when considering regulatory applications filed by the institution, including applications for bank mergers and acquisitions. The regulatory authorities have imposed “cease and desist” orders and civil money penalty sanctions against institutions found to be violating these obligations.</w:t>
      </w:r>
    </w:p>
    <w:p>
      <w:pPr>
        <w:spacing w:after="0" w:line="178"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Further, on January 1, 2021, Congress passed the National Defense Authorization Act, which enacted the most significant overhaul of the BSA and related AML laws since the USA PATRIOT Act. Notable amendments include (1) significant changes to the collection of beneficial ownership information and the establishment of a beneficial ownership registry, which requires corporate entities (generally, any corporation, limited liability company, or other similar entity with 20 or fewer employees and annual gross income of $5 million or less) to report beneficial ownership information to FinCEN (which will be maintained by FinCEN and made available upon request to financial institutions); (2) enhanced whistleblower provisions, which provide that one or more whistleblowers who voluntarily provide original information leading to the successful enforcement of violations of the anti-money laundering laws in any judicial or administrative action brought by the Secretary of the Treasury or the Attorney General resulting in monetary sanctions exceeding $1 million (including disgorgement and interest but excluding forfeiture, restitution, or compensation to victims) will receive not more than 30 percent of the monetary sanctions collected and will receive increased protections; (3) increased penalties for violations of the BSA; (4) improvements to existing information sharing provisions that permit financial institutions to share information relating to suspicious activity reports (SARs) with foreign branches, subsidiaries, and affiliates (except those located in China, Russia, or certain other jurisdictions) for the purpose of combating illicit finance risks; and (5) expanded duties and powers of FinCEN. Many of the amendments, including those with respect to beneficial ownership, require the Department of Treasury and FinCEN to promulgate rules.</w:t>
      </w:r>
    </w:p>
    <w:p>
      <w:pPr>
        <w:spacing w:after="0" w:line="186"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Concentrations in Commercial Real Estate</w:t>
      </w:r>
      <w:r>
        <w:rPr>
          <w:rFonts w:ascii="Arial" w:cs="Arial" w:eastAsia="Arial" w:hAnsi="Arial"/>
          <w:sz w:val="17"/>
          <w:szCs w:val="17"/>
          <w:color w:val="auto"/>
        </w:rPr>
        <w:t>. The federal banking agencies have promulgated guidance governing financial institutions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2021, the Company did not exceed the levels to be considered to have a concentration in commercial real estate lending and believes its credit administration to be consistent with the published policy statement.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2021, we had $323.1 million in ADC loans and $3.6 million in HVCRE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Financial Services</w:t>
      </w:r>
    </w:p>
    <w:p>
      <w:pPr>
        <w:spacing w:after="0" w:line="229"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186"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8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192"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7"/>
          <w:szCs w:val="17"/>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179"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8"/>
          <w:szCs w:val="18"/>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Mortgage and Mortgage-Related Products, Generally</w:t>
      </w:r>
      <w:r>
        <w:rPr>
          <w:rFonts w:ascii="Arial" w:cs="Arial" w:eastAsia="Arial" w:hAnsi="Arial"/>
          <w:sz w:val="16"/>
          <w:szCs w:val="16"/>
          <w:color w:val="auto"/>
        </w:rPr>
        <w:t>. Because abuses in connection with home mortgages were a significant factor contributing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ectPr>
          <w:pgSz w:w="11900" w:h="16838" w:orient="portrait"/>
          <w:cols w:equalWidth="0" w:num="1">
            <w:col w:w="11240"/>
          </w:cols>
          <w:pgMar w:left="320" w:top="121"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Ability-to-Repay Requirement and Qualified Mortgage Rule</w:t>
      </w:r>
      <w:r>
        <w:rPr>
          <w:rFonts w:ascii="Arial" w:cs="Arial" w:eastAsia="Arial" w:hAnsi="Arial"/>
          <w:sz w:val="16"/>
          <w:szCs w:val="16"/>
          <w:color w:val="auto"/>
        </w:rPr>
        <w:t>. In January 2013, the CFPB issued a final rule implementing the Dodd-Frank 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w:t>
      </w:r>
    </w:p>
    <w:p>
      <w:pPr>
        <w:spacing w:after="0" w:line="2" w:lineRule="exact"/>
        <w:rPr>
          <w:sz w:val="20"/>
          <w:szCs w:val="20"/>
          <w:color w:val="auto"/>
        </w:rPr>
      </w:pPr>
    </w:p>
    <w:p>
      <w:pPr>
        <w:jc w:val="both"/>
        <w:ind w:firstLine="8"/>
        <w:spacing w:after="0" w:line="270" w:lineRule="auto"/>
        <w:tabs>
          <w:tab w:leader="none" w:pos="306" w:val="left"/>
        </w:tabs>
        <w:numPr>
          <w:ilvl w:val="0"/>
          <w:numId w:val="9"/>
        </w:numPr>
        <w:rPr>
          <w:rFonts w:ascii="Arial" w:cs="Arial" w:eastAsia="Arial" w:hAnsi="Arial"/>
          <w:sz w:val="17"/>
          <w:szCs w:val="17"/>
          <w:color w:val="auto"/>
        </w:rPr>
      </w:pPr>
      <w:r>
        <w:rPr>
          <w:rFonts w:ascii="Arial" w:cs="Arial" w:eastAsia="Arial" w:hAnsi="Arial"/>
          <w:sz w:val="17"/>
          <w:szCs w:val="17"/>
          <w:color w:val="auto"/>
        </w:rPr>
        <w:t>monthly payment on any simultaneous loan; (v) monthly payment for all mortgage-related obligations; (vi) current debt obligations, alimony, and child support; (vii) monthly 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17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Home Mortgage Disclosure Act (“HMDA”)</w:t>
      </w:r>
      <w:r>
        <w:rPr>
          <w:rFonts w:ascii="Arial" w:cs="Arial" w:eastAsia="Arial" w:hAnsi="Arial"/>
          <w:sz w:val="16"/>
          <w:szCs w:val="16"/>
          <w:color w:val="auto"/>
        </w:rPr>
        <w:t>. On October 15, 2015, pursuant to Section 1094 of the Dodd-Frank Act, the CFPB issued amended rules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regard to the collection, reporting and disclosure of certain residential mortgage transactions under the Home Mortgage Disclosure Act (the “HMDA Rules”). The Dodd-Frank Act mandated additional loan data collection points in addition to authorizing the Bureau to require other data collection points under implementing Regulation C. Most of the provisions of the HMDA Rule went into effect on January 1, 2018 and apply to data collected in 2018 and reporting in 2019 and later years. The HMDA Rule adopts a uniform loan volume threshold for all financial institutions, modifies the types of transactions that are subject to collection and reporting, expands the loan data information being collected and reported, and modifies procedures for annual submission and annual public disclosures. EGRRCPA amended provisions of the HMDA Rule to exempt certain insured institutions from most of the expanded data collection requirements required of the Dodd-Frank Act. Institutions originating fewer than 500 dwelling secured closed-end mortgage loans or fewer than 500 dwelling secured open-end lines are exempt from the expanded data collection requirements that went into effect January 1, 2018. The Bank does not receive this reporting relief based on the number of dwelling secured mortgage loans reported annually.</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UDAP and UDAAP</w:t>
      </w:r>
      <w:r>
        <w:rPr>
          <w:rFonts w:ascii="Arial" w:cs="Arial" w:eastAsia="Arial" w:hAnsi="Arial"/>
          <w:sz w:val="18"/>
          <w:szCs w:val="18"/>
          <w:color w:val="auto"/>
        </w:rPr>
        <w:t>. Banking regulatory agencies have increasingly used a general consumer protection statute to address “unethical”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“bad” business practices that may not necessarily fall directly under the purview of a specific banking or consumer finance law. The law of choice for enforcement against such business practices has been Section 5 of the Federal Trade Commission Act, referred to as the FTC Act, which is the primary federal law that prohibits unfair or deceptive acts or practices, referred to as UDAP, and unfair methods of competition in or affecting commerce. “Unjustified consumer injury” is the principal focus of the FTC Act. UDAP laws and regulations were expanded under the Dodd-Frank Act to apply to “unfair, deceptive or abusive acts or practices,” referred to as UDAAP, which have been delegated to the CFPB for rule-making. The federal banking agencies have the authority to enforce such rules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Guidance</w:t>
      </w:r>
    </w:p>
    <w:p>
      <w:pPr>
        <w:spacing w:after="0" w:line="229"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6"/>
          <w:szCs w:val="16"/>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168" w:lineRule="exact"/>
        <w:rPr>
          <w:sz w:val="20"/>
          <w:szCs w:val="20"/>
          <w:color w:val="auto"/>
        </w:rPr>
      </w:pPr>
    </w:p>
    <w:p>
      <w:pPr>
        <w:jc w:val="both"/>
        <w:ind w:firstLine="323"/>
        <w:spacing w:after="0" w:line="288" w:lineRule="auto"/>
        <w:rPr>
          <w:sz w:val="20"/>
          <w:szCs w:val="20"/>
          <w:color w:val="auto"/>
        </w:rPr>
      </w:pPr>
      <w:r>
        <w:rPr>
          <w:rFonts w:ascii="Arial" w:cs="Arial" w:eastAsia="Arial" w:hAnsi="Arial"/>
          <w:sz w:val="16"/>
          <w:szCs w:val="16"/>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Privacy</w:t>
      </w:r>
    </w:p>
    <w:p>
      <w:pPr>
        <w:spacing w:after="0" w:line="229" w:lineRule="exact"/>
        <w:rPr>
          <w:sz w:val="20"/>
          <w:szCs w:val="20"/>
          <w:color w:val="auto"/>
        </w:rPr>
      </w:pPr>
    </w:p>
    <w:p>
      <w:pPr>
        <w:jc w:val="both"/>
        <w:ind w:firstLine="323"/>
        <w:spacing w:after="0" w:line="291" w:lineRule="auto"/>
        <w:rPr>
          <w:sz w:val="20"/>
          <w:szCs w:val="20"/>
          <w:color w:val="auto"/>
        </w:rPr>
      </w:pPr>
      <w:r>
        <w:rPr>
          <w:rFonts w:ascii="Arial" w:cs="Arial" w:eastAsia="Arial" w:hAnsi="Arial"/>
          <w:sz w:val="16"/>
          <w:szCs w:val="16"/>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Monetary Policy</w:t>
      </w:r>
    </w:p>
    <w:p>
      <w:pPr>
        <w:spacing w:after="0" w:line="229"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Potentially Impacting the Bank</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state and federal environmental laws and regulations. The Comprehensive Environmental Response, Compensation and Liability Act, (“CERCLA”), is a federal statute that generally imposes strict liability on all prior and present “owners and operators” of sites containing hazardous waste. However, Congress acted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which costs often substantially exceed the value of the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Banking Reform Legislation</w:t>
      </w:r>
    </w:p>
    <w:p>
      <w:pPr>
        <w:spacing w:after="0" w:line="229" w:lineRule="exact"/>
        <w:rPr>
          <w:sz w:val="20"/>
          <w:szCs w:val="20"/>
          <w:color w:val="auto"/>
        </w:rPr>
      </w:pPr>
    </w:p>
    <w:p>
      <w:pPr>
        <w:jc w:val="both"/>
        <w:ind w:firstLine="323"/>
        <w:spacing w:after="0" w:line="291" w:lineRule="auto"/>
        <w:rPr>
          <w:sz w:val="20"/>
          <w:szCs w:val="20"/>
          <w:color w:val="auto"/>
        </w:rPr>
      </w:pPr>
      <w:r>
        <w:rPr>
          <w:rFonts w:ascii="Arial" w:cs="Arial" w:eastAsia="Arial" w:hAnsi="Arial"/>
          <w:sz w:val="16"/>
          <w:szCs w:val="16"/>
          <w:color w:val="auto"/>
        </w:rPr>
        <w:t>Other key provisions of the EGRRCPA as it relates to community banks and bank holding companies include, but are not limited to: (i) assisting smaller banks with obtaining stable funding by providing an exception for reciprocal deposits from FDIC restrictions on acceptance of brokered deposits;</w:t>
      </w:r>
    </w:p>
    <w:p>
      <w:pPr>
        <w:ind w:firstLine="8"/>
        <w:spacing w:after="0" w:line="260"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raising the eligibility for use of short-form Call Reports from $1 billion to $5 billion in assets; and (iii) changing the eligibility for use of the small bank holding company policy statement from institutions with under $1 billion in assets to institutions with under $3 billion in assets.</w:t>
      </w:r>
    </w:p>
    <w:p>
      <w:pPr>
        <w:spacing w:after="0" w:line="185"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7"/>
          <w:szCs w:val="17"/>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Regulatory Response to the COVID-19 Pandemic</w:t>
      </w:r>
    </w:p>
    <w:p>
      <w:pPr>
        <w:spacing w:after="0" w:line="229" w:lineRule="exact"/>
        <w:rPr>
          <w:sz w:val="20"/>
          <w:szCs w:val="20"/>
          <w:color w:val="auto"/>
        </w:rPr>
      </w:pPr>
    </w:p>
    <w:p>
      <w:pPr>
        <w:jc w:val="both"/>
        <w:ind w:firstLine="323"/>
        <w:spacing w:after="0" w:line="268" w:lineRule="auto"/>
        <w:rPr>
          <w:sz w:val="20"/>
          <w:szCs w:val="20"/>
          <w:color w:val="auto"/>
        </w:rPr>
      </w:pPr>
      <w:r>
        <w:rPr>
          <w:rFonts w:ascii="Arial" w:cs="Arial" w:eastAsia="Arial" w:hAnsi="Arial"/>
          <w:sz w:val="17"/>
          <w:szCs w:val="17"/>
          <w:color w:val="auto"/>
        </w:rPr>
        <w:t>The onset of the COVID-19 pandemic in the United States in certain respects, at least temporarily, impacted the Company’s operations and risk management and resulted in changes to its safety and soundness regulation. For instance, the federal banking agencies have encouraged banking organizations to work constructively and prudently with borrowers impacted by the COVID-19 pandemic in order to meet the borrowers’ financial needs. Guidance published by the Federal Reserve encourages banking organizations to consider undertaking a variety of efforts during a major disaster or national emergency such as the COVID-19 pandemic, including: waiving ATM, overdraft, and late fees, as well as early withdrawal penalties on time deposits; increasing ATM daily cash withdrawal limits; easing credit terms for new loans; increasing credit limits for creditworthy customers; offering payment accommodations such as allowing loan customers to defer or skip some payments or extending payment due dates, which would avoid delinquencies and negative credit bureau reporting caused by disaster-related disruptions; and conducting a review of an affected borrower’s financial condition in an effort to implement a prudent loan workout arrangement. The federal banking agencies have stated that they will not criticize a banking organization that implements prudent loan workouts for affected customers even if the restructured loans result in adverse classifications or credit risk downgrades. In addition, the agencies temporarily suspended examination activity in the second quarter of 2020 to allow banking organization to focus on the needs of their customers and revised examination guidance to require examiners to consider, in conducting supervisory assessments, whether banking organizations have taken appropriate actions in response to the stress caused by the COVID-19 pandemic and managed associated risk appropriately. Consistent with the regulators’ guidance, the Company has and continues to work with its customers during the COVID-19 pandemic to provide them with greater access to their funds, waive certain fees and provide short-term payment deferrals for borrowers impacted by the COVID-19 pandemic and requiring assistance.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In response to the COVID-19 pandemic, Congress, through the enactment of the CARES Act, and the federal banking agencies, through rulemaking, interpretive guidance and modifications to agency policies and procedures, have taken a series of actions to address regulatory capital, liquidity risk management, financial management and reporting, and operational considerations for banking organizations. Notable developments not otherwise discussed above include the following.</w:t>
      </w:r>
    </w:p>
    <w:p>
      <w:pPr>
        <w:spacing w:after="0" w:line="187" w:lineRule="exact"/>
        <w:rPr>
          <w:sz w:val="20"/>
          <w:szCs w:val="20"/>
          <w:color w:val="auto"/>
        </w:rPr>
      </w:pPr>
    </w:p>
    <w:p>
      <w:pPr>
        <w:jc w:val="both"/>
        <w:ind w:left="960" w:hanging="318"/>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March 15, 2020, the Federal Reserve issued a statement encouraging banks to use their capital and liquidity buffers to lend to households and businesses impacted by the COVID-19 pandemic. The following day, the Federal Reserve issued a statement encouraging banks to access the Federal Reserve’s discount window to assist with capital and liquidity management in light of the increased credit needs of banking customers.</w:t>
      </w:r>
    </w:p>
    <w:p>
      <w:pPr>
        <w:spacing w:after="0" w:line="186" w:lineRule="exact"/>
        <w:rPr>
          <w:rFonts w:ascii="Arial" w:cs="Arial" w:eastAsia="Arial" w:hAnsi="Arial"/>
          <w:sz w:val="18"/>
          <w:szCs w:val="18"/>
          <w:color w:val="auto"/>
        </w:rPr>
      </w:pPr>
    </w:p>
    <w:p>
      <w:pPr>
        <w:ind w:left="960" w:hanging="318"/>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Bank is also typically required by the FRB to maintain in reserves certain amounts of vault cash and/or deposits with the FRB, however, in response to the COVID-19 pandemic, this requirement has been eliminated until further notice.</w:t>
      </w:r>
    </w:p>
    <w:p>
      <w:pPr>
        <w:spacing w:after="0" w:line="170" w:lineRule="exact"/>
        <w:rPr>
          <w:rFonts w:ascii="Arial" w:cs="Arial" w:eastAsia="Arial" w:hAnsi="Arial"/>
          <w:sz w:val="18"/>
          <w:szCs w:val="18"/>
          <w:color w:val="auto"/>
        </w:rPr>
      </w:pPr>
    </w:p>
    <w:p>
      <w:pPr>
        <w:jc w:val="both"/>
        <w:ind w:left="960" w:hanging="318"/>
        <w:spacing w:after="0" w:line="269" w:lineRule="auto"/>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Section 4013 of the CARES Act provides financial institutions the option to suspend the application of GAAP to any loan modification related to COVID-19 from treatment as a troubled debt restructuring (“TDR”) for the period between March 1, 2020 and the earlier of (i) 60 days after the end of the national emergency proclamation or (ii) December 31, 2020. Section 541 of the Consolidated Appropriations Act, 2021, amended Section 4013 of the CARES Act to extend this relief to the earlier of (i) 60 days after the end of the national emergency proclamation or (ii) January 1, 2022. A financial institution may elect to suspend GAAP only for a loan that was not more than 30 days past due as of December 31, 2019. In addition, the temporary suspension of GAAP does not apply to any adverse impact on the credit of a borrower that is not related to COVID-19. The suspension of GAAP is applicable for the entire term of the modification, including an interest rate modification, a forbearance agreement, a repayment plan, or other agreement that defers or delays the payment of principal and/or interest. Accordingly, a financial institution that elects to suspend GAAP should not be required to increase its reported TDRs at the end of the period of relief, unless the loans require further modification after the expiration of that period.</w:t>
      </w:r>
    </w:p>
    <w:p>
      <w:pPr>
        <w:spacing w:after="0" w:line="18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additional information regarding actions taken by regulatory agencies to provide relief to consumers who have been adversely impacted by the ongoing COVID-19 pandemic, see the discussion below under Item 1A, “Risk Factors—Risks Related to our Business,” of this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and Proposed Legislation</w:t>
      </w:r>
    </w:p>
    <w:p>
      <w:pPr>
        <w:spacing w:after="0" w:line="22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192"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Although the majority of the Dodd-Frank Act’s rulemaking requirements have been met with finalized rules, approximately one-fifth of the rulemaking requirements are either still in the proposal stage or have not yet been proposed. On February 2, 2017, President Donald Trump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spacing w:after="0" w:line="195"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7"/>
          <w:szCs w:val="17"/>
          <w:color w:val="auto"/>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323"/>
        <w:spacing w:after="0" w:line="277" w:lineRule="auto"/>
        <w:rPr>
          <w:sz w:val="20"/>
          <w:szCs w:val="20"/>
          <w:color w:val="auto"/>
        </w:rPr>
      </w:pPr>
      <w:r>
        <w:rPr>
          <w:rFonts w:ascii="Arial" w:cs="Arial" w:eastAsia="Arial" w:hAnsi="Arial"/>
          <w:sz w:val="18"/>
          <w:szCs w:val="18"/>
          <w:color w:val="auto"/>
        </w:rPr>
        <w:t>The information contained on, or that may be accessed through, the Company’s web site is not incorporated by reference into, and is not a part of, this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is adversely affecting us and our customers, employees, and third-party service providers, and the adverse impacts on our business, financial position, results of operations, and prospects could be significant.</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COVID-19 pandemic has negatively impacted the global economy, disrupted global supply chains, lowered equity market valuations, created significant volatility and disruption in financial markets, increased unemployment levels and decreased consumer confidence generally. In addition, many state and local governments responded to the COVID-19 pandemic with the temporary closure of brick-and-mortar “non-essential” businesses, schools, and limitations on social gatherings, stay-at-home advisories and mandates, and travel bans and restrictions. Although many of these restrictions have eased or been lifted, these restrictions have resulted in significant adverse effects on our customers and business partners, particularly those in the retail, hospitality and food and beverage industries, among many others, including a significant number of layoffs and furloughs of employees nationwide, and in the regions and communities in which we operate. These measures may be implemented again in the event of another COVID-19 outbreak or any current or future variant thereof and could adversely affect our business, operations and financial condition, as well as the business, operations and financial conditions of our customers and business partners. There is no certainty that such measures will be sufficient to mitigate the risks posed by the virus or otherwise be satisfactory to government authorities.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borrowers have had, and may have again, difficulties in repaying their loans. Governmental actions providing payment relief to borrowers affected by COVID-19 could preclude our ability to initiate foreclosure proceedings in certain circumstances and, as a result, the collateral we hold may decrease in value or become illiquid, and the level of our nonperforming loans, charge-offs and delinquencies could rise and require significant additional provisions for loan losses. Additional factors related to the credit quality of certain commercial real estate and multifamily residential loans include the duration of state and local moratoriums on evictions for non-payment of rent or other fees. The payment on these loans that are secured by income producing properties are typically dependent on the successful operation of the related real estate property and may subject us to risks from adverse conditions in the real estate market or the general economy.</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Bank regulatory agencies and various governmental authorities are urging financial institutions to work prudently with borrowers who are or may be unable to meet their contractual payment obligations because of the effects of COVID-19. We have actively worked to support our borrowers to mitigate the impact of the COVID-19 pandemic on them and on our loan portfolio, including through loan modifications that defer payments for those who experienced a hardship as a result of the COVID-19 pandemic. Although loans on deferral related to the COVID-19 pandemic at December 31, 2021 were only $15.9 million, we cannot predict whether any such loan modifications may ultimately have an adverse impact on our profitability in future periods.</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ultimate effect of COVID-19 and related events, including those described above and those not yet known or knowable, could have a negative effect on the stock price, business prospects, financial condition and results of operations of the Company, including as a result of quarantines, market volatility, market downturns, changes in consumer behavior, business closures, deterioration in the credit quality of borrowers or the inability of borrowers to satisfy their obligations to the Company (and any related forbearances or restructurings that may be implemented), declines in the value of collateral securing outstanding loans, branch or office closures and business interruptions.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market interest rates or capital markets, including volatility resulting from the COVID-19 pandemic, could affect our revenues and expenses, the value of assets and obligations, and the availability and cost of capital or liquidity.</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COVID-19 pandemic has significantly affected the financial markets and has resulted in a number of Federal Reserve actions. Market interest rates declined significantly in 2020 and have remained at such levels over the past year. We expect that these reductions in interest rates, especially if prolonged, could adversely affect our net interest income and margins and our profitability.</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Given our business mix, and the fact that most of our assets and liabilities are financial in nature, we tend to be sensitive to market interest rate movements and the performance of the financial markets. Our primary source of income is net interest income. Prevailing economic conditions, fiscal and monetary policies and the policies of various regulatory agencies all affect market rates of interest and the availability and cost of credit, which, in turn, significantly affect financial institutions’ net interest income. If the interest we pay on deposits and other borrowings increases at a faster rate than increases in the interest we receive on loans and investments, net interest income, and, therefore, our earnings, could be affected. Earnings could also be affected if the interest we receive on loans and other investments falls more quickly than the interest we pay on deposits and other borrowings.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continued spread of COVID-19, and any current or future variant thereof, has also led to disruption and volatility in financial markets, which could increase our cost of capital and adversely affect our ability to access financial markets, which may in turn affect the value of the subordinated notes. This market volatility could result in a significant decline in our stock price and market capitalization, which could result in goodwill impairment charges.</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Unpredictable future developments related to or resulting from the COVID-19 pandemic could materially and adversely affect our business and results of operations.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Given the ongoing and dynamic nature of the circumstances, it is not possible to predict the ultimate impact of the coronavirus outbreak on our stock price, business prospects, financial condition or results of operations. Any future development is highly uncertain and cannot be predicted, including the scope and duration of the pandemic, third party providers’ ability to support our operation, and any actions taken by governmental authorities and other third parties in response to the pandemic. We are continuing to monitor the COVID-19 pandemic and related risks, although the rapid development and fluidity of the situation precludes any specific prediction as to its ultimate impact on us. However, if the pandemic continues to spread or otherwise results in a continuation or worsening of the current economic and commercial environments, our business, financial condition, results of operations and cash flows as well as our regulatory capital and liquidity ratios could be materially adversely affected and many of the risks described herein will be heightened.</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has been and may continue to be adversely affected by current conditions in the financial markets and economic conditions generally.</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Our business is also significantly affected by monetary and related policies of the U.S. government and its agencies. The Federal Reserve’s recent unprecedented cuts to the federal funds interest rate in response to the COVID-19 pandemic may further impact our ability to attract deposits, generate attractive earnings through our investment portfolio, and negatively affect the value of our loans and other assets. If and when monetary policy changes lead to an increase in interest rates, it may also have an adverse effect on our business, financial condition and results of operations as it could reduce the demand for loans and affect the ability of our borrowers to repay their indebtedness subjecting us to potential loan losses. Changes in any of these policies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18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inflationary outlook in the United States remains uncertain. The consumer price index increased 7 percent year-over-year in December 2021. The risks to our business from inflation depends on the durability of the current inflationary pressures in our markets. Transitory increases in inflation are unlikely to have a material impact on our business or earnings. However, more persistent inflation could lead to tighter-than-expected monetary policy which could, in turn, increase the borrowings costs of our customers, making it more difficult for them to repay their loans or other obligations. High interest rates may be needed to tame persistent inflationary price pressures, which could also push down asset prices and weaken economic activity. A deterioration in economic conditions in the United States and our markets could result in an increase in loan delinquencies and non-performing assets, decreases in loan collateral values and a decrease in demand for our products and services, all of which, in turn, would adversely affect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grow through acquisitions, a strategy which may not be successful or, if successful, may produce risks in successfully integrating and managing the acquisitions and may dilute our shareholders.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our growth strategy, we may pursue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Acquisitions involve numerous risks, any of which could harm our business.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 As a result, if we fail to properly evaluate mergers, acquisitions or investments, we may not achieve the anticipated benefits of any such merger, acquisition, or investment, and we may incur costs in excess of what we anticipate. The failure to successfully evaluate and execute mergers, acquisitions or investments or otherwise adequately address these risks could materially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measure and limit our credit risk, which could lead to unexpected losses.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Accordingly, we maintain an allowance for loan losses that represents management’s judgment of probable losses and risks inherent in our loan portfolio. 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may further experience increased delinquencies, credit losses, and corresponding charges to capital, which could require us to increase our provision for loan losses associated with impacts related to the coronavirus outbreak due to quarantines, market downturns, increased unemployment rates, changes in consumer behavior related to pandemic fears, and related emergency response legislation, including the Families First Coronavirus Response Act. Further, if real estate markets or the economy in general deteriorate,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new accounting standard will result in a significant change in how we recognize credit losses and may result in material increases to our allowance for loan losses.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FASB has adopted a new accounting standard referred to as Current Expected Credit Loss (“CECL”). As we are an emerging growth company and take advantage of the extended transition period for complying with new or revised financial accounting standards under the JOBS Act, CECL will be effective for the Company and the Bank for our first fiscal quarter after December 15, 2022. This standard requires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standard.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loans are to commercial borrowers, which have a higher degree of risk than other types of loans.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of December 31, 2021, loans to commercial borrowers represent approximately 71.4%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 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credit risk with respect to loans that we make to other lenders.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2021, approximately 69.4% of our loan portfolio was comprised of loans with real estate as a primary component of collateral. Adverse developments affecting real estate values, particularly in our markets, could increase the credit risk associated with our real estate loan portfolio.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commercial real estate loan portfolio exposes us to risks that may be greater than the risks related to other mortgage loans.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loan portfolio includes non-owner-occupied commercial real estate loans for individuals and businesses for various purposes, which are secured by commercial properties, as well as real estate construction and development loans. As of December 31, 2021, our non-owner-occupied commercial real estate loans totaled approximately 36.7%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of indirect dealer lending exposes us to increased credit risks.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December 31, 2021, approximately 9.3%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Agricultural lending and volatility in commodity prices may adversely affect our financial condition and results of operations.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At December 31, 2021, agricultural loans were approximately 4.2%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Through the Federal Crop Insurance Corporation, the federal government subsidizes insurance companies by assuming an increasingly higher portion of losses incurred by farmers as a result of weather-related and other 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2021, the Bank had approximately $8.1 million in noninterest income attributable to sales of crop insurance.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Sustained volatility in oil prices and the energy industry, including in Texas, could lead to increased credit losses in our energy portfolio, weaker demand for energy lending, and adversely affect our business, results of operations and financial condition.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In addition to our direct exposure to energy loans, we also have indirect exposure to energy prices, as some of our non-energy customers’ businesses are directly affected by volatility with the oil and gas industry and energy prices. While oil prices have increased in 2022, the oil and gas industry has remained volatile and prolonged volatility may cause further worsening conditions of energy industry and overall economic activities in the Company’s primary markets and could lead to increased credit stress in its loan portfolio, increased losses and weaker demand for lending. More significantly for the Company, prolonged pricing pressure on oil and gas or general uncertainty resulting from energy price volatility could lead to increased credit stress in our energy portfolio, increased losses associated with our energy portfolio, increased utilization of our contractual obligations to extend credit and weaker demand for energy lending. Such a decline or general uncertainty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concentration, specifically in Texas, we may be less able than other larger regional or national financial institutions to diversify our credit risk across multiple markets.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trade policies and other factors beyond the Company’s control, including the imposition of tariffs and retaliatory tariffs, may adversely impact our business, financial condition and results of operations.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There have been discussions regarding potential changes to U.S. trade policies, legislation, treaties and tariffs. Tariffs and retaliatory tariffs have been imposed, and additional tariffs and retaliation tariffs have been proposed. Such tariffs, retaliatory tariffs or other trade restrictions on products and materials that our customers import or export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adversely impacted. However, a de minimis amount of collateral securing our loans is located outside of the U.S. A trade war or other governmental action related to tariffs or international trade agreements or policies have the potential to negatively impact our and/or our customers’ costs, demand for our customers’ products, and/or the U.S. economy or certain sectors thereof and, thus, adversely affect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and related legislative and regulatory initiatives may materially affect the Company’s business and results of operations.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effects of climate change continue to create an alarming level of concern for the state of the global environment. As a result, the global business community has increased its political and social awareness surrounding the issue. Further, the U.S. Congress, state legislatures and federal and state regulatory agencies continue to propose numerous initiatives to supplement the global effort to combat climate change. Similar and even more expansive initiatives are expected under the current administration,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impossible to predict how specifically climate change may impact our financial condition and results of operations; however, the physical effects of climate change may also directly impact us. Specifically, unpredictable and more frequent weather disasters may adversely impact the value of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which could impact our financial condition and results of operations. Further, the effects of climate change may negatively impact regional and local economic activity, which could lead to an adverse effect on our customers and impact the communities in which we operate. Overall, climate change, its effects and the resulting, unknown impact could have a material adverse effect on our financial condition and results of operations.</w:t>
      </w:r>
    </w:p>
    <w:p>
      <w:pPr>
        <w:sectPr>
          <w:pgSz w:w="11900" w:h="16838" w:orient="portrait"/>
          <w:cols w:equalWidth="0" w:num="1">
            <w:col w:w="11240"/>
          </w:cols>
          <w:pgMar w:left="320" w:top="121"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nonperforming assets may increase and can take significant time and resources to resolve.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properties that we own and certain foreclosed real estate assets could subject us to environmental risks and associated costs.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There is a risk that hazardous substances or wastes, contaminants, pollutants or other environmentally restricted substances could be discovered on our properties or our foreclosed assets (particularly with real estate loans). In this event, we might be required to remove the substances from the affected properties or to engage in abatement procedures at our cost.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16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In addition, an economic downturn could result in losses, as determined under our accounting methodologies that may materially and adversely affect our business, financial condition, results of operations and future prospects.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largest loan relationships make up a material percentage of our total loan portfolio.</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extended significant amounts of credit to a limited number of borrowers As of December 31, 2021, our 20 largest borrowing relationships ranged from approximately $18.6 million to $51.0 million (including unfunded commitments) and totaled approximately 17.3% of our outstanding commitments. If any of these relationships become delinquent or suffer default, we could be exposed to material losses which may have a material adverse effect 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2021, our 20 largest deposit relationships accounted for approximately 14.4%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risk could impair our ability to fund operations and meet our obligations as they become due and could jeopardize our financial condition.</w:t>
      </w:r>
    </w:p>
    <w:p>
      <w:pPr>
        <w:spacing w:after="0" w:line="2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Liquidity is essential to the business of the Bank. Liquidity risk is the potential that the Bank will be unable to meet its obligations as they come due because of an inability to liquidate assets or obtain adequate funding.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Any substantial, unexpected and/or prolonged change in the level or cost of liquidity could have a material adverse effect on our financial condition and results of operations.</w:t>
      </w:r>
    </w:p>
    <w:p>
      <w:pPr>
        <w:sectPr>
          <w:pgSz w:w="11900" w:h="16838" w:orient="portrait"/>
          <w:cols w:equalWidth="0" w:num="1">
            <w:col w:w="11240"/>
          </w:cols>
          <w:pgMar w:left="320" w:top="121" w:right="339" w:bottom="0" w:gutter="0" w:footer="0" w:header="0"/>
        </w:sectPr>
      </w:pPr>
    </w:p>
    <w:bookmarkStart w:id="30" w:name="page31"/>
    <w:bookmarkEnd w:id="30"/>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could pursue alternatives to bank deposits, causing us to lose a relatively inexpensive source of funding.</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Technology has made it more convenient for bank customers to transfer funds into alternative investments or other deposit accounts, including products offered by other financial institutions or non-bank service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In the current environment of low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 Efforts and initiatives we undertake to retain and increase deposits, including deposit pricing, can increase our costs. As our assets grow, we may face increasing pressure to seek new deposits through expanded channels from new customers at favorable pricing, further increasing our costs.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continually encounter technological changes which could result in us having fewer resources than many of our competitors to continue to invest in technological improvements.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keep pace with technological change affecting the financial services industry could have a material adverse impact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is vulnerable to interest rate fluctuations.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profitability, like that of most financial institutions, is dependent to a large extent on our net interest income.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This could result in decreased interest income, decreased mortgage revenues and corresponding decreases in noninterest income from projected levels.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the current environment of decreasing interest rates and associated impacts of the COVID-19 pandemic on the overall economy, such as rising unemployment levels or changes in consumer behavior related to loans, loan originations may also decline, and our borrowers may experience difficulties meeting their obligations or seek to refinance their loans for lower rates, which may adversely affect income from these lending activities and negatively impact our net interest margin.</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Although our asset-liability management strategy is designed to control and mitigate exposure to the risks related to changes in market interest rates, those rates are affected by many factors outside of our control, including governmental monetary policies, inflation, deflation, recession, changes in unemployment, the money supply, international disorder and instability in domestic and foreign financial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the transition from LIBOR as a reference rate.</w:t>
      </w:r>
    </w:p>
    <w:p>
      <w:pPr>
        <w:spacing w:after="0" w:line="225"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The United Kingdom’s Financial Conduct Authority (the authority that regulates LIBOR) previously announced it intends to stop compelling banks to submit rates for the calculation of LIBOR after December 31, 2021 and the publication of the most commonly used U.S. dollar LIBOR settings will cease to be published after June 2023. While there is no consensus on what rate or rates may become accepted alternatives to LIBOR, the Alternative Reference Rates Committee has proposed the Secured Overnight Financing Rate (“SOFR”) as the alternative rate for use in derivatives and other financial contracts currently being indexed to LIBOR. SOFR is a daily index of the interest rate banks and hedge funds pay to borrow money overnight, secured by U.S. Treasury securities. At this time, it is not possible to predict whether SOFR will attain market traction as a LIBOR replacement tool, and the future of LIBOR is still uncertain.</w:t>
      </w:r>
    </w:p>
    <w:p>
      <w:pPr>
        <w:spacing w:after="0" w:line="195"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7"/>
          <w:szCs w:val="17"/>
          <w:color w:val="auto"/>
        </w:rPr>
        <w:t>In October 2021, the federal bank regulatory agencies issued a Joint Statement on Managing the LIBOR Transition. In that guidance, the agencies offered their regulatory expectations and outlined potential supervisory and enforcement consequences for banks that fail to adequately plan for and implement the transition away from LIBOR. The failure to properly transition away from LIBOR may result in increased supervisory scrutiny. In addition, the implementation of LIBOR reform proposals may result in increased compliance costs and operational costs, including costs related to continued participation in LIBOR and the transition to a replacement reference rate or rates. We cannot reasonably estimate the expected cost. At December 31, 2021, we had interest-rate swap contracts, other borrowings, and one loan indexed to LIBOR.</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 outflows may increase reliance on borrowings and brokered deposits as sources of funds.</w:t>
      </w:r>
    </w:p>
    <w:p>
      <w:pPr>
        <w:spacing w:after="0" w:line="225" w:lineRule="exact"/>
        <w:rPr>
          <w:sz w:val="20"/>
          <w:szCs w:val="20"/>
          <w:color w:val="auto"/>
        </w:rPr>
      </w:pPr>
    </w:p>
    <w:p>
      <w:pPr>
        <w:jc w:val="both"/>
        <w:ind w:firstLine="323"/>
        <w:spacing w:after="0" w:line="291" w:lineRule="auto"/>
        <w:rPr>
          <w:sz w:val="20"/>
          <w:szCs w:val="20"/>
          <w:color w:val="auto"/>
        </w:rPr>
      </w:pPr>
      <w:r>
        <w:rPr>
          <w:rFonts w:ascii="Arial" w:cs="Arial" w:eastAsia="Arial" w:hAnsi="Arial"/>
          <w:sz w:val="16"/>
          <w:szCs w:val="16"/>
          <w:color w:val="auto"/>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an economic downturn or a natural disaster affecting one or more of our market areas.</w:t>
      </w:r>
    </w:p>
    <w:p>
      <w:pPr>
        <w:spacing w:after="0" w:line="225" w:lineRule="exact"/>
        <w:rPr>
          <w:sz w:val="20"/>
          <w:szCs w:val="20"/>
          <w:color w:val="auto"/>
        </w:rPr>
      </w:pPr>
    </w:p>
    <w:p>
      <w:pPr>
        <w:jc w:val="both"/>
        <w:ind w:firstLine="323"/>
        <w:spacing w:after="0" w:line="293" w:lineRule="auto"/>
        <w:rPr>
          <w:sz w:val="20"/>
          <w:szCs w:val="20"/>
          <w:color w:val="auto"/>
        </w:rPr>
      </w:pPr>
      <w:r>
        <w:rPr>
          <w:rFonts w:ascii="Arial" w:cs="Arial" w:eastAsia="Arial" w:hAnsi="Arial"/>
          <w:sz w:val="16"/>
          <w:szCs w:val="16"/>
          <w:color w:val="auto"/>
        </w:rPr>
        <w:t>Because most of our business activities are conducted in Texas and New Mexico and most of our credit exposure is there, we are at risk to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beyond these market areas, adverse conditions that affect these market areas could reduce our growth rate, affect the ability of our customers to repay loans, affect the value of collateral underlying loans, impact our ability to attract deposits, and generally affect our financial condition and results of operations. Because of our geographic concentration, we may be less able than other financial institutions to diversify our credit risks across multiple markets.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originations have begun to decrease due to declines in refinance activity, and this trend may continue.</w:t>
      </w:r>
    </w:p>
    <w:p>
      <w:pPr>
        <w:spacing w:after="0" w:line="225" w:lineRule="exact"/>
        <w:rPr>
          <w:sz w:val="20"/>
          <w:szCs w:val="20"/>
          <w:color w:val="auto"/>
        </w:rPr>
      </w:pPr>
    </w:p>
    <w:p>
      <w:pPr>
        <w:jc w:val="both"/>
        <w:ind w:firstLine="323"/>
        <w:spacing w:after="0" w:line="296" w:lineRule="auto"/>
        <w:rPr>
          <w:sz w:val="20"/>
          <w:szCs w:val="20"/>
          <w:color w:val="auto"/>
        </w:rPr>
      </w:pPr>
      <w:r>
        <w:rPr>
          <w:rFonts w:ascii="Arial" w:cs="Arial" w:eastAsia="Arial" w:hAnsi="Arial"/>
          <w:sz w:val="16"/>
          <w:szCs w:val="16"/>
          <w:color w:val="auto"/>
        </w:rPr>
        <w:t>Mortgage revenues, which are primarily recognized from the sale in the secondary market of mortgage loans, are a source of noninterest income for the Bank and a contributor to the Bank’s net income. Mortgage revenues for the year ended December 31, 2021 were $59.7 million. As the result of the low level of market interest rates that existed for the past several years, demand for loans to refinance existing mortgages remained strong through most of 2021. As market interest rates have increased from the prior low rate environment, there may be fewer opportunities for financial institutions to originate loans to refinance existing mortgages. If mortgage originations continue to decrease, projected mortgage revenues and noninterest income will decrease.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conditions could have a material impact on our ability to sell originated mortgages in the secondary market.</w:t>
      </w:r>
    </w:p>
    <w:p>
      <w:pPr>
        <w:spacing w:after="0" w:line="22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mortgage servicing rights can be volatile.</w:t>
      </w:r>
    </w:p>
    <w:p>
      <w:pPr>
        <w:spacing w:after="0" w:line="225"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7"/>
          <w:szCs w:val="17"/>
          <w:color w:val="auto"/>
        </w:rPr>
        <w:t>We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165"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7"/>
          <w:szCs w:val="17"/>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$19.7 million of mortgage servicing rights as of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risk management framework may not be effective in mitigating risks or losses to us.</w:t>
      </w:r>
    </w:p>
    <w:p>
      <w:pPr>
        <w:spacing w:after="0" w:line="225"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Our risk management framework consists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70"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7"/>
          <w:szCs w:val="17"/>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ectPr>
          <w:pgSz w:w="11900" w:h="16838" w:orient="portrait"/>
          <w:cols w:equalWidth="0" w:num="1">
            <w:col w:w="11240"/>
          </w:cols>
          <w:pgMar w:left="320" w:top="121" w:right="339" w:bottom="598" w:gutter="0" w:footer="0" w:header="0"/>
        </w:sect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98"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investment performance, fiduciary and asset servicing risks associated with our trust operations.</w:t>
      </w:r>
    </w:p>
    <w:p>
      <w:pPr>
        <w:spacing w:after="0" w:line="22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7"/>
          <w:szCs w:val="17"/>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cybersecurity risks associated with our internet-based systems and online commerce security.</w:t>
      </w:r>
    </w:p>
    <w:p>
      <w:pPr>
        <w:spacing w:after="0" w:line="225" w:lineRule="exact"/>
        <w:rPr>
          <w:sz w:val="20"/>
          <w:szCs w:val="20"/>
          <w:color w:val="auto"/>
        </w:rPr>
      </w:pPr>
    </w:p>
    <w:p>
      <w:pPr>
        <w:jc w:val="both"/>
        <w:ind w:firstLine="323"/>
        <w:spacing w:after="0" w:line="291" w:lineRule="auto"/>
        <w:rPr>
          <w:sz w:val="20"/>
          <w:szCs w:val="20"/>
          <w:color w:val="auto"/>
        </w:rPr>
      </w:pPr>
      <w:r>
        <w:rPr>
          <w:rFonts w:ascii="Arial" w:cs="Arial" w:eastAsia="Arial" w:hAnsi="Arial"/>
          <w:sz w:val="16"/>
          <w:szCs w:val="16"/>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 Although we have not experienced a cyber-incident which has compromised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166"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7"/>
          <w:szCs w:val="17"/>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could be interrupted if our third-party service providers experience difficulty, terminate their services or fail to comply with banking regulations.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depend on a number of relationships with third-party service providers. Specifically, we receive certain third-party services including, but not limited to, core systems processing, essential web hosting and other Internet systems, online banking services, deposit processing and other processing services. If these third-party service providers experience difficulties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perhaps materially. Even if we are able to replace third-party service providers, it may be at a higher cost to us, which could adversely affect our business, financial condition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operating risks related to employee error and customer, employee and third party misconduct, which could harm our reputation and business.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Employee error or employee and customer misconduct could subject us to financial losses or regulatory sanctions and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always be effective. Because the nature of the financial services business involves a high volume of transactions, certain errors may be repeated or compounded before they are discovered and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heavily on our management team and the unexpected loss of key officers may adversely affect our operations.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 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ectPr>
          <w:pgSz w:w="11900" w:h="16838" w:orient="portrait"/>
          <w:cols w:equalWidth="0" w:num="1">
            <w:col w:w="11240"/>
          </w:cols>
          <w:pgMar w:left="320" w:top="121"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develop, retain and recruit additional successful bankers is critical to the success of our business strategy, and any failure to do so could adversely affect our business, financial condition, results of operations and future prospects.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ability to retain and grow our loans, deposits and fee income depends upon the business generation capabilities, reputation and relationship management skills of our bankers, many of whom we develop internally. If we lose the services of any of our bankers, including successful bankers employed by financial institutions that we may acquire, to a new or existing competitor or otherwise, or fail to successfully recruit bankers or develop bankers internally, we may not be able to implement our growth strategy, retain valuable relationships and some of our customers could choose to use the services of a competitor instead of our services. Additionally, we may incur significant expenses and expend significant time and resources on training, integration and business development before it is able to determine whether a new banker will be profitable or effective. If we are unable to develop, attract or retain successful bankers, or if our bankers fail to meet our expectations in terms of customer relationships and profitability, we may be unable to execute our business strategy and our business, financial condition, results of operations and future prospects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other financial intermediaries may adversely affect our profitability.</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Furthermore, our legal lending limit is significantly less than the limits for many of our competitors, and this may hinder our ability to establish relationships with larger businesses in our primary service area. This competition may limit our future growth and earnings prospects.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effective internal control over financial reporting, we may not be able to accurately report its financial results or prevent fraud.</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management may conclude that our internal control over financial reporting is not effective due to our failure to cure any identified material weakness or otherwise. Moreover, even if our management concludes that its internal control over financial reporting is effective, our independent registered public accounting firm may not conclude that our internal control over financial reporting is effective. In addition, during the course of the evaluation, documentation and testing of our internal control over financial reporting, we may identify deficiencies that we may not be able to remediate in time to meet the deadline imposed by the Federal Deposit Insurance Corporation Improvement Act of 1991 (the “FDICIA”) for compliance with the requirement of FDICIA. Any such deficiencies may also subject us to adverse regulatory consequences. If we fail to achieve and maintain the adequacy of our internal control over financial reporting, as these standards are modified, supplemented or amended from time to time, we may be unable to report our financial information on a timely basis, we may not be able to conclude on an ongoing basis that we have effective internal control over financial reporting in accordance with the Sarbanes-Oxley Act or the FDICIA, and we may suffer adverse regulatory consequences or violations of listing standards. There could also be a negative reaction in the financial markets due to a loss of investor confidence in the reliability of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to incur significant incremental costs related to operating as a public company, particularly when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(the “PCAOB”) and NASDAQ, each of which imposes additional reporting and other obligations. We expect these rules and regulations and changes in laws, regulations and standards relating to corporate governance and public disclosure to increase legal and financial compliance costs and make some activities more time consuming and costly.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equity compensation plan will cause dilution and increase our costs, which will reduce our income.</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equity compensation plan allows us to award shares of our common stock (at no cost to the participant), award options to purchase shares of our common stock, and award other equity-based compensation.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sectPr>
          <w:pgSz w:w="11900" w:h="16838" w:orient="portrait"/>
          <w:cols w:equalWidth="0" w:num="1">
            <w:col w:w="11240"/>
          </w:cols>
          <w:pgMar w:left="320" w:top="121" w:right="3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 opinion could damage our reputation and adversely impact our earnings.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 In addition, companies are facing increased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For example, certain investors are beginning to incorporate the business risks of climate change and the adequacy of companies’ responses to climate change and other ESG matters as part of their investment theses. These shifts in investing priorities may result in adverse effects on the trading price of the Company’s common stock if investors determine that the Company has not made sufficient progress on ESG matters. In addition, new government regulations could also result in new or more stringent forms of ESG oversight and expanding mandatory and voluntary reporting, diligence, and disclosure. Increased ESG-related compliance costs could result in increases to our overall operational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soundness of other financial institutions.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Until May 31, 2018, our Company was an S Corporation, and claims of taxing authorities related to our prior status as an S Corporation could harm us.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Until May 31, 2018, our Company was an S Corporation. Effective May 31, 2018, the Company revoked its S Corporation election and the Company became taxed as a C Corporation under the provisions of Sections 301 to 385 of the Internal Revenue Code of 1986, as amended (the “Code”) (which treat the corporation as an entity that is subject to an entity level U.S. federal income tax). If the unaudited, open tax years in which we were an S Corporation are audited by the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environment and the laws and regulations that govern our operations, corporate governance, executive compensation and accounting principles, or changes in them, or failure to comply with them, could adversely affect us.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extensive regulation, supervision and legal requirements that govern almost all aspects of our operations. These laws and regulations are not intended to protect our shareholders. Rather, these laws and regulations are intended to protect customers, depositors, the DIF and the overall financial stability of the banking system in the United States. Compliance with laws and regulations can be difficult and costly, and changes to laws and regulations often impose additional compliance costs. For example, the Dodd-Frank Act and related regulations, including the Home Mortgage Disclosure Act, subject us to additional restrictions, oversight and reporting obligations, which have significantly increased costs. And over the last several years, state and federal regulators have focused on enhanced risk management practices, mortgage law and regulation, compliance with the BSA and AML laws, data integrity and security, use of service providers, and fair lending and other consumer protection issues, which has increased our need to build additional processes and infrastructure. Government agencies charged with adopting and interpreting laws and regulations may do so in an unforeseen manner, including in ways that potentially expand the reach of the laws or regulations more than initially contemplated or currently anticipated. We cannot predict the substance or impact of pending or future legislation or regulation, or the application thereof. Our failure to comply with these laws and regulations, even if the failure follows good faith effort or reflects a difference in interpretation, could subject us to restrictions on our business activities, fines and other penalties, any of which could adversely affect our results of operations, capital base and the price of our securities. Further, any new laws, rules and regulations could make compliance more difficult or expensive or otherwise adversely affect our business, financial condition and results of operations.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commercial real estate lending guidance issued by the federal banking regulators that impacts our operations and capital requirements.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Our ADC loans comprise 74.7% of the Bank’s capital, and our non-owner occupied commercial real estate loans comprise 207.1% of the Bank’s capital.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Many of our new activities and expansion plans require regulatory approvals, and failure to obtain them may restrict our growth.</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Generally, we must receive federal regulatory approval before we can acquire an FDIC-insured depository institution or related business.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 In addition,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Reserve may require the Company to commit capital resources to support the Bank.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Dodd-Frank Act and the Federal Reserve require a bank holding company to act as a source of financial and managerial strength to a subsidiary bank and to commit resources to support such subsidiary bank. Accordingly, a capital injection may be required to provide financial assistance to the Bank if it experiences financial distress. Such capital injection may be required at times when the Company may not have the resources to provide and therefore may be required to borrow the funds or raise capital to make the required capital injection. Any borrowing by the Company in order to make the required capital injection may be more difficult and expensive and may adversely impact the Company’s financial condition, results of operations and/or future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regulated entity, we and the Bank must maintain certain required levels of regulatory capital that may limit our and the Bank’s operations and potential growth.</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and the Bank are subject to various regulatory capital requirements administered by the FDIC and the Federal Reserve, respectively. See “Supervision and Regulation—Regulatory Capital Requirements.” Many factors affect the calculation of our risk-based assets and our ability to maintain the level of capital required to achieve acceptable capital ratios. For example,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 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sectPr>
          <w:pgSz w:w="11900" w:h="16838" w:orient="portrait"/>
          <w:cols w:equalWidth="0" w:num="1">
            <w:col w:w="11240"/>
          </w:cols>
          <w:pgMar w:left="320" w:top="121" w:right="3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14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regulators periodically examine our business, including our compliance with laws and regulations.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19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and implement adequate programs to combat money laundering and terrorist financing could have serious reputational consequences for us.</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BSA, the USA PATRIOT Act, the National Defense Authorization Act and other laws and regulations require financial institutions, among other duties, to institute and maintain effective anti-money laundering programs and file suspicious activity and currency transaction reports as appropriate. The federal Financial Crimes Enforcement Network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If our policies, procedures and systems are deemed deficient, we could be subject to liability, including fines and regulatory actions such as restrictions on our ability to pay dividends and the necessity to obtain regulatory approvals to proceed with certain aspects of our 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risk under the terms of the CRA, as we accept additional deposits in new geographic markets.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 As we accept additional deposits in new geographic markets, we will be required to maintain an acceptable CRA rating. Maintaining an acceptable CRA rating may become more difficult as our deposits increase across new geographic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federal and state fair lending laws, and failure to comply with these laws could lead to material penalties.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ectPr>
          <w:pgSz w:w="11900" w:h="16838" w:orient="portrait"/>
          <w:cols w:equalWidth="0" w:num="1">
            <w:col w:w="11240"/>
          </w:cols>
          <w:pgMar w:left="320" w:top="121" w:right="339" w:bottom="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condition, earnings and asset quality could be adversely affected if our consumer facing operations do not operate in compliance with applicable regulations.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all aspects of our operations are subject to detailed and complex compliance regimes, those portions of our lending operations which most directly deal with consumers pose particular challenges given the emphasis on consumer compliance by bank regulators at all levels. Residential mortgage lending raises significant compliance risks resulting from the detailed and complex nature of mortgage lending regulations imposed by federal regulatory agencies, and the relatively independent operating environment in which mortgage lending officers operate. In addition, some regulatory frameworks provide for the imposition of fines or penalties for noncompliance, even if noncompliance was inadvertent or unintentional. As a result, despite the education, compliance training, supervision and oversight we exercise in these areas, failure to comply with applicable laws and regulations, even if noncompliance is inadvertent or unintentional, could result in the Bank being strictly liable for restitution or damages to individual borrowers and could expose the Bank to other regulatory enforcement activity.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may not be sustained.</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completed the initial public offering, and the Company’s common stock began trading on the NASDAQ Global Select Market, in May 2019. An active trading market for shares of our common stock may not be sustained. If an active trading market is not sustained, you may have difficulty selling your shares of our common stock at an attractive price, or at all. Consequently, you may not be able to sell your shares of our common stock at or above an attractive price at the time that you would like to sell.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could be volatile and may fluctuate significantly, which could cause the value of an investment in our common stock to decline, result in losses to our shareholders and litigation against us.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market price of our common stock may be volatile and could be subject to wide fluctuations in price in response to various factors, some of which are beyond our control. 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equity issuances, including through our current or any future equity compensation plans, could result in dilution, which could cause the price of our shares of common stock to decline.</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additional shares of our common stock in the future pursuant to current or future equity compensation plans, upon conversions of preferred stock or debt, upon exercise of warrants or in connection with future acquisitions or financings. We may seek to raise additional funds, finance acquisitions or develop strategic relationships by issuing additional shares of our common stock.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directors and executive officers have significant control over our business.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Due to the significant ownership interests of our directors and executive officers, our directors and executive officers are able to significantly affect our management, affairs and policies. For example, our directors and executive officers may be able to influence the outcome of the election of directors and the potential outcome of other matters submitted to a vote of our shareholders, such as mergers, the sale of substantially all of our assets and other extraordinary corporate matters. 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sectPr>
          <w:pgSz w:w="11900" w:h="16838" w:orient="portrait"/>
          <w:cols w:equalWidth="0" w:num="1">
            <w:col w:w="11240"/>
          </w:cols>
          <w:pgMar w:left="320" w:top="122"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certain causes of action, which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dividend policy may change without notice, and our future ability to pay dividends is subject to restrictions.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 The Federal Reserve has also issued guidance requiring that we inform and consult with the Federal Reserve prior to declaring and paying a dividend that exceeds earnings for the period for which the dividend is being paid or that could result in an adverse change to our capital structure, including interest on any debt obligations. Finally, if required payments on our debt obligations are not made, or dividends on any preferred stock we may issue are not paid, we will be prohibited from paying dividends on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bank holding company and our only source of cash, other than issuances of securities, is distributions from the Bank.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reporting requirements applicable to emerging growth companies may make our common stock less attractive to investors.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(“JOBS Act”), and we have taken advantage of certain reduced regulatory and reporting requirements that are otherwise generally applicable to public companies that are not emerging growth companies. We may take advantage of these provisions for up to five years after the date of our initial public offering,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Investors and securities analysts may find it more difficult to evaluate our common stock because we may rely on one or more of these exemptions, and, as a result, investor confidence and the market price of our common stock may be materially and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not an insured deposit and is subject to risk of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investment in our common stock is not a bank deposit and is not insured against loss or guaranteed by the FDIC, any deposit insurance fund or by any other public or private entity. As a result, you could lose some or all of your investment.</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right="20" w:firstLine="323"/>
        <w:spacing w:after="0" w:line="342" w:lineRule="auto"/>
        <w:rPr>
          <w:sz w:val="20"/>
          <w:szCs w:val="20"/>
          <w:color w:val="auto"/>
        </w:rPr>
      </w:pPr>
      <w:r>
        <w:rPr>
          <w:rFonts w:ascii="Arial" w:cs="Arial" w:eastAsia="Arial" w:hAnsi="Arial"/>
          <w:sz w:val="16"/>
          <w:szCs w:val="16"/>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Lubbock/South Plains</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Dallas/Ft. Worth</w:t>
            </w:r>
          </w:p>
        </w:tc>
      </w:tr>
      <w:tr>
        <w:trPr>
          <w:trHeight w:val="223"/>
        </w:trPr>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8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Main Branch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Plano</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line="216" w:lineRule="exact"/>
              <w:rPr>
                <w:sz w:val="20"/>
                <w:szCs w:val="20"/>
                <w:color w:val="auto"/>
              </w:rPr>
            </w:pPr>
            <w:r>
              <w:rPr>
                <w:rFonts w:ascii="Arial" w:cs="Arial" w:eastAsia="Arial" w:hAnsi="Arial"/>
                <w:sz w:val="16"/>
                <w:szCs w:val="16"/>
                <w:color w:val="auto"/>
                <w:w w:val="99"/>
              </w:rPr>
              <w:t>4</w:t>
            </w:r>
            <w:r>
              <w:rPr>
                <w:rFonts w:ascii="Arial" w:cs="Arial" w:eastAsia="Arial" w:hAnsi="Arial"/>
                <w:sz w:val="25"/>
                <w:szCs w:val="25"/>
                <w:color w:val="auto"/>
                <w:w w:val="99"/>
                <w:vertAlign w:val="superscript"/>
              </w:rPr>
              <w:t>th</w:t>
            </w:r>
            <w:r>
              <w:rPr>
                <w:rFonts w:ascii="Arial" w:cs="Arial" w:eastAsia="Arial" w:hAnsi="Arial"/>
                <w:sz w:val="16"/>
                <w:szCs w:val="16"/>
                <w:color w:val="auto"/>
                <w:w w:val="99"/>
              </w:rPr>
              <w:t xml:space="preserve"> Street Branch</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Dallas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Uptown Branch</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w w:val="99"/>
              </w:rPr>
              <w:t>50</w:t>
            </w:r>
            <w:r>
              <w:rPr>
                <w:rFonts w:ascii="Arial" w:cs="Arial" w:eastAsia="Arial" w:hAnsi="Arial"/>
                <w:sz w:val="25"/>
                <w:szCs w:val="25"/>
                <w:color w:val="auto"/>
                <w:w w:val="99"/>
                <w:vertAlign w:val="superscript"/>
              </w:rPr>
              <w:t>th</w:t>
            </w:r>
            <w:r>
              <w:rPr>
                <w:rFonts w:ascii="Arial" w:cs="Arial" w:eastAsia="Arial" w:hAnsi="Arial"/>
                <w:sz w:val="16"/>
                <w:szCs w:val="16"/>
                <w:color w:val="auto"/>
                <w:w w:val="99"/>
              </w:rPr>
              <w:t xml:space="preserve"> and Indiana Branch</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Forney</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Kingsgate Branch</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Arlington</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Milwaukee Branch</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Dallas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Hillcrest LPO</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Overton Branch</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Dallas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2"/>
              </w:rPr>
              <w:t>Lake Highlands 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University Branch</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Dallas</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Lakewood LPO</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Morton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Ft. Worth</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Idalou</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Branch</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9"/>
              </w:rPr>
              <w:t>Grand Prairie</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Levelland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Southlake</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Southlake</w:t>
            </w: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LPO</w:t>
            </w:r>
          </w:p>
        </w:tc>
      </w:tr>
    </w:tbl>
    <w:p>
      <w:pPr>
        <w:spacing w:after="0" w:line="200" w:lineRule="exact"/>
        <w:rPr>
          <w:sz w:val="20"/>
          <w:szCs w:val="20"/>
          <w:color w:val="auto"/>
        </w:rPr>
      </w:pPr>
    </w:p>
    <w:p>
      <w:pPr>
        <w:sectPr>
          <w:pgSz w:w="11900" w:h="16838" w:orient="portrait"/>
          <w:cols w:equalWidth="0" w:num="1">
            <w:col w:w="11240"/>
          </w:cols>
          <w:pgMar w:left="320" w:top="122" w:right="339" w:bottom="976"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76"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8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rPr>
              <w:t>El Paso</w:t>
            </w:r>
          </w:p>
        </w:tc>
      </w:tr>
      <w:tr>
        <w:trPr>
          <w:trHeight w:val="223"/>
        </w:trPr>
        <w:tc>
          <w:tcPr>
            <w:tcW w:w="20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5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El Paso</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89"/>
              </w:rPr>
              <w:t>East Branch</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El Paso</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West Branch</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El Paso</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Mesa Hills LPO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8"/>
                <w:szCs w:val="18"/>
                <w:b w:val="1"/>
                <w:bCs w:val="1"/>
                <w:color w:val="auto"/>
                <w:w w:val="90"/>
              </w:rPr>
              <w:t>Bryan/College Station</w:t>
            </w:r>
          </w:p>
        </w:tc>
      </w:tr>
      <w:tr>
        <w:trPr>
          <w:trHeight w:val="223"/>
        </w:trPr>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College Station</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1"/>
              </w:rPr>
              <w:t>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College Station</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439"/>
        </w:trPr>
        <w:tc>
          <w:tcPr>
            <w:tcW w:w="18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3"/>
          </w:tcPr>
          <w:p>
            <w:pPr>
              <w:jc w:val="center"/>
              <w:ind w:right="1690"/>
              <w:spacing w:after="0"/>
              <w:rPr>
                <w:sz w:val="20"/>
                <w:szCs w:val="20"/>
                <w:color w:val="auto"/>
              </w:rPr>
            </w:pPr>
            <w:r>
              <w:rPr>
                <w:rFonts w:ascii="Arial" w:cs="Arial" w:eastAsia="Arial" w:hAnsi="Arial"/>
                <w:sz w:val="18"/>
                <w:szCs w:val="18"/>
                <w:b w:val="1"/>
                <w:bCs w:val="1"/>
                <w:color w:val="auto"/>
                <w:w w:val="91"/>
              </w:rPr>
              <w:t>The Permian Basin</w:t>
            </w:r>
          </w:p>
        </w:tc>
      </w:tr>
      <w:tr>
        <w:trPr>
          <w:trHeight w:val="223"/>
        </w:trPr>
        <w:tc>
          <w:tcPr>
            <w:tcW w:w="180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8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Odessa</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00" w:type="dxa"/>
            <w:vAlign w:val="bottom"/>
          </w:tcPr>
          <w:p>
            <w:pPr>
              <w:jc w:val="center"/>
              <w:spacing w:after="0" w:line="201" w:lineRule="exact"/>
              <w:rPr>
                <w:sz w:val="20"/>
                <w:szCs w:val="20"/>
                <w:color w:val="auto"/>
              </w:rPr>
            </w:pPr>
            <w:r>
              <w:rPr>
                <w:rFonts w:ascii="Arial" w:cs="Arial" w:eastAsia="Arial" w:hAnsi="Arial"/>
                <w:sz w:val="18"/>
                <w:szCs w:val="18"/>
                <w:color w:val="auto"/>
                <w:w w:val="93"/>
              </w:rPr>
              <w:t>University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Odessa</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Grandview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Midland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Kermit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Fort Stockton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Monahans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center"/>
              <w:ind w:right="1850"/>
              <w:spacing w:after="0"/>
              <w:rPr>
                <w:sz w:val="20"/>
                <w:szCs w:val="20"/>
                <w:color w:val="auto"/>
              </w:rPr>
            </w:pPr>
            <w:r>
              <w:rPr>
                <w:rFonts w:ascii="Arial" w:cs="Arial" w:eastAsia="Arial" w:hAnsi="Arial"/>
                <w:sz w:val="18"/>
                <w:szCs w:val="18"/>
                <w:b w:val="1"/>
                <w:bCs w:val="1"/>
                <w:color w:val="auto"/>
                <w:w w:val="87"/>
              </w:rPr>
              <w:t>Houston</w:t>
            </w:r>
          </w:p>
        </w:tc>
      </w:tr>
      <w:tr>
        <w:trPr>
          <w:trHeight w:val="223"/>
        </w:trPr>
        <w:tc>
          <w:tcPr>
            <w:tcW w:w="19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Location</w:t>
            </w: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Houston</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857"/>
        </w:trPr>
        <w:tc>
          <w:tcPr>
            <w:tcW w:w="54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Ruidoso/Eastern New Mexico</w:t>
            </w:r>
          </w:p>
        </w:tc>
      </w:tr>
      <w:tr>
        <w:trPr>
          <w:trHeight w:val="223"/>
        </w:trPr>
        <w:tc>
          <w:tcPr>
            <w:tcW w:w="19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Location</w:t>
            </w: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Ruidoso</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tcPr>
          <w:p>
            <w:pPr>
              <w:jc w:val="center"/>
              <w:spacing w:after="0" w:line="201" w:lineRule="exact"/>
              <w:rPr>
                <w:sz w:val="20"/>
                <w:szCs w:val="20"/>
                <w:color w:val="auto"/>
              </w:rPr>
            </w:pPr>
            <w:r>
              <w:rPr>
                <w:rFonts w:ascii="Arial" w:cs="Arial" w:eastAsia="Arial" w:hAnsi="Arial"/>
                <w:sz w:val="18"/>
                <w:szCs w:val="18"/>
                <w:color w:val="auto"/>
                <w:w w:val="90"/>
              </w:rPr>
              <w:t>Gateway Branch</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Ruidoso</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1"/>
              </w:rPr>
              <w:t>River Crossing Branch</w:t>
            </w:r>
          </w:p>
        </w:tc>
      </w:tr>
      <w:tr>
        <w:trPr>
          <w:trHeight w:val="439"/>
        </w:trPr>
        <w:tc>
          <w:tcPr>
            <w:tcW w:w="19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3"/>
          </w:tcPr>
          <w:p>
            <w:pPr>
              <w:jc w:val="center"/>
              <w:ind w:right="1850"/>
              <w:spacing w:after="0"/>
              <w:rPr>
                <w:sz w:val="20"/>
                <w:szCs w:val="20"/>
                <w:color w:val="auto"/>
              </w:rPr>
            </w:pPr>
            <w:r>
              <w:rPr>
                <w:rFonts w:ascii="Arial" w:cs="Arial" w:eastAsia="Arial" w:hAnsi="Arial"/>
                <w:sz w:val="18"/>
                <w:szCs w:val="18"/>
                <w:b w:val="1"/>
                <w:bCs w:val="1"/>
                <w:color w:val="auto"/>
                <w:w w:val="95"/>
              </w:rPr>
              <w:t>Other Markets</w:t>
            </w:r>
          </w:p>
        </w:tc>
      </w:tr>
      <w:tr>
        <w:trPr>
          <w:trHeight w:val="223"/>
        </w:trPr>
        <w:tc>
          <w:tcPr>
            <w:tcW w:w="19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Location</w:t>
            </w:r>
          </w:p>
        </w:tc>
        <w:tc>
          <w:tcPr>
            <w:tcW w:w="6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Abilene, Texas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tcPr>
          <w:p>
            <w:pPr>
              <w:jc w:val="center"/>
              <w:spacing w:after="0" w:line="201" w:lineRule="exact"/>
              <w:rPr>
                <w:sz w:val="20"/>
                <w:szCs w:val="20"/>
                <w:color w:val="auto"/>
              </w:rPr>
            </w:pPr>
            <w:r>
              <w:rPr>
                <w:rFonts w:ascii="Arial" w:cs="Arial" w:eastAsia="Arial" w:hAnsi="Arial"/>
                <w:sz w:val="18"/>
                <w:szCs w:val="18"/>
                <w:color w:val="auto"/>
                <w:w w:val="94"/>
              </w:rPr>
              <w:t>LPO</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Austin, Texas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Beaumont, Texas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9"/>
              </w:rPr>
              <w:t>Dripping Springs, Texas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Waco, Texas</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8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415" w:lineRule="exact"/>
        <w:rPr>
          <w:sz w:val="20"/>
          <w:szCs w:val="20"/>
          <w:color w:val="auto"/>
        </w:rPr>
      </w:pPr>
    </w:p>
    <w:p>
      <w:pPr>
        <w:sectPr>
          <w:pgSz w:w="11900" w:h="16838" w:orient="portrait"/>
          <w:cols w:equalWidth="0" w:num="2">
            <w:col w:w="5580" w:space="260"/>
            <w:col w:w="5400"/>
          </w:cols>
          <w:pgMar w:left="320" w:top="122" w:right="339" w:bottom="1440" w:gutter="0" w:footer="0" w:header="0"/>
        </w:sectPr>
      </w:pPr>
    </w:p>
    <w:p>
      <w:pPr>
        <w:spacing w:after="0" w:line="2" w:lineRule="exact"/>
        <w:rPr>
          <w:sz w:val="20"/>
          <w:szCs w:val="20"/>
          <w:color w:val="auto"/>
        </w:rPr>
      </w:pPr>
    </w:p>
    <w:p>
      <w:pPr>
        <w:jc w:val="both"/>
        <w:ind w:right="180" w:firstLine="323"/>
        <w:spacing w:after="0" w:line="286" w:lineRule="auto"/>
        <w:rPr>
          <w:sz w:val="20"/>
          <w:szCs w:val="20"/>
          <w:color w:val="auto"/>
        </w:rPr>
      </w:pPr>
      <w:r>
        <w:rPr>
          <w:rFonts w:ascii="Arial" w:cs="Arial" w:eastAsia="Arial" w:hAnsi="Arial"/>
          <w:sz w:val="17"/>
          <w:szCs w:val="17"/>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3"/>
        <w:spacing w:after="0" w:line="286" w:lineRule="auto"/>
        <w:rPr>
          <w:sz w:val="20"/>
          <w:szCs w:val="20"/>
          <w:color w:val="auto"/>
        </w:rPr>
      </w:pPr>
      <w:r>
        <w:rPr>
          <w:rFonts w:ascii="Arial" w:cs="Arial" w:eastAsia="Arial" w:hAnsi="Arial"/>
          <w:sz w:val="16"/>
          <w:szCs w:val="16"/>
          <w:color w:val="auto"/>
        </w:rPr>
        <w:t>In 2004, City Bank entered into a Software License and Maintenance Agreement with Kasasa, Ltd. f/k/a Moneyvue Financial, Inc., Bankvue Financial, Inc., and BancVue, Ltd. (“Kasasa”). Thereafter, in 2008, City Bank and Kasasa entered into a Trademark License Agreement. The contracts with Kasasa grant City Bank the exclusive right to market and use Kasasa’s “Reward Checking” software and trademark in Lubbock and Hockley Counties, Texas. In July 2020, Kasasa served a Notice of Termination of the Software License and Trademark License agreements, claiming that City Bank had breached the Software License and Maintenance Agreement by failing to timely pay amounts allegedly due and owing. City Bank vigorously rejected any such non-payment contentions and, in response to the Notice, filed suit against Kasasa in Travis County, Texas, styled City Bank v. Kasasa, Ltd., Cause No. D-1-GN-20-003630, 53rd Judicial District, Travis County, Texas. With the lawsuit, City Bank sought, among other claims and relief, an injunction against Kasasa. After an evidentiary hearing, the Court entered a temporary injunction against Kasasa expressly prohibiting it from, among other things, terminating the Software License and Maintenance Agreement pending trial. Based upon discovery in the lawsuit, City Bank also filed a breach of contract claim against Kasasa alleging that Kasasa violated City Bank’s contractual exclusivity rights. Kasasa has filed counterclaims, including for declaratory relief that the contracts should be declared unenforceable. In October 2021, Kasasa filed a counterclaim alleging that City Bank’s attempted enforcement of its exclusivity rights contravenes the Texas Free Enterprise and Antitrust Act. Kasasa purports to seek actual damages, to treble such actual damages, attorney’s fees and expenses. The case remains ongoing and trial is set for October 2022. City Bank intends to continue a vigorous pursuit of its claims against Kasasa. In addition, City Bank pursues a number of substantive factual and legal challenges to Kasasa’s counterclaims and believes the counterclaims are without merit. At this time, the ultimate outcome is unknown and an estimated range of any loss cannot be made.</w:t>
      </w:r>
    </w:p>
    <w:p>
      <w:pPr>
        <w:spacing w:after="0" w:line="167" w:lineRule="exact"/>
        <w:rPr>
          <w:sz w:val="20"/>
          <w:szCs w:val="20"/>
          <w:color w:val="auto"/>
        </w:rPr>
      </w:pPr>
    </w:p>
    <w:p>
      <w:pPr>
        <w:jc w:val="both"/>
        <w:ind w:firstLine="323"/>
        <w:spacing w:after="0" w:line="311" w:lineRule="auto"/>
        <w:rPr>
          <w:sz w:val="20"/>
          <w:szCs w:val="20"/>
          <w:color w:val="auto"/>
        </w:rPr>
      </w:pPr>
      <w:r>
        <w:rPr>
          <w:rFonts w:ascii="Arial" w:cs="Arial" w:eastAsia="Arial" w:hAnsi="Arial"/>
          <w:sz w:val="16"/>
          <w:szCs w:val="16"/>
          <w:color w:val="auto"/>
        </w:rPr>
        <w:t>From time to time, the Company or the Bank is a party to claims and legal proceedings arising in the ordinary course of business. Except as described above,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common stock is traded on the NASDAQ Global Select Market. Quotations of the sales volume and the closing sales prices of the Company’s common stock are listed daily under the symbol “SPFI” in NASDAQ’s listings.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 2022, there were approximately 170 holders of record of the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paid dividends of $0.05, $0.07, $0.09, and $0.09 per common share in the first, second, third, and fourth quarters of 2021, respectively. Additionally, the Company paid a dividend of $0.11 per common share in the first quarter of 2022. Also, see “Item 1. Business – Supervision and Regulation – Dividend Payments, Stock Redemptions and Repurchases” and “Item 7. Management’s Discussion and Analysis of the Financial Condition and Results of Operations – Liquidity and Capital Resources – Capital Requirements” of this Report for restrictions on our present or future ability to pay dividends, particularly those restrictions arising under federal and state banking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sets forth information at December 31, 2021 with respect to compensation plans under which shares of our common stock may be issued.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Shares to be</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rPr>
              <w:t>Weighted-Average</w:t>
            </w: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Issued Upon Exercise of</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Exercise Price of</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 for</w:t>
            </w:r>
          </w:p>
        </w:tc>
      </w:tr>
      <w:tr>
        <w:trPr>
          <w:trHeight w:val="241"/>
        </w:trPr>
        <w:tc>
          <w:tcPr>
            <w:tcW w:w="57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 Awards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5"/>
              </w:rPr>
              <w:t>Outstanding Awards</w:t>
            </w: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Future Grants</w:t>
            </w:r>
          </w:p>
        </w:tc>
      </w:tr>
      <w:tr>
        <w:trPr>
          <w:trHeight w:val="216"/>
        </w:trPr>
        <w:tc>
          <w:tcPr>
            <w:tcW w:w="57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Equity compensation plans approved by shareholders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1,644,795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1,221,206</w:t>
            </w:r>
          </w:p>
        </w:tc>
        <w:tc>
          <w:tcPr>
            <w:tcW w:w="10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2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1,644,795</w:t>
            </w: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1,221,206</w:t>
            </w:r>
          </w:p>
        </w:tc>
        <w:tc>
          <w:tcPr>
            <w:tcW w:w="100" w:type="dxa"/>
            <w:vAlign w:val="bottom"/>
            <w:shd w:val="clear" w:color="auto" w:fill="CCEEFF"/>
          </w:tcPr>
          <w:p>
            <w:pPr>
              <w:spacing w:after="0"/>
              <w:rPr>
                <w:sz w:val="20"/>
                <w:szCs w:val="20"/>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4230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9"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available for future issuance includes 1,221,206 shares available under the Company’s 2019 Equity Incentive Plan (which allows for the issuance of options, as well as various other stock-based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Securities</w:t>
      </w:r>
    </w:p>
    <w:p>
      <w:pPr>
        <w:spacing w:after="0" w:line="229" w:lineRule="exact"/>
        <w:rPr>
          <w:sz w:val="20"/>
          <w:szCs w:val="20"/>
          <w:color w:val="auto"/>
        </w:rPr>
      </w:pPr>
    </w:p>
    <w:p>
      <w:pPr>
        <w:jc w:val="both"/>
        <w:ind w:firstLine="577"/>
        <w:spacing w:after="0" w:line="273" w:lineRule="auto"/>
        <w:rPr>
          <w:sz w:val="20"/>
          <w:szCs w:val="20"/>
          <w:color w:val="auto"/>
        </w:rPr>
      </w:pPr>
      <w:r>
        <w:rPr>
          <w:rFonts w:ascii="Arial" w:cs="Arial" w:eastAsia="Arial" w:hAnsi="Arial"/>
          <w:sz w:val="17"/>
          <w:szCs w:val="17"/>
          <w:color w:val="auto"/>
        </w:rPr>
        <w:t>On March 13, 2020, the Company approved a stock repurchase program pursuant to which the Company may, from time to time, purchase up to $10.0 million of its outstanding shares of common stock (the “Program”). The shares may be repurchased from time to time in privately negotiated transactions or the open market, including pursuant to Rule 10b5-1 trading plans, and in accordance with applicable regulations of the SEC. The timing and exact amount of any repurchases will depend on various factors including, the performance of the Company’s stock price, general market and other conditions, applicable legal requirements and other factors. On November 2, 2020, the Company amended the Program to extend the original expiration date of April 15, 2021, to November 5, 2021, subject to certain limitations and conditions.</w:t>
      </w:r>
    </w:p>
    <w:p>
      <w:pPr>
        <w:spacing w:after="0" w:line="17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6"/>
          <w:szCs w:val="16"/>
          <w:color w:val="auto"/>
        </w:rPr>
        <w:t>On October 29, 2021, the Company’s board of directors approved a new stock repurchase program, effective November 6, 2021, pursuant to which the Company may, from time to time, purchase up to $10.0 million of its outstanding shares of common stock (the “New Repurchase Program”). The shares may be repurchased from time to time in privately negotiated transactions or the open market, including pursuant to a Rule 10b5-1 trading plan adopted by the Company, and in accordance with applicable regulations of the SEC. The Company is not obligated to purchase any shares of its common stock under the New Repurchase Program, and the timing and exact amount of any repurchases will depend on various factors, including the performance of the Company’s stock price, general market and other conditions, applicable legal requirements and other factors. The New Repurchase Program has an expiration date of November 6, 2022. The New Repurchase Program may be terminated or amended by the Company’s board of directors at any time prior to the expiration date. The stock repurchase program currently in place will expire prior to the New Repurchase Program becoming effective. Any remaining shares under such expiring stock repurchase program will not be rolled into the New Repurchase Program.</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3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040" w:type="dxa"/>
            <w:vAlign w:val="bottom"/>
            <w:gridSpan w:val="11"/>
          </w:tcPr>
          <w:p>
            <w:pPr>
              <w:ind w:left="580"/>
              <w:spacing w:after="0"/>
              <w:rPr>
                <w:sz w:val="20"/>
                <w:szCs w:val="20"/>
                <w:color w:val="auto"/>
              </w:rPr>
            </w:pPr>
            <w:r>
              <w:rPr>
                <w:rFonts w:ascii="Arial" w:cs="Arial" w:eastAsia="Arial" w:hAnsi="Arial"/>
                <w:sz w:val="18"/>
                <w:szCs w:val="18"/>
                <w:color w:val="auto"/>
                <w:w w:val="96"/>
              </w:rPr>
              <w:t>The following table summarizes the share repurchase activity for the three months ended December 31, 2021.</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Maximum Dollar Amount</w:t>
            </w:r>
          </w:p>
        </w:tc>
      </w:tr>
      <w:tr>
        <w:trPr>
          <w:trHeight w:val="216"/>
        </w:trPr>
        <w:tc>
          <w:tcPr>
            <w:tcW w:w="10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Dollar Amount</w:t>
            </w:r>
          </w:p>
        </w:tc>
        <w:tc>
          <w:tcPr>
            <w:tcW w:w="80" w:type="dxa"/>
            <w:vAlign w:val="bottom"/>
          </w:tcPr>
          <w:p>
            <w:pPr>
              <w:spacing w:after="0"/>
              <w:rPr>
                <w:sz w:val="18"/>
                <w:szCs w:val="18"/>
                <w:color w:val="auto"/>
              </w:rPr>
            </w:pPr>
          </w:p>
        </w:tc>
        <w:tc>
          <w:tcPr>
            <w:tcW w:w="21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10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 Shares</w:t>
            </w: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Average 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Pursuant to</w:t>
            </w:r>
          </w:p>
        </w:tc>
        <w:tc>
          <w:tcPr>
            <w:tcW w:w="80" w:type="dxa"/>
            <w:vAlign w:val="bottom"/>
          </w:tcPr>
          <w:p>
            <w:pPr>
              <w:spacing w:after="0"/>
              <w:rPr>
                <w:sz w:val="18"/>
                <w:szCs w:val="18"/>
                <w:color w:val="auto"/>
              </w:rPr>
            </w:pPr>
          </w:p>
        </w:tc>
        <w:tc>
          <w:tcPr>
            <w:tcW w:w="21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Repurchase Pursuant to</w:t>
            </w:r>
          </w:p>
        </w:tc>
      </w:tr>
      <w:tr>
        <w:trPr>
          <w:trHeight w:val="241"/>
        </w:trPr>
        <w:tc>
          <w:tcPr>
            <w:tcW w:w="10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Repurchased</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Paid Per Share</w:t>
            </w:r>
          </w:p>
        </w:tc>
        <w:tc>
          <w:tcPr>
            <w:tcW w:w="2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Publicly-Announced Plans</w:t>
            </w:r>
          </w:p>
        </w:tc>
        <w:tc>
          <w:tcPr>
            <w:tcW w:w="2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Publicly-Announced Plans</w:t>
            </w: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October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34,902</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861,453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3,629,152</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November 2021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26,446</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696,477</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9,303,523</w:t>
            </w:r>
          </w:p>
        </w:tc>
      </w:tr>
      <w:tr>
        <w:trPr>
          <w:trHeight w:val="223"/>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2021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59,359</w:t>
            </w: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1,588,093</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7,715,430</w:t>
            </w:r>
          </w:p>
        </w:tc>
      </w:tr>
      <w:tr>
        <w:trPr>
          <w:trHeight w:val="216"/>
        </w:trPr>
        <w:tc>
          <w:tcPr>
            <w:tcW w:w="43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following performance graph compares total stockholders’ return on the Company’s common stock for the period beginning at the close of trading on May 9, 2019 and for the last trading date of each year from 2019 to 2021, with the cumulative total return of the S&amp;P 500 and the S&amp;P United States BMI Banks Index for the same periods. Cumulative total return is computed by dividing the difference between the Company’s share price at the end and the beginning of the measurement period by the share price at the beginning of the measurement period. The performance graph assumes $100 is invested on May 9, 2019, in the Company’s common stock, including reinvestment of any dividends, and each of the indices. Historical stock price performance is not necessarily indicative of future stock price performance. This performance graph and related information shall not be deemed “soliciting material” or to be “filed” with the SEC for purposes of Section 18 of the Exchange Act of 1934, or incorporated by reference into any future SEC filing,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122555</wp:posOffset>
            </wp:positionV>
            <wp:extent cx="6111875" cy="3429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187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r>
              <w:rPr>
                <w:rFonts w:ascii="Arial" w:cs="Arial" w:eastAsia="Arial" w:hAnsi="Arial"/>
                <w:sz w:val="18"/>
                <w:szCs w:val="18"/>
                <w:b w:val="1"/>
                <w:bCs w:val="1"/>
                <w:color w:val="auto"/>
              </w:rPr>
              <w:t>Dollars</w:t>
            </w:r>
          </w:p>
        </w:tc>
        <w:tc>
          <w:tcPr>
            <w:tcW w:w="5120" w:type="dxa"/>
            <w:vAlign w:val="bottom"/>
          </w:tcPr>
          <w:p>
            <w:pPr>
              <w:spacing w:after="0"/>
              <w:rPr>
                <w:sz w:val="20"/>
                <w:szCs w:val="20"/>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5/9/19</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12/21</w:t>
            </w:r>
          </w:p>
        </w:tc>
      </w:tr>
      <w:tr>
        <w:trPr>
          <w:trHeight w:val="216"/>
        </w:trPr>
        <w:tc>
          <w:tcPr>
            <w:tcW w:w="5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South Plains Financial, Inc.</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100.0</w:t>
            </w: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118.25</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161.21</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S&amp;P United States BMI Banks Index</w:t>
            </w:r>
          </w:p>
        </w:tc>
        <w:tc>
          <w:tcPr>
            <w:tcW w:w="1500" w:type="dxa"/>
            <w:vAlign w:val="bottom"/>
            <w:gridSpan w:val="3"/>
          </w:tcPr>
          <w:p>
            <w:pPr>
              <w:ind w:left="840"/>
              <w:spacing w:after="0"/>
              <w:rPr>
                <w:sz w:val="20"/>
                <w:szCs w:val="20"/>
                <w:color w:val="auto"/>
              </w:rPr>
            </w:pPr>
            <w:r>
              <w:rPr>
                <w:rFonts w:ascii="Arial" w:cs="Arial" w:eastAsia="Arial" w:hAnsi="Arial"/>
                <w:sz w:val="18"/>
                <w:szCs w:val="18"/>
                <w:color w:val="auto"/>
              </w:rPr>
              <w:t>100.0</w:t>
            </w: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117.22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102.26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139.04</w:t>
            </w: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51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173.77</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Source: S&amp;P Global Market Intelligence © 2021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120" w:type="dxa"/>
            <w:vAlign w:val="bottom"/>
          </w:tcPr>
          <w:p>
            <w:pPr>
              <w:ind w:left="80"/>
              <w:spacing w:after="0"/>
              <w:rPr>
                <w:sz w:val="20"/>
                <w:szCs w:val="20"/>
                <w:color w:val="auto"/>
              </w:rPr>
            </w:pPr>
            <w:r>
              <w:rPr>
                <w:rFonts w:ascii="Arial" w:cs="Arial" w:eastAsia="Arial" w:hAnsi="Arial"/>
                <w:sz w:val="18"/>
                <w:szCs w:val="18"/>
                <w:b w:val="1"/>
                <w:bCs w:val="1"/>
                <w:color w:val="auto"/>
              </w:rPr>
              <w:t>[Reserved]</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7080" w:type="dxa"/>
            <w:vAlign w:val="bottom"/>
            <w:gridSpan w:val="5"/>
          </w:tcPr>
          <w:p>
            <w:pPr>
              <w:ind w:left="80"/>
              <w:spacing w:after="0"/>
              <w:rPr>
                <w:sz w:val="20"/>
                <w:szCs w:val="20"/>
                <w:color w:val="auto"/>
              </w:rPr>
            </w:pPr>
            <w:r>
              <w:rPr>
                <w:rFonts w:ascii="Arial" w:cs="Arial" w:eastAsia="Arial" w:hAnsi="Arial"/>
                <w:sz w:val="18"/>
                <w:szCs w:val="18"/>
                <w:b w:val="1"/>
                <w:bCs w:val="1"/>
                <w:color w:val="auto"/>
                <w:w w:val="91"/>
              </w:rPr>
              <w:t>Management’s Discussion and Analysis of Financial Condition and Results of Operations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the accompanying notes included elsewhere in this Report.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sectPr>
          <w:pgSz w:w="11900" w:h="16838" w:orient="portrait"/>
          <w:cols w:equalWidth="0" w:num="1">
            <w:col w:w="11240"/>
          </w:cols>
          <w:pgMar w:left="320" w:top="114" w:right="33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comparability of our consolidated results of operations for the year ended December 31, 2020 to the year ended December 31, 2019 is affected by the acquisition of West Texas State Bank (“WTSB”) on November 12, 2019. Therefore, the results of the acquired operations of WTSB were included in our results of operations during all of 2020 and for a portion of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Update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spread of COVID-19 continues to cause significant disruptions in the U.S. economy since it was declared a pandemic in March 2020 by the World Health Organization. In addition, the “Delta” and “Omicron” variants of COVID-19, which are the most transmissible variants identified to date, have spread in the U.S. in 2021. At this time, we cannot predict the impact or how long the economy or our impacted clients will be disrupted by the ongoing COVID-19 pandemic and any current or future variants of COVID-19, which could depend on numerous factors, including vaccination rates among the population, the effectiveness of COVID-19 vaccines against variants, and the response by governmental bodies and regulators. We are closely monitoring the current environment, given the rise in cases due to the “Delta” and “Omicron” variants, and are preparing to quickly make any necessary adjustments to protect our employees and customers.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also continues to utilize a rigorous enterprise risk management (“ERM”) system that delivers a systematic approach to risk measurement and enhances the effectiveness of risk management across the Bank. The Bank’s ERM system has allowed management to consistently and aggressively review the Bank’s loan portfolio for signs of potential issues during the ongoing COVID-19 pandemic and the Bank continues to closely monitoring its loans to borrowers in the retail, hospitality and energy sectors.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duration of the COVID-19 pandemic and the scope of its impact on the economy is uncertain, the Bank continues to be proactive with its borrowers in those sectors most affected by the COVID-19 pandemic and offering loan modifications to borrowers who are or may be unable to meet their contractual payment obligations because of the effects of COVID-19. As part of the Bank’s efforts to support its customers and protect the Bank, the Bank has offered varying forms of loan modifications including 90-day payment deferrals, 6-month interest only terms, or in certain select cases periods of longer than 6 months of interest only, to provide borrowers relief. As of December 31, 2021, total active loan modifications attributed to COVID-19 were approximately $15.9 million, or 0.7%, of the Company’s loan portfolio. All active modifications are loans modified for either interest only periods longer than 6 months, primarily in the Bank’s hotel portfolio. The Bank expects that these remaining loans on deferral will return to full payment status at the end of their respective deferral period.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Paycheck Protection Program (“PPP”) was created by the Coronavirus Aid, Relief, and Economic Security Act (the “CARES Act”) and implemented by the U.S. Small Business Administration (the “SBA”) in March 2020. The PPP allows entities to apply for a 1.00% interest rate loan with payments generally deferred until the date the lender receives the applicable forgiveness amount from the SBA. The PPP loans may be partially or fully forgiven by the SBA if the entity meets certain conditions. The maturity term for any principal portion left unforgiven is either 2 or 5 years from the funding date, depending on when the loan was originated. For PPP loans that the SBA approved on or after June 5, 2020, the loan must have a maturity of at least 5 years. All PPP loans are fully guaranteed by the SBA and are included in total loans outstanding. The Economic Aid Act, signed into law on December 27, 2020, authorized an additional $284.5 billion in new PPP loan funding and extends the authority of lenders to make PPP loans through March 31, 2021. The PPP Extension Act of 2021 was subsequently signed into law on March 30, 2021 and extended the PPP application deadline to May 31, 2021.</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assisted approximately 2,100 customers for a total of $218 million in the first round of PPP. There has been approximately $217 million in PPP loan forgiveness by the SBA and loan repayments by customers, leaving approximately $1 million outstanding as of December 31, 2021. The Bank began accepting new applications for PPP loans in January 2021 to assist customers with the new round of the PPP until funding for the PPP expired on May 31, 2021. For the year ended December 31, 2021, the Bank funded approximately 1,100 PPP loans for a total of $91 million. The SBA has forgiven approximately $52 million of PPP loans from this last round.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currently unable to fully assess or predict the extent of the effects of the COVID-19 pandemic, or any current or future variant of COVID-19, on our operations as the ultimate impact will depend on factors that are currently unknown and/or beyond our control. Please refer to Part I, Item 1A, “Risk Factors”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certain of our selected financial data for, and as of the end of, each of the periods indicated. This information should be read in conjunction with “Item 8. Financial Statements and Supplementary Data” included elsewhere in this Report (dollars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0"/>
              </w:rPr>
              <w:t>As of or for the Year Ended December 31,</w:t>
            </w:r>
          </w:p>
        </w:tc>
      </w:tr>
      <w:tr>
        <w:trPr>
          <w:trHeight w:val="223"/>
        </w:trPr>
        <w:tc>
          <w:tcPr>
            <w:tcW w:w="7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Selected Income Statement Data: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121,764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122,285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104,575</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25,570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2,799</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income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97,469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101,603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56,633</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Noninterest expense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148,030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141,715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121,708</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14,507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7,481</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58,614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45,353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29,220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and Per Share Data:</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Earnings per share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3.26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Dividends per share</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r>
      <w:tr>
        <w:trPr>
          <w:trHeight w:val="216"/>
        </w:trPr>
        <w:tc>
          <w:tcPr>
            <w:tcW w:w="72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w:t>
            </w: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486,821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300,307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158,099</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724,504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803,087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707,650</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 held for investment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2,437,577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2,221,583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2,143,623</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42,098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45,553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24,197</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3,901,855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3,599,160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3,237,167</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3,341,222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2,974,351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2,696,857</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122,168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205,030</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407,427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370,048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306,182</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Ratios: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Return on average assets</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on average stockholders’ equity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w:t>
            </w:r>
          </w:p>
        </w:tc>
      </w:tr>
      <w:tr>
        <w:trPr>
          <w:trHeight w:val="216"/>
        </w:trPr>
        <w:tc>
          <w:tcPr>
            <w:tcW w:w="7220" w:type="dxa"/>
            <w:vAlign w:val="bottom"/>
          </w:tcPr>
          <w:p>
            <w:pPr>
              <w:ind w:left="180"/>
              <w:spacing w:after="0" w:line="216"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5"/>
                <w:szCs w:val="25"/>
                <w:color w:val="auto"/>
                <w:vertAlign w:val="superscript"/>
              </w:rPr>
              <w:t>(2)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r>
      <w:tr>
        <w:trPr>
          <w:trHeight w:val="216"/>
        </w:trPr>
        <w:tc>
          <w:tcPr>
            <w:tcW w:w="72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Efficiency ratio</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75.29%</w:t>
            </w: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Credit Quality Ratios: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Nonperforming assets to total assets</w:t>
            </w:r>
            <w:r>
              <w:rPr>
                <w:rFonts w:ascii="Arial" w:cs="Arial" w:eastAsia="Arial" w:hAnsi="Arial"/>
                <w:sz w:val="25"/>
                <w:szCs w:val="25"/>
                <w:color w:val="auto"/>
                <w:vertAlign w:val="superscript"/>
              </w:rPr>
              <w:t>(4)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Nonperforming loans to total loans held for investment</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r>
      <w:tr>
        <w:trPr>
          <w:trHeight w:val="216"/>
        </w:trPr>
        <w:tc>
          <w:tcPr>
            <w:tcW w:w="72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5"/>
                <w:szCs w:val="25"/>
                <w:color w:val="auto"/>
                <w:vertAlign w:val="superscript"/>
              </w:rPr>
              <w:t>(5)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397.23%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304.40%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400.28%</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Allowance for loan losses to total loans held for investment</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loan charge-offs to average loans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 to total assets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r>
      <w:tr>
        <w:trPr>
          <w:trHeight w:val="216"/>
        </w:trPr>
        <w:tc>
          <w:tcPr>
            <w:tcW w:w="7220" w:type="dxa"/>
            <w:vAlign w:val="bottom"/>
          </w:tcPr>
          <w:p>
            <w:pPr>
              <w:ind w:left="180"/>
              <w:spacing w:after="0" w:line="216"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5"/>
                <w:szCs w:val="25"/>
                <w:color w:val="auto"/>
                <w:vertAlign w:val="superscript"/>
              </w:rPr>
              <w:t>(1)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8.69%</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equity tier 1 capital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11.06%</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Tier 1 leverage ratio</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10.74%</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risk-based capital ratio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12.85%</w:t>
            </w: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Total risk-based capital ratio</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18.40%</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14.88%</w:t>
            </w:r>
          </w:p>
        </w:tc>
      </w:tr>
    </w:tbl>
    <w:p>
      <w:pPr>
        <w:spacing w:after="0" w:line="187" w:lineRule="exact"/>
        <w:rPr>
          <w:sz w:val="20"/>
          <w:szCs w:val="20"/>
          <w:color w:val="auto"/>
        </w:rPr>
      </w:pPr>
    </w:p>
    <w:p>
      <w:pPr>
        <w:jc w:val="both"/>
        <w:ind w:left="34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 non-GAAP financial measure. See our reconciliation of non-GAAP financial measures to their most directly comparable GAAP financial measures under the caption “Management’s Discussion and Analysis of Financial Condition and Results of Operations — Non-GAAP Financial Measures.”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efficiency ratio is calculated by dividing noninterest expense by the sum of net interest income on a tax-equivalent basis and noninterest income.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assets consist of nonperforming loans plus OREO.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Nonperforming loans include nonaccrual loans and loans past due 90 days or more.</w:t>
      </w:r>
    </w:p>
    <w:p>
      <w:pPr>
        <w:sectPr>
          <w:pgSz w:w="11900" w:h="16838" w:orient="portrait"/>
          <w:cols w:equalWidth="0" w:num="1">
            <w:col w:w="11240"/>
          </w:cols>
          <w:pgMar w:left="320" w:top="122" w:right="3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income for the year ended December 31, 2021 was $58.6 million, or $3.17 per diluted share, compared to $45.4 million, or $2.47 per diluted share, for the year ended December 31, 2020. The increase in net income was primarily the result of a decrease of $27.5 million in provision for loan loss, offset by a decrease of $4.1 million in noninterest income, an increase of $6.3 million in noninterest expense and an increase of $3.3 million in income tax expense.</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Return on average assets was 1.56% and return on average equity was 15.08% for the year ended December 31, 2021, compared to 1.31% and 13.40%, respectively, for the year ended December 31, 2020. The increase in return on average assets was primarily due to the increase in net income of 29.2%, relative to a smaller increase of 8.8% for total average assets.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year ended December 31, 2020 was $45.4 million, or $2.47 per diluted share, compared to $29.2 million, or $1.71 per diluted share, for the year ended December 31, 2019. The increase in net income was primarily the result of an improvement of $17.7 million in net interest income and increased noninterest income of $45.0 million, offset by an increase of $20.0 million in noninterest expense, an increase of $22.8 million in the provision for loan losses and an increase of $3.8 million in income tax expense.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Return on average assets was 1.31% and return on average equity was 13.40% for the year ended December 31, 2020, compared to 1.04% and 10.94%, respectively, for the year ended December 31, 2019. The increase in return on average assets was primarily due to the increase in net income of 55.2%, relative to a smaller increase of 22.8% for total average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Average</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ind w:left="100"/>
              <w:spacing w:after="0" w:line="198" w:lineRule="exact"/>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5"/>
              </w:rPr>
              <w:t>Interest</w:t>
            </w: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Yield/Rate</w:t>
            </w:r>
          </w:p>
        </w:tc>
        <w:tc>
          <w:tcPr>
            <w:tcW w:w="820" w:type="dxa"/>
            <w:vAlign w:val="bottom"/>
          </w:tcPr>
          <w:p>
            <w:pPr>
              <w:ind w:left="12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Yield/Rate</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Interest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(Dollars in thousands)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9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Loans, excluding PPP </w:t>
            </w:r>
            <w:r>
              <w:rPr>
                <w:rFonts w:ascii="Arial" w:cs="Arial" w:eastAsia="Arial" w:hAnsi="Arial"/>
                <w:sz w:val="25"/>
                <w:szCs w:val="25"/>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$2,302,413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$ 112,255</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$ 2,181,118</w:t>
            </w: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$ 116,753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$1,997,783</w:t>
            </w: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$ 117,074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Loans - PPP</w:t>
            </w:r>
          </w:p>
        </w:tc>
        <w:tc>
          <w:tcPr>
            <w:tcW w:w="820" w:type="dxa"/>
            <w:vAlign w:val="bottom"/>
          </w:tcPr>
          <w:p>
            <w:pPr>
              <w:jc w:val="right"/>
              <w:spacing w:after="0"/>
              <w:rPr>
                <w:sz w:val="20"/>
                <w:szCs w:val="20"/>
                <w:color w:val="auto"/>
              </w:rPr>
            </w:pPr>
            <w:r>
              <w:rPr>
                <w:rFonts w:ascii="Arial" w:cs="Arial" w:eastAsia="Arial" w:hAnsi="Arial"/>
                <w:sz w:val="18"/>
                <w:szCs w:val="18"/>
                <w:color w:val="auto"/>
              </w:rPr>
              <w:t>117,788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8,290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820" w:type="dxa"/>
            <w:vAlign w:val="bottom"/>
          </w:tcPr>
          <w:p>
            <w:pPr>
              <w:jc w:val="right"/>
              <w:spacing w:after="0"/>
              <w:rPr>
                <w:sz w:val="20"/>
                <w:szCs w:val="20"/>
                <w:color w:val="auto"/>
              </w:rPr>
            </w:pPr>
            <w:r>
              <w:rPr>
                <w:rFonts w:ascii="Arial" w:cs="Arial" w:eastAsia="Arial" w:hAnsi="Arial"/>
                <w:sz w:val="18"/>
                <w:szCs w:val="18"/>
                <w:color w:val="auto"/>
              </w:rPr>
              <w:t>144,514</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5,130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532,272</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9,292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547,107</w:t>
            </w: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11,852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317,947</w:t>
            </w: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8,608</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w w:val="97"/>
              </w:rPr>
              <w:t>Investment securities – non-taxable</w:t>
            </w:r>
          </w:p>
        </w:tc>
        <w:tc>
          <w:tcPr>
            <w:tcW w:w="820" w:type="dxa"/>
            <w:vAlign w:val="bottom"/>
          </w:tcPr>
          <w:p>
            <w:pPr>
              <w:jc w:val="right"/>
              <w:spacing w:after="0"/>
              <w:rPr>
                <w:sz w:val="20"/>
                <w:szCs w:val="20"/>
                <w:color w:val="auto"/>
              </w:rPr>
            </w:pPr>
            <w:r>
              <w:rPr>
                <w:rFonts w:ascii="Arial" w:cs="Arial" w:eastAsia="Arial" w:hAnsi="Arial"/>
                <w:sz w:val="18"/>
                <w:szCs w:val="18"/>
                <w:color w:val="auto"/>
              </w:rPr>
              <w:t>219,385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5,872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820" w:type="dxa"/>
            <w:vAlign w:val="bottom"/>
          </w:tcPr>
          <w:p>
            <w:pPr>
              <w:jc w:val="right"/>
              <w:spacing w:after="0"/>
              <w:rPr>
                <w:sz w:val="20"/>
                <w:szCs w:val="20"/>
                <w:color w:val="auto"/>
              </w:rPr>
            </w:pPr>
            <w:r>
              <w:rPr>
                <w:rFonts w:ascii="Arial" w:cs="Arial" w:eastAsia="Arial" w:hAnsi="Arial"/>
                <w:sz w:val="18"/>
                <w:szCs w:val="18"/>
                <w:color w:val="auto"/>
              </w:rPr>
              <w:t>158,482</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4,489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820" w:type="dxa"/>
            <w:vAlign w:val="bottom"/>
          </w:tcPr>
          <w:p>
            <w:pPr>
              <w:jc w:val="right"/>
              <w:spacing w:after="0"/>
              <w:rPr>
                <w:sz w:val="20"/>
                <w:szCs w:val="20"/>
                <w:color w:val="auto"/>
              </w:rPr>
            </w:pPr>
            <w:r>
              <w:rPr>
                <w:rFonts w:ascii="Arial" w:cs="Arial" w:eastAsia="Arial" w:hAnsi="Arial"/>
                <w:sz w:val="18"/>
                <w:szCs w:val="18"/>
                <w:color w:val="auto"/>
              </w:rPr>
              <w:t>37,232</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1,289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184,262</w:t>
            </w: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284,031</w:t>
            </w: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6,412</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Total interest-earning assets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3,507,939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136,274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3,215,483</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139,324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2,636,993</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133,383</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261,140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249,536</w:t>
            </w: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182,967</w:t>
            </w: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3,769,079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3,465,019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2,819,960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w w:val="94"/>
              </w:rPr>
              <w:t>Liabilities and Shareholders’ Equity:</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NOW, savings and money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tcPr>
          <w:p>
            <w:pPr>
              <w:ind w:left="340"/>
              <w:spacing w:after="0"/>
              <w:rPr>
                <w:sz w:val="20"/>
                <w:szCs w:val="20"/>
                <w:color w:val="auto"/>
              </w:rPr>
            </w:pPr>
            <w:r>
              <w:rPr>
                <w:rFonts w:ascii="Arial" w:cs="Arial" w:eastAsia="Arial" w:hAnsi="Arial"/>
                <w:sz w:val="18"/>
                <w:szCs w:val="18"/>
                <w:color w:val="auto"/>
              </w:rPr>
              <w:t>market deposits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1,841,678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4,163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1,653,088</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6,337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1,448,320</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16,436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329,509</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331,623</w:t>
            </w: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5,557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319,811</w:t>
            </w: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6,055</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820" w:type="dxa"/>
            <w:vAlign w:val="bottom"/>
          </w:tcPr>
          <w:p>
            <w:pPr>
              <w:jc w:val="right"/>
              <w:spacing w:after="0"/>
              <w:rPr>
                <w:sz w:val="20"/>
                <w:szCs w:val="20"/>
                <w:color w:val="auto"/>
              </w:rPr>
            </w:pPr>
            <w:r>
              <w:rPr>
                <w:rFonts w:ascii="Arial" w:cs="Arial" w:eastAsia="Arial" w:hAnsi="Arial"/>
                <w:sz w:val="18"/>
                <w:szCs w:val="18"/>
                <w:color w:val="auto"/>
              </w:rPr>
              <w:t>8,045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820" w:type="dxa"/>
            <w:vAlign w:val="bottom"/>
          </w:tcPr>
          <w:p>
            <w:pPr>
              <w:jc w:val="right"/>
              <w:spacing w:after="0"/>
              <w:rPr>
                <w:sz w:val="20"/>
                <w:szCs w:val="20"/>
                <w:color w:val="auto"/>
              </w:rPr>
            </w:pPr>
            <w:r>
              <w:rPr>
                <w:rFonts w:ascii="Arial" w:cs="Arial" w:eastAsia="Arial" w:hAnsi="Arial"/>
                <w:sz w:val="18"/>
                <w:szCs w:val="18"/>
                <w:color w:val="auto"/>
              </w:rPr>
              <w:t>19,404</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820" w:type="dxa"/>
            <w:vAlign w:val="bottom"/>
          </w:tcPr>
          <w:p>
            <w:pPr>
              <w:jc w:val="right"/>
              <w:spacing w:after="0"/>
              <w:rPr>
                <w:sz w:val="20"/>
                <w:szCs w:val="20"/>
                <w:color w:val="auto"/>
              </w:rPr>
            </w:pPr>
            <w:r>
              <w:rPr>
                <w:rFonts w:ascii="Arial" w:cs="Arial" w:eastAsia="Arial" w:hAnsi="Arial"/>
                <w:sz w:val="18"/>
                <w:szCs w:val="18"/>
                <w:color w:val="auto"/>
              </w:rPr>
              <w:t>16,231</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290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107,045</w:t>
            </w: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95,054</w:t>
            </w: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2,024</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Subordinated debt securities</w:t>
            </w:r>
          </w:p>
        </w:tc>
        <w:tc>
          <w:tcPr>
            <w:tcW w:w="820" w:type="dxa"/>
            <w:vAlign w:val="bottom"/>
          </w:tcPr>
          <w:p>
            <w:pPr>
              <w:jc w:val="right"/>
              <w:spacing w:after="0"/>
              <w:rPr>
                <w:sz w:val="20"/>
                <w:szCs w:val="20"/>
                <w:color w:val="auto"/>
              </w:rPr>
            </w:pPr>
            <w:r>
              <w:rPr>
                <w:rFonts w:ascii="Arial" w:cs="Arial" w:eastAsia="Arial" w:hAnsi="Arial"/>
                <w:sz w:val="18"/>
                <w:szCs w:val="18"/>
                <w:color w:val="auto"/>
              </w:rPr>
              <w:t>75,699</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4,056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5.36%</w:t>
            </w:r>
          </w:p>
        </w:tc>
        <w:tc>
          <w:tcPr>
            <w:tcW w:w="820" w:type="dxa"/>
            <w:vAlign w:val="bottom"/>
          </w:tcPr>
          <w:p>
            <w:pPr>
              <w:jc w:val="right"/>
              <w:spacing w:after="0"/>
              <w:rPr>
                <w:sz w:val="20"/>
                <w:szCs w:val="20"/>
                <w:color w:val="auto"/>
              </w:rPr>
            </w:pPr>
            <w:r>
              <w:rPr>
                <w:rFonts w:ascii="Arial" w:cs="Arial" w:eastAsia="Arial" w:hAnsi="Arial"/>
                <w:sz w:val="18"/>
                <w:szCs w:val="18"/>
                <w:color w:val="auto"/>
              </w:rPr>
              <w:t>38,747</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2,223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5.74%</w:t>
            </w:r>
          </w:p>
        </w:tc>
        <w:tc>
          <w:tcPr>
            <w:tcW w:w="820" w:type="dxa"/>
            <w:vAlign w:val="bottom"/>
          </w:tcPr>
          <w:p>
            <w:pPr>
              <w:jc w:val="right"/>
              <w:spacing w:after="0"/>
              <w:rPr>
                <w:sz w:val="20"/>
                <w:szCs w:val="20"/>
                <w:color w:val="auto"/>
              </w:rPr>
            </w:pPr>
            <w:r>
              <w:rPr>
                <w:rFonts w:ascii="Arial" w:cs="Arial" w:eastAsia="Arial" w:hAnsi="Arial"/>
                <w:sz w:val="18"/>
                <w:szCs w:val="18"/>
                <w:color w:val="auto"/>
              </w:rPr>
              <w:t>26,786</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1,616</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Junior subordinated deferrable</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debentures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1,946</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gridSpan w:val="2"/>
          </w:tcPr>
          <w:p>
            <w:pPr>
              <w:ind w:left="340"/>
              <w:spacing w:after="0"/>
              <w:rPr>
                <w:sz w:val="20"/>
                <w:szCs w:val="20"/>
                <w:color w:val="auto"/>
              </w:rPr>
            </w:pPr>
            <w:r>
              <w:rPr>
                <w:rFonts w:ascii="Arial" w:cs="Arial" w:eastAsia="Arial" w:hAnsi="Arial"/>
                <w:sz w:val="18"/>
                <w:szCs w:val="18"/>
                <w:color w:val="auto"/>
              </w:rPr>
              <w:t>Total interest-bearing liabilities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2,320,965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13,272</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0.57%</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2,196,300</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15,946</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0.73%</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1,952,595</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28,367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Noninterest-bearing liabilities: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1,016,835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888,653</w:t>
            </w: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570,428</w:t>
            </w: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820" w:type="dxa"/>
            <w:vAlign w:val="bottom"/>
          </w:tcPr>
          <w:p>
            <w:pPr>
              <w:jc w:val="right"/>
              <w:spacing w:after="0"/>
              <w:rPr>
                <w:sz w:val="20"/>
                <w:szCs w:val="20"/>
                <w:color w:val="auto"/>
              </w:rPr>
            </w:pPr>
            <w:r>
              <w:rPr>
                <w:rFonts w:ascii="Arial" w:cs="Arial" w:eastAsia="Arial" w:hAnsi="Arial"/>
                <w:sz w:val="18"/>
                <w:szCs w:val="18"/>
                <w:color w:val="auto"/>
              </w:rPr>
              <w:t>42,654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41,573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29,891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Total noninterest-bearing liabilities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1,059,489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930,226</w:t>
            </w:r>
          </w:p>
        </w:tc>
        <w:tc>
          <w:tcPr>
            <w:tcW w:w="120" w:type="dxa"/>
            <w:vAlign w:val="bottom"/>
            <w:tcBorders>
              <w:lef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600,319</w:t>
            </w:r>
          </w:p>
        </w:tc>
        <w:tc>
          <w:tcPr>
            <w:tcW w:w="1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gridSpan w:val="2"/>
          </w:tcPr>
          <w:p>
            <w:pPr>
              <w:ind w:left="340"/>
              <w:spacing w:after="0"/>
              <w:rPr>
                <w:sz w:val="20"/>
                <w:szCs w:val="20"/>
                <w:color w:val="auto"/>
              </w:rPr>
            </w:pPr>
            <w:r>
              <w:rPr>
                <w:rFonts w:ascii="Arial" w:cs="Arial" w:eastAsia="Arial" w:hAnsi="Arial"/>
                <w:sz w:val="18"/>
                <w:szCs w:val="18"/>
                <w:color w:val="auto"/>
              </w:rPr>
              <w:t>Shareholders’ equity</w:t>
            </w:r>
          </w:p>
        </w:tc>
        <w:tc>
          <w:tcPr>
            <w:tcW w:w="820" w:type="dxa"/>
            <w:vAlign w:val="bottom"/>
          </w:tcPr>
          <w:p>
            <w:pPr>
              <w:jc w:val="right"/>
              <w:spacing w:after="0"/>
              <w:rPr>
                <w:sz w:val="20"/>
                <w:szCs w:val="20"/>
                <w:color w:val="auto"/>
              </w:rPr>
            </w:pPr>
            <w:r>
              <w:rPr>
                <w:rFonts w:ascii="Arial" w:cs="Arial" w:eastAsia="Arial" w:hAnsi="Arial"/>
                <w:sz w:val="18"/>
                <w:szCs w:val="18"/>
                <w:color w:val="auto"/>
              </w:rPr>
              <w:t>388,625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338,493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267,046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500"/>
              <w:spacing w:after="0" w:line="201" w:lineRule="exact"/>
              <w:rPr>
                <w:sz w:val="20"/>
                <w:szCs w:val="20"/>
                <w:color w:val="auto"/>
              </w:rPr>
            </w:pPr>
            <w:r>
              <w:rPr>
                <w:rFonts w:ascii="Arial" w:cs="Arial" w:eastAsia="Arial" w:hAnsi="Arial"/>
                <w:sz w:val="18"/>
                <w:szCs w:val="18"/>
                <w:color w:val="auto"/>
                <w:w w:val="93"/>
              </w:rPr>
              <w:t>Total liabilities and shareholders’</w:t>
            </w: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equity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3,769,079</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3,465,019</w:t>
            </w:r>
          </w:p>
        </w:tc>
        <w:tc>
          <w:tcPr>
            <w:tcW w:w="120" w:type="dxa"/>
            <w:vAlign w:val="bottom"/>
            <w:tcBorders>
              <w:left w:val="single" w:sz="8" w:color="CCEEFF"/>
            </w:tcBorders>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2,819,960</w:t>
            </w:r>
          </w:p>
        </w:tc>
        <w:tc>
          <w:tcPr>
            <w:tcW w:w="120" w:type="dxa"/>
            <w:vAlign w:val="bottom"/>
            <w:tcBorders>
              <w:left w:val="single" w:sz="8" w:color="CCEEFF"/>
            </w:tcBorders>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00" w:type="dxa"/>
            <w:vAlign w:val="bottom"/>
            <w:tcBorders>
              <w:top w:val="single" w:sz="8" w:color="CCEEFF"/>
            </w:tcBorders>
            <w:gridSpan w:val="3"/>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20" w:type="dxa"/>
            <w:vAlign w:val="bottom"/>
            <w:tcBorders>
              <w:top w:val="single" w:sz="8" w:color="CCEEFF"/>
            </w:tcBorders>
            <w:gridSpan w:val="3"/>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60" w:type="dxa"/>
            <w:vAlign w:val="bottom"/>
            <w:tcBorders>
              <w:top w:val="single" w:sz="8" w:color="CCEEFF"/>
            </w:tcBorders>
            <w:gridSpan w:val="3"/>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8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123,002</w:t>
            </w: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2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123,378</w:t>
            </w: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960" w:type="dxa"/>
            <w:vAlign w:val="bottom"/>
            <w:tcBorders>
              <w:lef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$ 105,016</w:t>
            </w: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interest spread</w:t>
            </w: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3.31%</w:t>
            </w: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3.61%</w:t>
            </w: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960" w:type="dxa"/>
            <w:vAlign w:val="bottom"/>
            <w:gridSpan w:val="2"/>
            <w:shd w:val="clear" w:color="auto" w:fill="CCEEFF"/>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c>
          <w:tcPr>
            <w:tcW w:w="8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82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w w:val="94"/>
              </w:rPr>
              <w:t>Year Ended December 31, 2021 over 2020</w:t>
            </w:r>
          </w:p>
        </w:tc>
        <w:tc>
          <w:tcPr>
            <w:tcW w:w="180" w:type="dxa"/>
            <w:vAlign w:val="bottom"/>
          </w:tcPr>
          <w:p>
            <w:pPr>
              <w:spacing w:after="0"/>
              <w:rPr>
                <w:sz w:val="24"/>
                <w:szCs w:val="24"/>
                <w:color w:val="auto"/>
              </w:rPr>
            </w:pPr>
          </w:p>
        </w:tc>
        <w:tc>
          <w:tcPr>
            <w:tcW w:w="3680" w:type="dxa"/>
            <w:vAlign w:val="bottom"/>
            <w:gridSpan w:val="8"/>
          </w:tcPr>
          <w:p>
            <w:pPr>
              <w:jc w:val="right"/>
              <w:ind w:right="380"/>
              <w:spacing w:after="0"/>
              <w:rPr>
                <w:sz w:val="20"/>
                <w:szCs w:val="20"/>
                <w:color w:val="auto"/>
              </w:rPr>
            </w:pPr>
            <w:r>
              <w:rPr>
                <w:rFonts w:ascii="Arial" w:cs="Arial" w:eastAsia="Arial" w:hAnsi="Arial"/>
                <w:sz w:val="18"/>
                <w:szCs w:val="18"/>
                <w:b w:val="1"/>
                <w:bCs w:val="1"/>
                <w:color w:val="auto"/>
                <w:w w:val="92"/>
              </w:rPr>
              <w:t>Year Ended December 31, 2020 over 2019</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5"/>
          </w:tcPr>
          <w:p>
            <w:pPr>
              <w:jc w:val="right"/>
              <w:ind w:right="90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460" w:type="dxa"/>
            <w:vAlign w:val="bottom"/>
            <w:tcBorders>
              <w:top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Change due to:</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0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10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Volume</w:t>
            </w:r>
          </w:p>
        </w:tc>
        <w:tc>
          <w:tcPr>
            <w:tcW w:w="24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Variance</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Volume</w:t>
            </w:r>
          </w:p>
        </w:tc>
        <w:tc>
          <w:tcPr>
            <w:tcW w:w="240" w:type="dxa"/>
            <w:vAlign w:val="bottom"/>
          </w:tcPr>
          <w:p>
            <w:pPr>
              <w:spacing w:after="0"/>
              <w:rPr>
                <w:sz w:val="20"/>
                <w:szCs w:val="2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Variance</w:t>
            </w:r>
          </w:p>
        </w:tc>
        <w:tc>
          <w:tcPr>
            <w:tcW w:w="0" w:type="dxa"/>
            <w:vAlign w:val="bottom"/>
          </w:tcPr>
          <w:p>
            <w:pPr>
              <w:spacing w:after="0"/>
              <w:rPr>
                <w:sz w:val="1"/>
                <w:szCs w:val="1"/>
                <w:color w:val="auto"/>
              </w:rPr>
            </w:pPr>
          </w:p>
        </w:tc>
      </w:tr>
      <w:tr>
        <w:trPr>
          <w:trHeight w:val="234"/>
        </w:trPr>
        <w:tc>
          <w:tcPr>
            <w:tcW w:w="3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excluding PPP</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Loans - PPP</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4,109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3,160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1,725</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4,198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3"/>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(1,441)</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(2,252)</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02"/>
        </w:trPr>
        <w:tc>
          <w:tcPr>
            <w:tcW w:w="3280" w:type="dxa"/>
            <w:vAlign w:val="bottom"/>
            <w:tcBorders>
              <w:top w:val="single" w:sz="8" w:color="CCEEFF"/>
            </w:tcBorders>
            <w:gridSpan w:val="2"/>
          </w:tcPr>
          <w:p>
            <w:pPr>
              <w:ind w:left="340"/>
              <w:spacing w:after="0" w:line="201" w:lineRule="exact"/>
              <w:rPr>
                <w:sz w:val="20"/>
                <w:szCs w:val="20"/>
                <w:color w:val="auto"/>
              </w:rPr>
            </w:pPr>
            <w:r>
              <w:rPr>
                <w:rFonts w:ascii="Arial" w:cs="Arial" w:eastAsia="Arial" w:hAnsi="Arial"/>
                <w:sz w:val="18"/>
                <w:szCs w:val="18"/>
                <w:color w:val="auto"/>
              </w:rPr>
              <w:t>Total increase (decrease) in interest</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460"/>
              <w:spacing w:after="0"/>
              <w:rPr>
                <w:sz w:val="20"/>
                <w:szCs w:val="20"/>
                <w:color w:val="auto"/>
              </w:rPr>
            </w:pPr>
            <w:r>
              <w:rPr>
                <w:rFonts w:ascii="Arial" w:cs="Arial" w:eastAsia="Arial" w:hAnsi="Arial"/>
                <w:sz w:val="18"/>
                <w:szCs w:val="18"/>
                <w:color w:val="auto"/>
              </w:rPr>
              <w:t>income</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7,854</w:t>
            </w:r>
          </w:p>
        </w:tc>
        <w:tc>
          <w:tcPr>
            <w:tcW w:w="2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(10,904)</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(3,050)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18,894</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(12,953)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NOW, Savings, MMDAs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(10,099)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(1,392)</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(1,427)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2"/>
        </w:trPr>
        <w:tc>
          <w:tcPr>
            <w:tcW w:w="32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gridSpan w:val="2"/>
          </w:tcPr>
          <w:p>
            <w:pPr>
              <w:ind w:left="300"/>
              <w:spacing w:after="0"/>
              <w:rPr>
                <w:sz w:val="20"/>
                <w:szCs w:val="20"/>
                <w:color w:val="auto"/>
              </w:rPr>
            </w:pPr>
            <w:r>
              <w:rPr>
                <w:rFonts w:ascii="Arial" w:cs="Arial" w:eastAsia="Arial" w:hAnsi="Arial"/>
                <w:sz w:val="18"/>
                <w:szCs w:val="18"/>
                <w:color w:val="auto"/>
              </w:rPr>
              <w:t>debentures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increase (decrease) interest</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expense:</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2,291</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(4,965)</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(12,421)</w:t>
            </w: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Increase (decrease) in net interest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18,362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interest income for the year ended December 31, 2021 was $121.8 million compared to $122.3 million for the year ended December 31, 2020, an decrease of $0.5 million, or 0.4%. The decrease in net interest income in 2021 was comprised of a $3.2 million, or 2.3%, decrease in interest income and a $2.7 million, or 16.8%, decrease in interest expense. The decrease in interest income was primarily attributable to a decrease in the yield on average interest-earning assets of 45 basis points offset by the growth of $292.5 million in these assets during the year ended December 31, 2021. During the years ended December 31, 2021 and 2020, the Company recognized $6.1 and 3.7 million, respectively, in deferred PPP-related SBA fees. When received, these fees are deferred and then accreted into interest income over the life of the applicable PPP loans. At the time of PPP loan forgiveness by the SBA, any remaining deferred fees are recognized immediately. At December 31, 2021 and 2020, there was $1.9 and $4.1 million, respectively, of deferred PPP-related SBA fees that have not been accreted to income. The Company expects that the majority of the remaining first and second rounds of PPP loans will continue to be forgiven by the SBA or repaid over the next several quarters.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$2.7 million decrease in interest expense for the year ended December 31, 2021 was primarily related to a 16 basis points decrease in the rate paid on interest-bearing liabilities, partially offset by an increase of $124.7 million in average interest-bearing liabilities over the same period in 2020. The increase in average interest-bearing liabilities was mainly due to increased deposits from PPP loan funding, other government stimulus payments and programs during the period as well as organic growth, partially offset by the repayment of $75.0 million in long-term advances during 2021.</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December 31, 2021, net interest margin and net interest spread were 3.51% and 3.31%, respectively, compared to 3.84% and 3.61% for the same period in 2020, respectively, which reflects the changes in interest income and interest expense discussed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interest income for the year ended December 31, 2020 was $122.3 million compared to $104.6 million for the year ended December 31, 2019, an increase of $17.7 million, or 16.9%. The increase in net interest income was comprised of a $5.3 million, or 4.0%, increase in interest income and a $12.4 million, or 43.8%, decrease in interest expense. The growth in interest income was primarily attributable to a $183.3 million, or 9.2%, increase in average non-PPP loans outstanding during the year ended December 31, 2020, compared to 2019, partially offset by a 51 basis points decrease in the yield on total loans. The increase in average loans outstanding was primarily the result of a complete year of loans acquired from WTSB and an increase of $44.2 million in average mortgage loans held for sale. The decline in yield was a result of the large drop in rates experienced in the first quarter of 2020 and its continued effects. As of December 31, 2020, the Company had originated approximately 2,100 PPP loans, totaling $218 million, and had received $7.8 million in PPP related SBA fees due to PPP loan forgiveness received from the SBA during the period. These fees were deferred and then accreted into interest income over the life of the applicable loans. During the year ended December 31, 2020, the Company recognized $3.7 million in PPP related SBA fees. At December 31, 2020, there was $4.1 million of deferred fees that had not been accreted to income.</w:t>
      </w:r>
    </w:p>
    <w:p>
      <w:pPr>
        <w:sectPr>
          <w:pgSz w:w="11900" w:h="16838" w:orient="portrait"/>
          <w:cols w:equalWidth="0" w:num="1">
            <w:col w:w="11240"/>
          </w:cols>
          <w:pgMar w:left="320" w:top="114"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$12.4 million decrease in interest expense for the year ended December 31, 2020 was primarily related to a 72 basis points decrease in the rate paid on interest-bearing liabilities, partially offset by an increase of $243.7 million in average interest-bearing liabilities. The increase in average interest-bearing liabilities was largely due to a complete year of the deposits acquired from WTSB and growth in deposits from organic growth, customers depositing funds received from PPP loans and maintaining higher balances, and other government stimulus payments and programs. Additionally, the decrease in the rate paid on interest-bearing liabilities was the result of the decline in the overall rate environment experienced in the first quarter of 2020.</w:t>
      </w:r>
    </w:p>
    <w:p>
      <w:pPr>
        <w:spacing w:after="0" w:line="16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 ended December 31, 2020, net interest margin and net interest spread were 3.84% and 3.61%, respectively, compared to 3.98% and 3.61% for the same period in 2019, respectively, which reflects the changes in interest income and interest expense discussed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Policies” in the notes to our consolidated financial statements included elsewhere in this Report for more detailed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provision for loan losses for the year ended December 31, 2021 was a credit of $1.9 million compared to $25.6 million for the year ended December 31, 2020. The decrease in the provision for loan losses for the year ended December 31, 2021 compared to the same period in 2020 is primarily a result of general improvement in the economy, a decline in the amount of loans actively under a modification, and a decrease in nonperforming loans. Net charge-offs decreased $2.7 million during 2021 as compared to 2020. The allowance for loan losses as a percentage of loans held for investment was 1.73% at December 31, 2021 and 2.05% at December 31, 2020. Further discussion of the allowance for loan losses is noted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provision for loan losses for the year ended December 31, 2020 was $25.6 million compared to $2.8 million for the year ended December 31, 2019. The higher provision in 2020 was primarily a result of the uncertain economic effects from the ongoing COVID-19 pandemic as well as the decline in oil and gas prices. Net charge-offs increased $2.5 million during 2020 as compared to 2019. The allowance for loan losses as a percentage of loans held for investment was 2.05% at December 31, 2020 and 1.13% at December 31, 2019. Further discussion of the allowance for loan losses is noted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income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9"/>
              </w:rPr>
              <w:t>December 31, 2021 over 2020</w:t>
            </w:r>
          </w:p>
        </w:tc>
        <w:tc>
          <w:tcPr>
            <w:tcW w:w="240" w:type="dxa"/>
            <w:vAlign w:val="bottom"/>
          </w:tcPr>
          <w:p>
            <w:pPr>
              <w:spacing w:after="0"/>
              <w:rPr>
                <w:sz w:val="20"/>
                <w:szCs w:val="20"/>
                <w:color w:val="auto"/>
              </w:rPr>
            </w:pPr>
          </w:p>
        </w:tc>
        <w:tc>
          <w:tcPr>
            <w:tcW w:w="36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December 31, 2020 over 2019</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7,644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7,016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Bank card services and interchange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12,239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59,726</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65,042</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(5,316)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65,042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25,126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39,916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3,185</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2,306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Other income and fess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4,649</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3,654</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97,469</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44,970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income and fees includes income and fees associated with the increase in the cash surrender value of life insurance, safe deposit box rental, check printing, collections, wire transfer and other miscellaneous services.</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Noninterest income for the year ended December 31, 2021 was $97.5 million compared to $101.6 million for the year ended December 31, 2020, a decrease of $4.1 million, or 4.1%. Income from mortgage banking activities decreased $5.3 million, or 8.2%, to $59.7 million for the December 31, 2021 from $65.0 million for the year ended December 31, 2020. The decrease was primarily the result of a reduction of $106.3 million in interest rate lock commitments and a decline in gain on sale margins, partially offset by an increase of $58.1 million in mortgage loan originations for the year ended December 31, 2021 compared to the year ended December 31, 2020. Our mortgage originations experienced another high level of volume in 2021 as the industry continued to benefit from historic low levels of interest rates through a majority of 2021. Refinance activity represented 54% of the 2021 originations as compared to 53% in 2020. Refinance activity is expected to taper off in 2022 and then return to more historically-consistent levels. Additionally, bank card services and interchange fee income increased $2.2 million and income from insurance activities increased $670 thousand for the year ended December 31, 2021 compared to the year ended December 31, 2020. The increase in bank card services and interchange fee income was primarily tied to the growth in deposits, increased consumer spending, and the expansion of credit card services. The increase in income from insurance activities is primarily related to increased premiums paid in 2021. Further, there was a $2.3 million gain on sale of securities in the first quarter of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Noninterest income for the year ended December 31, 2020 was $101.6 million compared to $56.6 million for the year ended December 31, 2019, an increase of $45.0 million, or 79.4%. Income from mortgage banking activities increased $39.9 million, or 158.9%, to $65.0 million for the December 31, 2020 from $25.1 million for the year ended December 31, 2019. This increase was due primarily due to an increase of $802.2 million, or 125.2%, in mortgage loan originations for the year ended December 31, 2020, compared to the year ended December 31, 2019. Our mortgage originations experienced a record level of volume in 2020 as the industry benefited from historic low levels of interest rates. Refinance activity represented 53% of the 2020 originations as compared to 28% in 2019. Additionally, fiduciary income increased $879 thousand, and income from insurance activities increased $628 thousand for the year ended December 31, 2020 compared to the year ended December 31, 2019. The increase in fiduciary income was primarily due to new customer acquisition with estate executorship and trust management as the primary services in late third quarter 2019. It is expected that fiduciary fees will be $410 thousand per quarter lower beginning in the third quarter of 2021, prior to any organic growth, due to the fees on some estates being fully earned at end of the second quarter of 2021. The increase in income from insurance activities is related to new revenue generated from two businesses acquired since September 1, 2019. Further, there was a $2.3 million gain on sale of securities in the first quarter of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major components of our noninterest expense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9"/>
              </w:rPr>
              <w:t>December 31, 2021 over 2020</w:t>
            </w:r>
          </w:p>
        </w:tc>
        <w:tc>
          <w:tcPr>
            <w:tcW w:w="240" w:type="dxa"/>
            <w:vAlign w:val="bottom"/>
          </w:tcPr>
          <w:p>
            <w:pPr>
              <w:spacing w:after="0"/>
              <w:rPr>
                <w:sz w:val="20"/>
                <w:szCs w:val="20"/>
                <w:color w:val="auto"/>
              </w:rPr>
            </w:pPr>
          </w:p>
        </w:tc>
        <w:tc>
          <w:tcPr>
            <w:tcW w:w="36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89"/>
              </w:rPr>
              <w:t>December 31, 2020 over 2019</w:t>
            </w: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(decrease)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93,360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14,658</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14,658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13,572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3,088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4,253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3,346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17,883</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17,818</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14,592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148,030</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compared to Year Ended December 31, 2020</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Noninterest expense for 2021 was $148.0 million compared to $141.7 million for 2020, an increase of $6.3 million, or 4.5%. Salaries and employee benefits increased $4.1 million, or 4.6%, from $89.2 million for the December 31, 2020 to $93.4 million for the year ended December 31, 2021. This increase in salaries and employee benefits expense was predominately driven by increased commissions paid on the higher volume of mortgage loan originations and other personnel expenses to support mortgage activities. Additionally, salary expense increased due to expenses for incentive-based compensation related to the growth in loans held for investment in 2021 and for newly-hired commercial loan officers as part of our stated initiative. All other noninterest expenses increased $2.2 million for the year ended December 31, 2021, compared to the same period in 2020. This increase was primarily related to additional expenses incurred in 2021 for bankcard expenses as a result of increased consumer spending, growth in deposits, and credit card program expenses. Additionally, there were increases in appraisal expenses due to the high mortgage volume noted above and increased technology costs as part of the investment in planning our transition of computing and data storage to the cloud as well as further development of the new customer lead generation initiative.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compared to Year Ended December 31, 2019</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Noninterest expense for 2020 was $141.7 million compared to $121.7 million for 2019, an increase of $20.0 million, or 16.4%. Salaries and employee benefits increased $13.8 million, or 18.3%, from $75.4 million for the December 31, 2019 to $89.2 million for the year ended December 31, 2020. This increase in salaries and employee benefits expense was predominantly driven by $10.1 million of additional commissions paid on the higher volume of mortgage loan originations and from the full year of expenses for the personnel in the branches acquired from WTSB. All other noninterest expenses increased $6.2 million for the year ended December 31, 2020, compared to the same period in 2019. This increase was primarily due to the following: a $1.6 million increase in variable mortgage expenses as a result of increased production, a $1.4 million increase in core deposit intangible and other intangibles amortization expense, a $621 thousand increase in data conversion expenses related to the WTSB acquisition, and $701 thousand in computer equipment purchased in connection with upgrading the equipment at the acquired branches as well as at existing branches and a new phone system. The computer equipment purchases were expensed due to the individual items falling below the Company’s capitalization threshold.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assets increased $302.7 million, or 8.4%, to $3.90 billion at December 31, 2021 as compared to $3.60 billion at December 31, 2020. Our loans held for investment increased $216.0 million, or 9.7%, to $2.44 billion at December 31, 2021, compared to $2.22 billion at December 31, 2020. Total deposits increased $366.9 million, or 12.3% to $3.34 billion at December 31, 2021, compared to $2.97 billion at December 31, 2020. The increase in total assets, loans, and deposits was primarily the result of organic growth of the Company, which included hiring new commercial lenders as part of a stated growth initiative.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Loans held for investments increased $216.0 million, or 9.7%, to $2.44 billion at December 31, 2021 as compared to $2.22 billion at December 31, 2020. We had net organic growth in non-PPP loans of $345.8 million during the year ended December 31, 2021. This increase occurred in a majority of loan segments, with the largest volume growth in residential construction, residential mortgage, consumer auto, direct energy, restaurant &amp; retail, and multifamily property loans. These increases were partially offset by a decrease in aggregate principal amounts of PPP loans of $129.8 million as the Company funded $91.4 million in new PPP loans and received forgiveness payments from the SBA or repayments totaling $221.2 million on PPP loans during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contractual maturities of our loans held for investment portfolio at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Due after One</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Due after Five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Due in</w:t>
            </w:r>
          </w:p>
        </w:tc>
        <w:tc>
          <w:tcPr>
            <w:tcW w:w="22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One Year or</w:t>
            </w:r>
          </w:p>
        </w:tc>
        <w:tc>
          <w:tcPr>
            <w:tcW w:w="1380" w:type="dxa"/>
            <w:vAlign w:val="bottom"/>
            <w:gridSpan w:val="3"/>
          </w:tcPr>
          <w:p>
            <w:pPr>
              <w:ind w:left="40"/>
              <w:spacing w:after="0"/>
              <w:rPr>
                <w:sz w:val="20"/>
                <w:szCs w:val="20"/>
                <w:color w:val="auto"/>
              </w:rPr>
            </w:pPr>
            <w:r>
              <w:rPr>
                <w:rFonts w:ascii="Arial" w:cs="Arial" w:eastAsia="Arial" w:hAnsi="Arial"/>
                <w:sz w:val="18"/>
                <w:szCs w:val="18"/>
                <w:b w:val="1"/>
                <w:bCs w:val="1"/>
                <w:color w:val="auto"/>
              </w:rPr>
              <w:t>Through Five</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Through</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Due 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2"/>
              </w:rPr>
              <w:t>Less</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Fifteen Years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Fifteen 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3"/>
              </w:rPr>
              <w:t>(Dollars in thousands)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88,513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334,496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202,825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755,444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105,538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115,983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108,892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48,312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378,725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68,015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165,597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134,798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460,024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43,928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66,942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71,376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205,444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387,690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141,693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96,851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240,719</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39,431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132,396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6,051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7,668</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146,862</w:t>
            </w:r>
          </w:p>
        </w:tc>
      </w:tr>
      <w:tr>
        <w:trPr>
          <w:trHeight w:val="256"/>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445,574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870,193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639,085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482,725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2,437,577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distribution between fixed and adjustable interest rate loans for maturities greater than one year as of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Fixed</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Adjustable</w:t>
            </w:r>
          </w:p>
        </w:tc>
      </w:tr>
      <w:tr>
        <w:trPr>
          <w:trHeight w:val="241"/>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393,623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68,743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204,444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236,985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142,488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238,544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13,923</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loans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1,000,211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Bank is primarily involved in real estate, commercial, agricultural and consumer lending activities with customers throughout Texas and Eastern New Mexico. We have a collateral concentration as 69.4% of our loans were secured by real property as of December 31, 2021, compared to 66.5% as of December 31, 2020.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36.7% of loans held for investment as of December 31, 2021 and represented 29.9% of loans held for investment as of December 31, 2020. Further, these loans are geographically diversified, primarily throughout the State of Texas as well as Eastern New Mexico.</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Commercial Real Estate</w:t>
      </w:r>
      <w:r>
        <w:rPr>
          <w:rFonts w:ascii="Arial" w:cs="Arial" w:eastAsia="Arial" w:hAnsi="Arial"/>
          <w:sz w:val="16"/>
          <w:szCs w:val="16"/>
          <w:color w:val="auto"/>
        </w:rPr>
        <w:t>. Our commercial real estate portfolio includes loans for commercial property that is owned by real estate investors,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real estate loans increased $92.1 million, or 13.9%, to $755.4 million as of December 31, 2021 from $663.3 million as of December 31, 2020. This increase was primarily driven by organic growth of $71.6 million in multifamily property loans and an increase of $21.2 million in other commercial tenant loans.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Commercial – General and Specialized</w:t>
      </w:r>
      <w:r>
        <w:rPr>
          <w:rFonts w:ascii="Arial" w:cs="Arial" w:eastAsia="Arial" w:hAnsi="Arial"/>
          <w:sz w:val="17"/>
          <w:szCs w:val="17"/>
          <w:color w:val="auto"/>
        </w:rPr>
        <w:t>. Commercial loans are underwritten after evaluating and understanding the borrower’s ability to operate profitably.</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general loans decreased $58.3 million, or 11.2%, to $460.0 million as of December 31, 2021 from $518.3 million as of December 31, 2020. The decrease in commercial general loans was primarily due to a decrease in PPP loans of $129.8 million, partially offset by organic loan growth of $31.2 million in restaurant and retail loans.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Commercial specialized loans increased $67.0 million, or 21.5%, to $378.7 million as of December 31, 2021 from $311.7 million as of December 31, 2020. This increase was primarily due to organic growth in our direct energy sector of $54.8 million and an increase of $18.9 million in agricultural real estate loans.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Consumer</w:t>
      </w:r>
      <w:r>
        <w:rPr>
          <w:rFonts w:ascii="Arial" w:cs="Arial" w:eastAsia="Arial" w:hAnsi="Arial"/>
          <w:sz w:val="17"/>
          <w:szCs w:val="17"/>
          <w:color w:val="auto"/>
        </w:rPr>
        <w:t>. We utilize a computer-based credit scoring analysis to supplement our policies and procedures in underwriting consumer loans. Our loan policy</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Consumer and other loans increased $62.8 million, or 9.9%, to $696.5 million as of December 31, 2021, from $633.8 million as of December 31, 2020. The increase in these loans was primarily a result of a $27.4 million increase in residential mortgage loans and a $34.9 million increase in consumer auto loans as a result of increased auto and home buyer demand. As of December 31, 2021, our consumer loan portfolio was comprised of $387.7 million in 1-4 family residential loans, $240.7 million in auto loans, and $68.1 million in other consumer loans.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Construction</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Construction loans increased $52.4 million, or 55.4%, to $146.9 million as of December 31, 2021 from $94.5 million as of December 31, 2020. The increase resulted from continued higher demand for residential construction as a result of home shortages in many of our markets as lower mortgage interest rates increased the number of buyers for homes.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212529"/>
        </w:rPr>
        <w:t>Paycheck Protection Program</w:t>
      </w:r>
      <w:r>
        <w:rPr>
          <w:rFonts w:ascii="Arial" w:cs="Arial" w:eastAsia="Arial" w:hAnsi="Arial"/>
          <w:sz w:val="17"/>
          <w:szCs w:val="17"/>
          <w:color w:val="212529"/>
        </w:rPr>
        <w:t>. In April 2020, we began originating loans to qualified small businesses under the PPP administered by the SBA under the</w:t>
      </w:r>
      <w:r>
        <w:rPr>
          <w:rFonts w:ascii="Arial" w:cs="Arial" w:eastAsia="Arial" w:hAnsi="Arial"/>
          <w:sz w:val="17"/>
          <w:szCs w:val="17"/>
          <w:i w:val="1"/>
          <w:iCs w:val="1"/>
          <w:color w:val="212529"/>
        </w:rPr>
        <w:t xml:space="preserve"> </w:t>
      </w:r>
      <w:r>
        <w:rPr>
          <w:rFonts w:ascii="Arial" w:cs="Arial" w:eastAsia="Arial" w:hAnsi="Arial"/>
          <w:sz w:val="17"/>
          <w:szCs w:val="17"/>
          <w:color w:val="212529"/>
        </w:rPr>
        <w:t>provisions of the CARES Act. Loans covered by the PPP may be eligible for loan forgiveness for certain costs incurred related to payroll, group health care benefit costs and qualifying mortgage, rent and utility payments. The remaining loan balance after forgiveness of any amounts is still fully guaranteed by the SBA. Terms of the PPP loans include the following (i) maximum amount limited to the lesser of $10 million or an amount calculated using a payroll-based formula, (ii) maximum loan term of five years, (iii) interest rate of 1.00%, (iv) no collateral or personal guarantees are required, (v) no payments are required for six months following the loan disbursement date and (vi) loan forgiveness up to the full principal amount of the loan and any accrued interest, subject to certain requirements including that no more than 25% of the loan forgiveness amount may be attributable to non-payroll costs. In return for processing and booking the loan, the SBA paid the lender a processing fee tiered by the size of the loan (5% for loans of not more than $350 thousand; 3% for loans more than $350 thousand and less than $2 million; and 1% for loans of at least $2 million). At December 31, 2021, PPP loans totaled approximately $40.2 million which are included in commercial general loans.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560" w:type="dxa"/>
            <w:vAlign w:val="bottom"/>
            <w:gridSpan w:val="2"/>
          </w:tcPr>
          <w:p>
            <w:pPr>
              <w:spacing w:after="0"/>
              <w:rPr>
                <w:sz w:val="20"/>
                <w:szCs w:val="20"/>
                <w:color w:val="auto"/>
              </w:rPr>
            </w:pPr>
            <w:r>
              <w:rPr>
                <w:rFonts w:ascii="Arial" w:cs="Arial" w:eastAsia="Arial" w:hAnsi="Arial"/>
                <w:sz w:val="18"/>
                <w:szCs w:val="18"/>
                <w:color w:val="auto"/>
              </w:rPr>
              <w:t>The following table summarizes commitments we have made as of the dates presented.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18"/>
                <w:szCs w:val="18"/>
                <w:color w:val="auto"/>
              </w:rPr>
            </w:pPr>
          </w:p>
        </w:tc>
      </w:tr>
      <w:tr>
        <w:trPr>
          <w:trHeight w:val="216"/>
        </w:trPr>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542,338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417,798</w:t>
            </w: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12,418</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10,481</w:t>
            </w:r>
          </w:p>
        </w:tc>
      </w:tr>
      <w:tr>
        <w:trPr>
          <w:trHeight w:val="257"/>
        </w:trPr>
        <w:tc>
          <w:tcPr>
            <w:tcW w:w="8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554,756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Loan Losses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 thousand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allowance for loan losses was $42.1 million at December 31, 2021 compared to $45.6 million at December 31, 2020, an decrease of $3.5 million, or 7.6%. The decrease is primarily a result of a negative provision of $2.0 million being recorded in June 2021 based on general improvement in the economy, a decline in the amount of loans actively under a modification, and a decrease in nonperforming loans.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analysis of the allowance for loan losses and other data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60" w:type="dxa"/>
            <w:vAlign w:val="bottom"/>
            <w:vMerge w:val="restart"/>
          </w:tcPr>
          <w:p>
            <w:pPr>
              <w:spacing w:after="0"/>
              <w:rPr>
                <w:sz w:val="20"/>
                <w:szCs w:val="20"/>
                <w:color w:val="auto"/>
              </w:rPr>
            </w:pPr>
            <w:r>
              <w:rPr>
                <w:rFonts w:ascii="Arial" w:cs="Arial" w:eastAsia="Arial" w:hAnsi="Arial"/>
                <w:sz w:val="18"/>
                <w:szCs w:val="18"/>
                <w:color w:val="auto"/>
              </w:rPr>
              <w:t>Average loans outstanding during period</w:t>
            </w:r>
            <w:r>
              <w:rPr>
                <w:rFonts w:ascii="Arial" w:cs="Arial" w:eastAsia="Arial" w:hAnsi="Arial"/>
                <w:sz w:val="29"/>
                <w:szCs w:val="29"/>
                <w:color w:val="auto"/>
                <w:vertAlign w:val="superscript"/>
              </w:rPr>
              <w:t>(1)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(Dollars in thousands)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705,516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654,923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538,441</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336,754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318,141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296,910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490,945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545,391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414,512</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362,415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354,332</w:t>
            </w:r>
          </w:p>
        </w:tc>
        <w:tc>
          <w:tcPr>
            <w:tcW w:w="0" w:type="dxa"/>
            <w:vAlign w:val="bottom"/>
          </w:tcPr>
          <w:p>
            <w:pPr>
              <w:spacing w:after="0"/>
              <w:rPr>
                <w:sz w:val="1"/>
                <w:szCs w:val="1"/>
                <w:color w:val="auto"/>
              </w:rPr>
            </w:pPr>
          </w:p>
        </w:tc>
      </w:tr>
      <w:tr>
        <w:trPr>
          <w:trHeight w:val="216"/>
        </w:trPr>
        <w:tc>
          <w:tcPr>
            <w:tcW w:w="706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227,301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205,849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205,306</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68,106</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71,609</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124,840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90,277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84,344</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92,130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78,158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32,329</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Total average loans outstanding during period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2,420,201</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2,325,632</w:t>
            </w:r>
          </w:p>
        </w:tc>
        <w:tc>
          <w:tcPr>
            <w:tcW w:w="3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1,997,783</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Net charge-offs during the period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459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06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220" w:type="dxa"/>
            <w:vAlign w:val="bottom"/>
          </w:tcPr>
          <w:p>
            <w:pPr>
              <w:spacing w:after="0"/>
              <w:rPr>
                <w:sz w:val="18"/>
                <w:szCs w:val="18"/>
                <w:color w:val="auto"/>
              </w:rPr>
            </w:pPr>
          </w:p>
        </w:tc>
        <w:tc>
          <w:tcPr>
            <w:tcW w:w="1200" w:type="dxa"/>
            <w:vAlign w:val="bottom"/>
            <w:gridSpan w:val="2"/>
          </w:tcPr>
          <w:p>
            <w:pPr>
              <w:jc w:val="right"/>
              <w:ind w:right="230"/>
              <w:spacing w:after="0"/>
              <w:rPr>
                <w:sz w:val="20"/>
                <w:szCs w:val="20"/>
                <w:color w:val="auto"/>
              </w:rPr>
            </w:pPr>
            <w:r>
              <w:rPr>
                <w:rFonts w:ascii="Arial" w:cs="Arial" w:eastAsia="Arial" w:hAnsi="Arial"/>
                <w:sz w:val="18"/>
                <w:szCs w:val="18"/>
                <w:color w:val="auto"/>
              </w:rPr>
              <w:t>483</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973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653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19"/>
                <w:szCs w:val="19"/>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charge-offs during the period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loans held for investment outstanding</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2,437,577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2,221,583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2,143,623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Nonaccrual loans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9,518</w:t>
            </w:r>
          </w:p>
        </w:tc>
        <w:tc>
          <w:tcPr>
            <w:tcW w:w="3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13,718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42,098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45,553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24,197</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allowance to total loans held for investment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Ratio of allowance to nonaccrual loans</w:t>
            </w:r>
          </w:p>
        </w:tc>
        <w:tc>
          <w:tcPr>
            <w:tcW w:w="2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442.30%</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332.07%</w:t>
            </w:r>
          </w:p>
        </w:tc>
        <w:tc>
          <w:tcPr>
            <w:tcW w:w="2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515.60%</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nonaccrual loans to total loans held for investment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net charge-offs to average loans during the period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specialized</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8"/>
                <w:szCs w:val="18"/>
                <w:color w:val="auto"/>
              </w:rPr>
              <w:t>Commercial – general</w:t>
            </w:r>
          </w:p>
        </w:tc>
        <w:tc>
          <w:tcPr>
            <w:tcW w:w="22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7"/>
        </w:trPr>
        <w:tc>
          <w:tcPr>
            <w:tcW w:w="70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4" w:right="339" w:bottom="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2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1-4 family residential</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0.01%</w:t>
            </w:r>
          </w:p>
        </w:tc>
        <w:tc>
          <w:tcPr>
            <w:tcW w:w="1500" w:type="dxa"/>
            <w:vAlign w:val="bottom"/>
          </w:tcPr>
          <w:p>
            <w:pPr>
              <w:jc w:val="right"/>
              <w:ind w:right="370"/>
              <w:spacing w:after="0"/>
              <w:rPr>
                <w:sz w:val="20"/>
                <w:szCs w:val="20"/>
                <w:color w:val="auto"/>
              </w:rPr>
            </w:pPr>
            <w:r>
              <w:rPr>
                <w:rFonts w:ascii="Arial" w:cs="Arial" w:eastAsia="Arial" w:hAnsi="Arial"/>
                <w:sz w:val="18"/>
                <w:szCs w:val="18"/>
                <w:color w:val="auto"/>
              </w:rPr>
              <w:t>(0.02)%</w:t>
            </w:r>
          </w:p>
        </w:tc>
        <w:tc>
          <w:tcPr>
            <w:tcW w:w="98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 loans</w:t>
            </w:r>
          </w:p>
        </w:tc>
        <w:tc>
          <w:tcPr>
            <w:tcW w:w="2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0.21%</w:t>
            </w:r>
          </w:p>
        </w:tc>
        <w:tc>
          <w:tcPr>
            <w:tcW w:w="1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0.47%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Other consumer</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0.96%</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1.38%</w:t>
            </w: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2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Total ratio of net charge-offs to average loans during the period</w:t>
            </w: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0.06%</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0.18%</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 Average outstanding balances include loans held for sale.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charge-offs totaled $1.5 million and were 0.06% of average loans outstanding for the year ended December 31, 2021, compared to $4.2 million and 0.18% for the year ended December 31, 2020. The decrease in net charge-offs was primarily the result of a $518 thousand charge-off on a retail commercial relationship in the first quarter of 2020, a $822 thousand charge-off of an acquired direct energy relationship in the second quarter of 2020, and a $451 thousand charge-off of a commercial credit in the third quarter of 2020, as well as other smaller commercial-general charge-offs during 2020. The allowance for loan losses as a percentage of loans held for investment was 1.73% at December 31, 2021 and 2.05% at December 31, 2020.</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b w:val="1"/>
                <w:bCs w:val="1"/>
                <w:color w:val="auto"/>
                <w:w w:val="88"/>
              </w:rPr>
              <w:t>As of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9"/>
              </w:rPr>
              <w:t>2020</w:t>
            </w:r>
          </w:p>
        </w:tc>
        <w:tc>
          <w:tcPr>
            <w:tcW w:w="9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5,760</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4,226</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3,385</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r>
      <w:tr>
        <w:trPr>
          <w:trHeight w:val="237"/>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42,098</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Loans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Real estate we acquire as a result of foreclosure or by deed-in-lieu of foreclosure is classified as other real estate owned (“OREO”) until sold and is initially recorded at fair value less costs to sell when acquired, establishing a new cost basis.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Nonperforming loans include nonaccrual loans and loans past due 90 days or more. Nonperforming assets consist of nonperforming loans plus OREO.</w:t>
      </w:r>
    </w:p>
    <w:p>
      <w:pPr>
        <w:spacing w:after="0" w:line="2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December 31, 2021, our total nonaccrual loans were $9.5 million, or 0.39% of total loans held for investment, as compared to $13.7 million, or 0.62% of total loans held for investment, at December 31, 2020. These loans were reviewed for impairment and specific valuation allowances were established as necessary and included in the allowance for loan losses as of December 31, 2021 to cover any probable loss. The decrease in the year ended December 31, 2021 was primarily due to two nonaccrual commercial real estate loans totaling $3.7 million paying off in 2021. This reduction was partially offset by an increase of $1.2 million in six consumer 1-4 family residential loans being placed on nonaccrual in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were $10.6 million at December 31, 2021 and $15.0 million at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no loans restructured as TDRs during 2021, 2020, or 2019. TDRs are excluded from our nonperforming loans unless they otherwise meet the definition of nonaccrual loans or past due 90 days or more.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COVID-19 Industry Exposures. </w:t>
      </w:r>
      <w:r>
        <w:rPr>
          <w:rFonts w:ascii="Arial" w:cs="Arial" w:eastAsia="Arial" w:hAnsi="Arial"/>
          <w:sz w:val="18"/>
          <w:szCs w:val="18"/>
          <w:color w:val="auto"/>
        </w:rPr>
        <w:t>The Company’s COVID-19 industry exposures at December 31, 2021 were:</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Restaurant and retail owner-occupied loans totaled $122.4 million, or 5.0% of total loans. The average loan size is $448 thousand. There was $1.9 million in classified loans, $6 thousand in loans past due 30 days or more, and $1.2 million in nonaccrual loans. The related allowance for loan losses to total restaurant and retail owner-occupied loans is 2.56%. As of December 31, 2021, none of these loans were active modifications as a result of the COVID-19 pandemic.</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Hospitality and assisted living center loans totaled $112.9 million, or 4.6% of total loans. The average loan size is $2.7 million. There was $39.0 million in classified loans, no loans past due 30 days or more, and $1.1 million in nonaccrual loans. The related allowance for loan losses to total hospitality and assisted living center loans is 7.81%. As of December 31, 2021, approximately 14% of these loans were active modifications as a result of the COVID-19 pandemic. All of these modifications have original modified terms that extended up to 18 months. The Company expects that these remaining modified loans will return to full payment status at the end of their respective modification period.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Oil and Gas Exposures. </w:t>
      </w:r>
      <w:r>
        <w:rPr>
          <w:rFonts w:ascii="Arial" w:cs="Arial" w:eastAsia="Arial" w:hAnsi="Arial"/>
          <w:sz w:val="18"/>
          <w:szCs w:val="18"/>
          <w:color w:val="auto"/>
        </w:rPr>
        <w:t>The Company’s direct energy sector loans totaled $118.8 million (or 4.9% of total loans) at December 31, 2021. There was $5.6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classified loans, $9 thousand in loans past due 30 days or more, and $44 thousand in nonaccrual loans. Management has expanded the monitoring of the loans in this category. The related allowance for loan losses to direct energy loans is 1.76%. As of December 31, 2021, none of these loans were active modifications as a result of the COVID-19 pandemic.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Portfolio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securities at December 31, 2021 were $724.5 million, representing an decrease of $78.6 million, or 9.8%, compared to $803.1 million at December 31, 2020. The decrease was primarily due to $120.3 million in maturities, prepayments, and calls, partially offset by $61.5 million in purchases and a $15.5 million decline in the unrealized gain at December 31, 2021 compared to December 31, 2020.</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securities have fair values less than amortized cost and, therefore, contain unrealized losses. At December 31, 2021,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b w:val="1"/>
                <w:bCs w:val="1"/>
                <w:color w:val="auto"/>
                <w:w w:val="91"/>
              </w:rPr>
              <w:t>As of December 31, 2021</w:t>
            </w: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4"/>
          </w:tcPr>
          <w:p>
            <w:pPr>
              <w:jc w:val="right"/>
              <w:ind w:right="860"/>
              <w:spacing w:after="0" w:line="198" w:lineRule="exact"/>
              <w:rPr>
                <w:sz w:val="20"/>
                <w:szCs w:val="20"/>
                <w:color w:val="auto"/>
              </w:rPr>
            </w:pPr>
            <w:r>
              <w:rPr>
                <w:rFonts w:ascii="Arial" w:cs="Arial" w:eastAsia="Arial" w:hAnsi="Arial"/>
                <w:sz w:val="18"/>
                <w:szCs w:val="18"/>
                <w:b w:val="1"/>
                <w:bCs w:val="1"/>
                <w:color w:val="auto"/>
              </w:rPr>
              <w:t>Due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5"/>
          </w:tcPr>
          <w:p>
            <w:pPr>
              <w:jc w:val="right"/>
              <w:ind w:right="420"/>
              <w:spacing w:after="0" w:line="198" w:lineRule="exact"/>
              <w:rPr>
                <w:sz w:val="20"/>
                <w:szCs w:val="20"/>
                <w:color w:val="auto"/>
              </w:rPr>
            </w:pPr>
            <w:r>
              <w:rPr>
                <w:rFonts w:ascii="Arial" w:cs="Arial" w:eastAsia="Arial" w:hAnsi="Arial"/>
                <w:sz w:val="18"/>
                <w:szCs w:val="18"/>
                <w:b w:val="1"/>
                <w:bCs w:val="1"/>
                <w:color w:val="auto"/>
                <w:w w:val="93"/>
              </w:rPr>
              <w:t>Due after One Year</w:t>
            </w:r>
          </w:p>
        </w:tc>
        <w:tc>
          <w:tcPr>
            <w:tcW w:w="100" w:type="dxa"/>
            <w:vAlign w:val="bottom"/>
          </w:tcPr>
          <w:p>
            <w:pPr>
              <w:spacing w:after="0"/>
              <w:rPr>
                <w:sz w:val="17"/>
                <w:szCs w:val="17"/>
                <w:color w:val="auto"/>
              </w:rPr>
            </w:pPr>
          </w:p>
        </w:tc>
        <w:tc>
          <w:tcPr>
            <w:tcW w:w="1900" w:type="dxa"/>
            <w:vAlign w:val="bottom"/>
            <w:gridSpan w:val="4"/>
          </w:tcPr>
          <w:p>
            <w:pPr>
              <w:jc w:val="center"/>
              <w:ind w:right="320"/>
              <w:spacing w:after="0" w:line="198" w:lineRule="exact"/>
              <w:rPr>
                <w:sz w:val="20"/>
                <w:szCs w:val="20"/>
                <w:color w:val="auto"/>
              </w:rPr>
            </w:pPr>
            <w:r>
              <w:rPr>
                <w:rFonts w:ascii="Arial" w:cs="Arial" w:eastAsia="Arial" w:hAnsi="Arial"/>
                <w:sz w:val="18"/>
                <w:szCs w:val="18"/>
                <w:b w:val="1"/>
                <w:bCs w:val="1"/>
                <w:color w:val="auto"/>
                <w:w w:val="91"/>
              </w:rPr>
              <w:t>Due after Five Years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ind w:right="45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4"/>
          </w:tcPr>
          <w:p>
            <w:pPr>
              <w:ind w:left="80"/>
              <w:spacing w:after="0"/>
              <w:rPr>
                <w:sz w:val="20"/>
                <w:szCs w:val="20"/>
                <w:color w:val="auto"/>
              </w:rPr>
            </w:pPr>
            <w:r>
              <w:rPr>
                <w:rFonts w:ascii="Arial" w:cs="Arial" w:eastAsia="Arial" w:hAnsi="Arial"/>
                <w:sz w:val="18"/>
                <w:szCs w:val="18"/>
                <w:b w:val="1"/>
                <w:bCs w:val="1"/>
                <w:color w:val="auto"/>
              </w:rPr>
              <w:t>One Year or Less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Through Five Years</w:t>
            </w:r>
          </w:p>
        </w:tc>
        <w:tc>
          <w:tcPr>
            <w:tcW w:w="100" w:type="dxa"/>
            <w:vAlign w:val="bottom"/>
          </w:tcPr>
          <w:p>
            <w:pPr>
              <w:spacing w:after="0"/>
              <w:rPr>
                <w:sz w:val="20"/>
                <w:szCs w:val="20"/>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0"/>
              </w:rPr>
              <w:t>Through Ten Years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3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9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Average</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Amortized</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gridSpan w:val="4"/>
          </w:tcPr>
          <w:p>
            <w:pPr>
              <w:ind w:left="60"/>
              <w:spacing w:after="0"/>
              <w:rPr>
                <w:sz w:val="20"/>
                <w:szCs w:val="20"/>
                <w:color w:val="auto"/>
              </w:rPr>
            </w:pPr>
            <w:r>
              <w:rPr>
                <w:rFonts w:ascii="Arial" w:cs="Arial" w:eastAsia="Arial" w:hAnsi="Arial"/>
                <w:sz w:val="18"/>
                <w:szCs w:val="18"/>
                <w:b w:val="1"/>
                <w:bCs w:val="1"/>
                <w:color w:val="auto"/>
              </w:rPr>
              <w:t>Amortized</w:t>
            </w:r>
          </w:p>
        </w:tc>
        <w:tc>
          <w:tcPr>
            <w:tcW w:w="9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Cost</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(Dollars in thousands)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7,563</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10,502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245,139</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59,116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242,381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106,733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23,718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190,679</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511,238</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562"/>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deposits at December 31, 2021 were $3.34 billion, representing an increase of $366.9 million, or 12.3%, compared to $2.97 billion at December 31, 2020. The increase in total deposits since December 31, 2020 is primarily due to organic growth, customers depositing funds received from PPP loans and maintaining higher balances, and other government stimulus payments and programs. We anticipate that as customers spend down their PPP loan funds, this may result in a reduction in deposits. As of December 31, 2021, 32.1% of total deposits were comprised of noninterest-bearing demand accounts, 57.8% of interest-bearing non-maturity accounts and 10.1% of time deposits.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average deposit balances and weighted average rates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Weighted</w:t>
            </w:r>
          </w:p>
        </w:tc>
        <w:tc>
          <w:tcPr>
            <w:tcW w:w="160" w:type="dxa"/>
            <w:vAlign w:val="bottom"/>
          </w:tcPr>
          <w:p>
            <w:pPr>
              <w:spacing w:after="0"/>
              <w:rPr>
                <w:sz w:val="17"/>
                <w:szCs w:val="17"/>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Weighted</w:t>
            </w:r>
          </w:p>
        </w:tc>
        <w:tc>
          <w:tcPr>
            <w:tcW w:w="1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Average</w:t>
            </w: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Balance</w:t>
            </w: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Rate</w:t>
            </w:r>
          </w:p>
        </w:tc>
        <w:tc>
          <w:tcPr>
            <w:tcW w:w="180" w:type="dxa"/>
            <w:vAlign w:val="bottom"/>
          </w:tcPr>
          <w:p>
            <w:pPr>
              <w:spacing w:after="0"/>
              <w:rPr>
                <w:sz w:val="20"/>
                <w:szCs w:val="20"/>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rPr>
              <w:t>Balance</w:t>
            </w: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32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2"/>
              </w:rPr>
              <w:t>Balance</w:t>
            </w: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Rate</w:t>
            </w:r>
          </w:p>
        </w:tc>
      </w:tr>
      <w:tr>
        <w:trPr>
          <w:trHeight w:val="216"/>
        </w:trPr>
        <w:tc>
          <w:tcPr>
            <w:tcW w:w="3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1,016,835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888,653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570,428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3"/>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3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NOW and interest-bearing demand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355,274</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329,431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266,991</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0.35</w:t>
            </w:r>
          </w:p>
        </w:tc>
      </w:tr>
      <w:tr>
        <w:trPr>
          <w:trHeight w:val="216"/>
        </w:trPr>
        <w:tc>
          <w:tcPr>
            <w:tcW w:w="3240" w:type="dxa"/>
            <w:vAlign w:val="bottom"/>
          </w:tcPr>
          <w:p>
            <w:pPr>
              <w:ind w:left="18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132,426</w:t>
            </w:r>
          </w:p>
        </w:tc>
        <w:tc>
          <w:tcPr>
            <w:tcW w:w="220" w:type="dxa"/>
            <w:vAlign w:val="bottom"/>
          </w:tcPr>
          <w:p>
            <w:pPr>
              <w:spacing w:after="0"/>
              <w:rPr>
                <w:sz w:val="18"/>
                <w:szCs w:val="18"/>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113,681</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71,754</w:t>
            </w:r>
          </w:p>
        </w:tc>
        <w:tc>
          <w:tcPr>
            <w:tcW w:w="12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0.20</w:t>
            </w:r>
          </w:p>
        </w:tc>
      </w:tr>
      <w:tr>
        <w:trPr>
          <w:trHeight w:val="216"/>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1,353,978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1,209,976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1,109,575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1.38</w:t>
            </w:r>
          </w:p>
        </w:tc>
      </w:tr>
      <w:tr>
        <w:trPr>
          <w:trHeight w:val="223"/>
        </w:trPr>
        <w:tc>
          <w:tcPr>
            <w:tcW w:w="32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329,509</w:t>
            </w:r>
          </w:p>
        </w:tc>
        <w:tc>
          <w:tcPr>
            <w:tcW w:w="220" w:type="dxa"/>
            <w:vAlign w:val="bottom"/>
          </w:tcPr>
          <w:p>
            <w:pPr>
              <w:spacing w:after="0"/>
              <w:rPr>
                <w:sz w:val="19"/>
                <w:szCs w:val="19"/>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331,623</w:t>
            </w:r>
          </w:p>
        </w:tc>
        <w:tc>
          <w:tcPr>
            <w:tcW w:w="120" w:type="dxa"/>
            <w:vAlign w:val="bottom"/>
          </w:tcPr>
          <w:p>
            <w:pPr>
              <w:spacing w:after="0"/>
              <w:rPr>
                <w:sz w:val="19"/>
                <w:szCs w:val="19"/>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319,811</w:t>
            </w:r>
          </w:p>
        </w:tc>
        <w:tc>
          <w:tcPr>
            <w:tcW w:w="12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1.89</w:t>
            </w:r>
          </w:p>
        </w:tc>
      </w:tr>
      <w:tr>
        <w:trPr>
          <w:trHeight w:val="223"/>
        </w:trPr>
        <w:tc>
          <w:tcPr>
            <w:tcW w:w="3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2,171,187</w:t>
            </w: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0.38</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1,984,711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0.60</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1,768,131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1.27</w:t>
            </w:r>
          </w:p>
        </w:tc>
      </w:tr>
      <w:tr>
        <w:trPr>
          <w:trHeight w:val="216"/>
        </w:trPr>
        <w:tc>
          <w:tcPr>
            <w:tcW w:w="324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3,188,022</w:t>
            </w:r>
          </w:p>
        </w:tc>
        <w:tc>
          <w:tcPr>
            <w:tcW w:w="220" w:type="dxa"/>
            <w:vAlign w:val="bottom"/>
          </w:tcPr>
          <w:p>
            <w:pPr>
              <w:spacing w:after="0"/>
              <w:rPr>
                <w:sz w:val="18"/>
                <w:szCs w:val="18"/>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2,873,364</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0.41%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2,338,559</w:t>
            </w:r>
          </w:p>
        </w:tc>
        <w:tc>
          <w:tcPr>
            <w:tcW w:w="12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w w:val="90"/>
              </w:rPr>
              <w:t>0.96%</w:t>
            </w:r>
          </w:p>
        </w:tc>
      </w:tr>
      <w:tr>
        <w:trPr>
          <w:trHeight w:val="21"/>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scheduled maturities of uninsured certificates of deposits or other time deposits as of December 31, 2021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Three</w:t>
            </w: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Three to</w:t>
            </w:r>
          </w:p>
        </w:tc>
        <w:tc>
          <w:tcPr>
            <w:tcW w:w="3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Six to</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After</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80" w:type="dxa"/>
            <w:vAlign w:val="bottom"/>
            <w:gridSpan w:val="2"/>
          </w:tcPr>
          <w:p>
            <w:pPr>
              <w:jc w:val="right"/>
              <w:ind w:right="2990"/>
              <w:spacing w:after="0"/>
              <w:rPr>
                <w:sz w:val="20"/>
                <w:szCs w:val="20"/>
                <w:color w:val="auto"/>
              </w:rPr>
            </w:pPr>
            <w:r>
              <w:rPr>
                <w:rFonts w:ascii="Arial" w:cs="Arial" w:eastAsia="Arial" w:hAnsi="Arial"/>
                <w:sz w:val="18"/>
                <w:szCs w:val="18"/>
                <w:b w:val="1"/>
                <w:bCs w:val="1"/>
                <w:color w:val="auto"/>
                <w:w w:val="88"/>
              </w:rPr>
              <w:t>(Dollars in thousands)</w:t>
            </w: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Months</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Six Months</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12 Months</w:t>
            </w:r>
          </w:p>
        </w:tc>
        <w:tc>
          <w:tcPr>
            <w:tcW w:w="2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12 Months</w:t>
            </w:r>
          </w:p>
        </w:tc>
        <w:tc>
          <w:tcPr>
            <w:tcW w:w="3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6,135</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39,261</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24,513</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amount of uninsured deposits as of December 31, 2021 was $1.07 billion.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Time deposits issued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Borrowed Funds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deposits, we utilize advances from the FHLB and other borrowings as a supplementary funding source to finance our operations.</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both short and long-term, on a blanket floating lien status collateralized by first mortgage loans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real estate loans as well as FHLB stock. At December 31, 2021 and December 31, 2020 we had total remaining borrowing capacity from the FHLB of $903.9 million and $512.5 million,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The following table sets forth our long-term FHLB borrowings as of and for the periods indicated:</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of and for the Year</w:t>
            </w:r>
          </w:p>
        </w:tc>
      </w:tr>
      <w:tr>
        <w:trPr>
          <w:trHeight w:val="241"/>
        </w:trPr>
        <w:tc>
          <w:tcPr>
            <w:tcW w:w="8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gridSpan w:val="5"/>
          </w:tcPr>
          <w:p>
            <w:pPr>
              <w:ind w:left="180"/>
              <w:spacing w:after="0"/>
              <w:rPr>
                <w:sz w:val="20"/>
                <w:szCs w:val="20"/>
                <w:color w:val="auto"/>
              </w:rPr>
            </w:pPr>
            <w:r>
              <w:rPr>
                <w:rFonts w:ascii="Arial" w:cs="Arial" w:eastAsia="Arial" w:hAnsi="Arial"/>
                <w:sz w:val="18"/>
                <w:szCs w:val="18"/>
                <w:b w:val="1"/>
                <w:bCs w:val="1"/>
                <w:color w:val="auto"/>
              </w:rPr>
              <w:t>Ended December 31,</w:t>
            </w:r>
          </w:p>
        </w:tc>
      </w:tr>
      <w:tr>
        <w:trPr>
          <w:trHeight w:val="223"/>
        </w:trPr>
        <w:tc>
          <w:tcPr>
            <w:tcW w:w="8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5"/>
          </w:tcPr>
          <w:p>
            <w:pPr>
              <w:ind w:left="14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3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0.21%</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19,641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116,517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Federal Reserve Bank of Dallas</w:t>
      </w:r>
      <w:r>
        <w:rPr>
          <w:rFonts w:ascii="Arial" w:cs="Arial" w:eastAsia="Arial" w:hAnsi="Arial"/>
          <w:sz w:val="18"/>
          <w:szCs w:val="18"/>
          <w:color w:val="auto"/>
        </w:rPr>
        <w:t>. The Bank has a line of credit with the FRB. The amount of the line is determined on a monthly basis by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Bank. The line is collateralized by a blanket floating lien on all agriculture, commercial and consumer loans. The amount of the line was $593.6 million and $700.8 million at December 31, 2021 and 2020,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used FHLB letters of credit to pledge to certain public deposits. The balance of the FHLB letters of credit at December 31, 2020 was $199.0 million. These letters of credit expired in July 2021 and the Company began pledging securities to these public funds rather than renewing the letters of credit. As a result, there were no FHLB letters of credit outstanding at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The following table sets forth our FRB borrowings as of and for the periods indicated:</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480" w:type="dxa"/>
            <w:vAlign w:val="bottom"/>
          </w:tcPr>
          <w:p>
            <w:pPr>
              <w:spacing w:after="0"/>
              <w:rPr>
                <w:sz w:val="24"/>
                <w:szCs w:val="24"/>
                <w:color w:val="auto"/>
              </w:rPr>
            </w:pPr>
          </w:p>
        </w:tc>
        <w:tc>
          <w:tcPr>
            <w:tcW w:w="2180" w:type="dxa"/>
            <w:vAlign w:val="bottom"/>
            <w:gridSpan w:val="4"/>
          </w:tcPr>
          <w:p>
            <w:pPr>
              <w:ind w:left="460"/>
              <w:spacing w:after="0"/>
              <w:rPr>
                <w:sz w:val="20"/>
                <w:szCs w:val="20"/>
                <w:color w:val="auto"/>
              </w:rPr>
            </w:pPr>
            <w:r>
              <w:rPr>
                <w:rFonts w:ascii="Arial" w:cs="Arial" w:eastAsia="Arial" w:hAnsi="Arial"/>
                <w:sz w:val="18"/>
                <w:szCs w:val="18"/>
                <w:b w:val="1"/>
                <w:bCs w:val="1"/>
                <w:color w:val="auto"/>
                <w:w w:val="90"/>
              </w:rPr>
              <w:t>As of and for the Year</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1"/>
        </w:trPr>
        <w:tc>
          <w:tcPr>
            <w:tcW w:w="8480" w:type="dxa"/>
            <w:vAlign w:val="bottom"/>
          </w:tcPr>
          <w:p>
            <w:pPr>
              <w:spacing w:after="0"/>
              <w:rPr>
                <w:sz w:val="20"/>
                <w:szCs w:val="20"/>
                <w:color w:val="auto"/>
              </w:rPr>
            </w:pPr>
          </w:p>
        </w:tc>
        <w:tc>
          <w:tcPr>
            <w:tcW w:w="218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w w:val="93"/>
              </w:rPr>
              <w:t>Ended December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480" w:type="dxa"/>
            <w:vAlign w:val="bottom"/>
          </w:tcPr>
          <w:p>
            <w:pPr>
              <w:spacing w:after="0"/>
              <w:rPr>
                <w:sz w:val="19"/>
                <w:szCs w:val="19"/>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16"/>
        </w:trPr>
        <w:tc>
          <w:tcPr>
            <w:tcW w:w="8480" w:type="dxa"/>
            <w:vAlign w:val="bottom"/>
          </w:tcPr>
          <w:p>
            <w:pPr>
              <w:spacing w:after="0"/>
              <w:rPr>
                <w:sz w:val="18"/>
                <w:szCs w:val="18"/>
                <w:color w:val="auto"/>
              </w:rPr>
            </w:pPr>
          </w:p>
        </w:tc>
        <w:tc>
          <w:tcPr>
            <w:tcW w:w="2180" w:type="dxa"/>
            <w:vAlign w:val="bottom"/>
            <w:gridSpan w:val="4"/>
          </w:tcPr>
          <w:p>
            <w:pPr>
              <w:ind w:left="460"/>
              <w:spacing w:after="0"/>
              <w:rPr>
                <w:sz w:val="20"/>
                <w:szCs w:val="20"/>
                <w:color w:val="auto"/>
              </w:rPr>
            </w:pPr>
            <w:r>
              <w:rPr>
                <w:rFonts w:ascii="Arial" w:cs="Arial" w:eastAsia="Arial" w:hAnsi="Arial"/>
                <w:sz w:val="18"/>
                <w:szCs w:val="18"/>
                <w:b w:val="1"/>
                <w:bCs w:val="1"/>
                <w:color w:val="auto"/>
                <w:w w:val="89"/>
              </w:rPr>
              <w:t>(Dollars in thousands)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92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52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2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1,209</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Lines of Credit</w:t>
      </w:r>
      <w:r>
        <w:rPr>
          <w:rFonts w:ascii="Arial" w:cs="Arial" w:eastAsia="Arial" w:hAnsi="Arial"/>
          <w:sz w:val="17"/>
          <w:szCs w:val="17"/>
          <w:color w:val="auto"/>
        </w:rPr>
        <w:t>. The Bank has uncollateralized lines of credit with multiple banks as a source of funding for liquidity management. The total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lines was $160.0 million and $165.0 million as of December 31, 2021 and 2020. The lines were not used at December 31,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 Securities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are intended to qualify for Tier 2 capital treatment, subject to regulatory limitations.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as published by the Federal Reserve Bank of New York, plus 438 basis points. These securities pay interest semi-annually, are unsecured, and may be called by the Company at any time after the remaining maturity is five years or less. Additionally, these securities are intended to qualify for Tier 2 capital treatment, subject to regulatory limitations.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total amount of subordinated debt securities outstanding was $76.5 million less approximately $697 thousand of remaining debt issuance costs for a total balance of $75.8 million.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Junior Subordinated Deferrable Interest Debentures and Trust Preferred Securities</w:t>
      </w:r>
      <w:r>
        <w:rPr>
          <w:rFonts w:ascii="Arial" w:cs="Arial" w:eastAsia="Arial" w:hAnsi="Arial"/>
          <w:sz w:val="17"/>
          <w:szCs w:val="17"/>
          <w:color w:val="auto"/>
        </w:rPr>
        <w:t>. Between March 2004 and June 2007, the Company formed three</w:t>
      </w:r>
      <w:r>
        <w:rPr>
          <w:rFonts w:ascii="Arial" w:cs="Arial" w:eastAsia="Arial" w:hAnsi="Arial"/>
          <w:sz w:val="17"/>
          <w:szCs w:val="17"/>
          <w:i w:val="1"/>
          <w:iCs w:val="1"/>
          <w:color w:val="auto"/>
        </w:rPr>
        <w:t xml:space="preserve"> </w:t>
      </w:r>
      <w:r>
        <w:rPr>
          <w:rFonts w:ascii="Arial" w:cs="Arial" w:eastAsia="Arial" w:hAnsi="Arial"/>
          <w:sz w:val="17"/>
          <w:szCs w:val="17"/>
          <w:color w:val="auto"/>
        </w:rPr>
        <w:t>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2021 and 2020. Company has the right, as has been exercised in the past, to defer payments of interest on the securities for up to twenty consecutive quarters. During such time, corporate dividends may not be paid.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chart below indicates certain information, as of December 31, 2021,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2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Stated</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Maturity Date</w:t>
            </w:r>
          </w:p>
        </w:tc>
        <w:tc>
          <w:tcPr>
            <w:tcW w:w="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c>
          <w:tcPr>
            <w:tcW w:w="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of Trust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of Trust Preferred</w:t>
            </w:r>
          </w:p>
        </w:tc>
        <w:tc>
          <w:tcPr>
            <w:tcW w:w="6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c>
          <w:tcPr>
            <w:tcW w:w="80" w:type="dxa"/>
            <w:vAlign w:val="bottom"/>
          </w:tcPr>
          <w:p>
            <w:pPr>
              <w:spacing w:after="0"/>
              <w:rPr>
                <w:sz w:val="18"/>
                <w:szCs w:val="18"/>
                <w:color w:val="auto"/>
              </w:rPr>
            </w:pPr>
          </w:p>
        </w:tc>
      </w:tr>
      <w:tr>
        <w:trPr>
          <w:trHeight w:val="206"/>
        </w:trPr>
        <w:tc>
          <w:tcPr>
            <w:tcW w:w="10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ind w:left="400"/>
              <w:spacing w:after="0"/>
              <w:rPr>
                <w:sz w:val="20"/>
                <w:szCs w:val="20"/>
                <w:color w:val="auto"/>
              </w:rPr>
            </w:pPr>
            <w:r>
              <w:rPr>
                <w:rFonts w:ascii="Arial" w:cs="Arial" w:eastAsia="Arial" w:hAnsi="Arial"/>
                <w:sz w:val="18"/>
                <w:szCs w:val="18"/>
                <w:b w:val="1"/>
                <w:bCs w:val="1"/>
                <w:color w:val="auto"/>
              </w:rPr>
              <w:t>Issue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7"/>
                <w:szCs w:val="17"/>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3"/>
              </w:rPr>
              <w:t>Amount of</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Securities and</w:t>
            </w:r>
          </w:p>
        </w:tc>
        <w:tc>
          <w:tcPr>
            <w:tcW w:w="60" w:type="dxa"/>
            <w:vAlign w:val="bottom"/>
          </w:tcPr>
          <w:p>
            <w:pPr>
              <w:spacing w:after="0"/>
              <w:rPr>
                <w:sz w:val="17"/>
                <w:szCs w:val="17"/>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c>
          <w:tcPr>
            <w:tcW w:w="80" w:type="dxa"/>
            <w:vAlign w:val="bottom"/>
          </w:tcPr>
          <w:p>
            <w:pPr>
              <w:spacing w:after="0"/>
              <w:rPr>
                <w:sz w:val="17"/>
                <w:szCs w:val="17"/>
                <w:color w:val="auto"/>
              </w:rPr>
            </w:pPr>
          </w:p>
        </w:tc>
      </w:tr>
      <w:tr>
        <w:trPr>
          <w:trHeight w:val="25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Name of Trust</w:t>
            </w:r>
          </w:p>
        </w:tc>
        <w:tc>
          <w:tcPr>
            <w:tcW w:w="1100" w:type="dxa"/>
            <w:vAlign w:val="bottom"/>
          </w:tcPr>
          <w:p>
            <w:pPr>
              <w:ind w:left="42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1"/>
                <w:szCs w:val="21"/>
                <w:color w:val="auto"/>
              </w:rPr>
            </w:pPr>
          </w:p>
        </w:tc>
        <w:tc>
          <w:tcPr>
            <w:tcW w:w="12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86"/>
              </w:rPr>
              <w:t>Debentures</w:t>
            </w:r>
          </w:p>
        </w:tc>
        <w:tc>
          <w:tcPr>
            <w:tcW w:w="1440" w:type="dxa"/>
            <w:vAlign w:val="bottom"/>
            <w:gridSpan w:val="2"/>
          </w:tcPr>
          <w:p>
            <w:pPr>
              <w:jc w:val="center"/>
              <w:ind w:right="60"/>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60" w:type="dxa"/>
            <w:vAlign w:val="bottom"/>
          </w:tcPr>
          <w:p>
            <w:pPr>
              <w:spacing w:after="0"/>
              <w:rPr>
                <w:sz w:val="21"/>
                <w:szCs w:val="21"/>
                <w:color w:val="auto"/>
              </w:rPr>
            </w:pPr>
          </w:p>
        </w:tc>
        <w:tc>
          <w:tcPr>
            <w:tcW w:w="236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(2)(3)</w:t>
            </w:r>
          </w:p>
        </w:tc>
        <w:tc>
          <w:tcPr>
            <w:tcW w:w="80" w:type="dxa"/>
            <w:vAlign w:val="bottom"/>
          </w:tcPr>
          <w:p>
            <w:pPr>
              <w:spacing w:after="0"/>
              <w:rPr>
                <w:sz w:val="21"/>
                <w:szCs w:val="21"/>
                <w:color w:val="auto"/>
              </w:rPr>
            </w:pPr>
          </w:p>
        </w:tc>
      </w:tr>
      <w:tr>
        <w:trPr>
          <w:trHeight w:val="216"/>
        </w:trPr>
        <w:tc>
          <w:tcPr>
            <w:tcW w:w="10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3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2"/>
              </w:rPr>
              <w:t>thousands)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10,310</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2034</w:t>
            </w:r>
          </w:p>
        </w:tc>
        <w:tc>
          <w:tcPr>
            <w:tcW w:w="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3-mo. LIBOR + 265 bps; 2.77%</w:t>
            </w:r>
          </w:p>
        </w:tc>
        <w:tc>
          <w:tcPr>
            <w:tcW w:w="80" w:type="dxa"/>
            <w:vAlign w:val="bottom"/>
            <w:shd w:val="clear" w:color="auto" w:fill="CCEEFF"/>
          </w:tcPr>
          <w:p>
            <w:pPr>
              <w:spacing w:after="0"/>
              <w:rPr>
                <w:sz w:val="18"/>
                <w:szCs w:val="18"/>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100" w:type="dxa"/>
            <w:vAlign w:val="bottom"/>
          </w:tcPr>
          <w:p>
            <w:pPr>
              <w:ind w:left="420"/>
              <w:spacing w:after="0" w:line="201" w:lineRule="exact"/>
              <w:rPr>
                <w:sz w:val="20"/>
                <w:szCs w:val="20"/>
                <w:color w:val="auto"/>
              </w:rPr>
            </w:pPr>
            <w:r>
              <w:rPr>
                <w:rFonts w:ascii="Arial" w:cs="Arial" w:eastAsia="Arial" w:hAnsi="Arial"/>
                <w:sz w:val="18"/>
                <w:szCs w:val="18"/>
                <w:color w:val="auto"/>
              </w:rPr>
              <w:t>2005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33-mo. LIBOR + 139 bps;</w:t>
            </w:r>
          </w:p>
        </w:tc>
        <w:tc>
          <w:tcPr>
            <w:tcW w:w="80" w:type="dxa"/>
            <w:vAlign w:val="bottom"/>
          </w:tcPr>
          <w:p>
            <w:pPr>
              <w:spacing w:after="0"/>
              <w:rPr>
                <w:sz w:val="17"/>
                <w:szCs w:val="17"/>
                <w:color w:val="auto"/>
              </w:rPr>
            </w:pPr>
          </w:p>
        </w:tc>
      </w:tr>
      <w:tr>
        <w:trPr>
          <w:trHeight w:val="230"/>
        </w:trPr>
        <w:tc>
          <w:tcPr>
            <w:tcW w:w="10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20,619</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2035</w:t>
            </w:r>
          </w:p>
        </w:tc>
        <w:tc>
          <w:tcPr>
            <w:tcW w:w="60" w:type="dxa"/>
            <w:vAlign w:val="bottom"/>
          </w:tcPr>
          <w:p>
            <w:pPr>
              <w:spacing w:after="0"/>
              <w:rPr>
                <w:sz w:val="20"/>
                <w:szCs w:val="20"/>
                <w:color w:val="auto"/>
              </w:rPr>
            </w:pPr>
          </w:p>
        </w:tc>
        <w:tc>
          <w:tcPr>
            <w:tcW w:w="2420" w:type="dxa"/>
            <w:vAlign w:val="bottom"/>
            <w:gridSpan w:val="2"/>
          </w:tcPr>
          <w:p>
            <w:pPr>
              <w:ind w:left="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1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15,464</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2037</w:t>
            </w:r>
          </w:p>
        </w:tc>
        <w:tc>
          <w:tcPr>
            <w:tcW w:w="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3-mo. LIBOR + 150 bps; 1.70%</w:t>
            </w:r>
          </w:p>
        </w:tc>
        <w:tc>
          <w:tcPr>
            <w:tcW w:w="80" w:type="dxa"/>
            <w:vAlign w:val="bottom"/>
            <w:shd w:val="clear" w:color="auto" w:fill="CCEEFF"/>
          </w:tcPr>
          <w:p>
            <w:pPr>
              <w:spacing w:after="0"/>
              <w:rPr>
                <w:sz w:val="18"/>
                <w:szCs w:val="18"/>
                <w:color w:val="auto"/>
              </w:rPr>
            </w:pPr>
          </w:p>
        </w:tc>
      </w:tr>
      <w:tr>
        <w:trPr>
          <w:trHeight w:val="27"/>
        </w:trPr>
        <w:tc>
          <w:tcPr>
            <w:tcW w:w="10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46,393</w:t>
            </w: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Rate as of last reset date, prior to December 31,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17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shareholders’ equity increased to $407.4 million as of December 31, 2021, compared to $370.0 million as of December 31, 2020. The increase from December 31, 2020 was primarily the result of $58.6 million in net earnings for the year ended December 31, 2021, partially offset by a decrease in accumulated other comprehensive gain of $7.6 million, net of tax, and by $5.4 million in dividends paid.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2021, both we and the Bank met all the capital adequacy requirements to which we and the Bank were subject. At December 31, 2021, we and the Bank were “well capitalized” under the regulatory framework for prompt corrective action. Management believes that no conditions or events have occurred since December 31, 2021 that would materially adversely change such capital classifications. From time to time, we may need to raise additional capital to support our and the Bank’s further growth and to maintain our “well capitalized” status.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also summarizes the capital requirements applicable to us and the Bank in order to be considered “well-capitalized” from a regulatory perspective, as well as our and the Bank’s capital ratios as of the dates indicated. We and the Bank exceeded all regulatory capital requirements under Basel III and the Bank was considered to be “well-capitalized” as of the dates reflected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Minimum Capital</w:t>
            </w:r>
          </w:p>
        </w:tc>
        <w:tc>
          <w:tcPr>
            <w:tcW w:w="180" w:type="dxa"/>
            <w:vAlign w:val="bottom"/>
          </w:tcPr>
          <w:p>
            <w:pPr>
              <w:spacing w:after="0"/>
              <w:rPr>
                <w:sz w:val="18"/>
                <w:szCs w:val="18"/>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6"/>
              </w:rPr>
              <w:t>Minimum</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40"/>
              <w:spacing w:after="0"/>
              <w:rPr>
                <w:sz w:val="20"/>
                <w:szCs w:val="20"/>
                <w:color w:val="auto"/>
              </w:rPr>
            </w:pPr>
            <w:r>
              <w:rPr>
                <w:rFonts w:ascii="Arial" w:cs="Arial" w:eastAsia="Arial" w:hAnsi="Arial"/>
                <w:sz w:val="18"/>
                <w:szCs w:val="18"/>
                <w:b w:val="1"/>
                <w:bCs w:val="1"/>
                <w:color w:val="auto"/>
              </w:rPr>
              <w:t>Requirement with</w:t>
            </w: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To be Considered</w:t>
            </w:r>
          </w:p>
        </w:tc>
      </w:tr>
      <w:tr>
        <w:trPr>
          <w:trHeight w:val="241"/>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Capital Buffer</w:t>
            </w:r>
          </w:p>
        </w:tc>
        <w:tc>
          <w:tcPr>
            <w:tcW w:w="18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Well Capitalized</w:t>
            </w: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2021</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299,521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425,748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299,465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285,205</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242,469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242,424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228,164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199,681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199,644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185,383</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154,592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154,503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191,859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414"/>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Minimum Capital</w:t>
            </w:r>
          </w:p>
        </w:tc>
        <w:tc>
          <w:tcPr>
            <w:tcW w:w="180" w:type="dxa"/>
            <w:vAlign w:val="bottom"/>
          </w:tcPr>
          <w:p>
            <w:pPr>
              <w:spacing w:after="0"/>
              <w:rPr>
                <w:sz w:val="24"/>
                <w:szCs w:val="24"/>
                <w:color w:val="auto"/>
              </w:rPr>
            </w:pPr>
          </w:p>
        </w:tc>
        <w:tc>
          <w:tcPr>
            <w:tcW w:w="146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6"/>
              </w:rPr>
              <w:t>Minimum</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40"/>
              <w:spacing w:after="0"/>
              <w:rPr>
                <w:sz w:val="20"/>
                <w:szCs w:val="20"/>
                <w:color w:val="auto"/>
              </w:rPr>
            </w:pPr>
            <w:r>
              <w:rPr>
                <w:rFonts w:ascii="Arial" w:cs="Arial" w:eastAsia="Arial" w:hAnsi="Arial"/>
                <w:sz w:val="18"/>
                <w:szCs w:val="18"/>
                <w:b w:val="1"/>
                <w:bCs w:val="1"/>
                <w:color w:val="auto"/>
              </w:rPr>
              <w:t>Requirement with</w:t>
            </w:r>
          </w:p>
        </w:tc>
        <w:tc>
          <w:tcPr>
            <w:tcW w:w="180" w:type="dxa"/>
            <w:vAlign w:val="bottom"/>
          </w:tcPr>
          <w:p>
            <w:pPr>
              <w:spacing w:after="0"/>
              <w:rPr>
                <w:sz w:val="18"/>
                <w:szCs w:val="18"/>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To be Considered</w:t>
            </w:r>
          </w:p>
        </w:tc>
      </w:tr>
      <w:tr>
        <w:trPr>
          <w:trHeight w:val="241"/>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4"/>
              </w:rPr>
              <w:t>Capital Buffer</w:t>
            </w:r>
          </w:p>
        </w:tc>
        <w:tc>
          <w:tcPr>
            <w:tcW w:w="18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3"/>
              </w:rPr>
              <w:t>Well Capitalized</w:t>
            </w: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7"/>
              </w:rPr>
              <w:t>Ratio</w:t>
            </w: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0"/>
              </w:rPr>
              <w:t>(Dollars in Thousands)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 2020</w:t>
            </w: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Total capital (to risk-weighted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260,531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404,138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260,481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248,077</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risk-weighted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210,906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210,866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198,462</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CET 1 capital (to risk-weighted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173,688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173,654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161,250</w:t>
            </w:r>
          </w:p>
        </w:tc>
        <w:tc>
          <w:tcPr>
            <w:tcW w:w="3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 1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144,347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144,282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178,999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repurchased stock in accordance with its stock repurchase programs during 2021 and 2020. In 2021, we repurchased 393,529 shares of common stock for a total of $9.2 million. In 2020, we repurchased 19,035 shares of common stock for a total of $293 thousand. See Part II, Item 5, “Market for Registrant’s Common Equity, Related Stockholder Matters, and Issuer Purchases of Equity Securities”, of this Report for further information.</w:t>
      </w:r>
    </w:p>
    <w:p>
      <w:pPr>
        <w:sectPr>
          <w:pgSz w:w="11900" w:h="16838" w:orient="portrait"/>
          <w:cols w:equalWidth="0" w:num="1">
            <w:col w:w="11240"/>
          </w:cols>
          <w:pgMar w:left="320" w:top="122" w:right="339" w:bottom="144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exposure to interest rate risk is managed by the Investment/Asset/Liability Committee, or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simulated change in net interest income over a 12-month horizon as of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198"/>
        </w:trPr>
        <w:tc>
          <w:tcPr>
            <w:tcW w:w="7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100" w:type="dxa"/>
            <w:vAlign w:val="bottom"/>
          </w:tcPr>
          <w:p>
            <w:pPr>
              <w:spacing w:after="0"/>
              <w:rPr>
                <w:sz w:val="17"/>
                <w:szCs w:val="17"/>
                <w:color w:val="auto"/>
              </w:rPr>
            </w:pPr>
          </w:p>
        </w:tc>
      </w:tr>
      <w:tr>
        <w:trPr>
          <w:trHeight w:val="241"/>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16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Net Interest Income</w:t>
            </w: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Net Interest Income</w:t>
            </w:r>
          </w:p>
        </w:tc>
      </w:tr>
      <w:tr>
        <w:trPr>
          <w:trHeight w:val="216"/>
        </w:trPr>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16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4.53</w:t>
            </w:r>
          </w:p>
        </w:tc>
        <w:tc>
          <w:tcPr>
            <w:tcW w:w="1660" w:type="dxa"/>
            <w:vAlign w:val="bottom"/>
            <w:gridSpan w:val="3"/>
          </w:tcPr>
          <w:p>
            <w:pPr>
              <w:jc w:val="right"/>
              <w:ind w:right="100"/>
              <w:spacing w:after="0"/>
              <w:rPr>
                <w:sz w:val="20"/>
                <w:szCs w:val="20"/>
                <w:color w:val="auto"/>
              </w:rPr>
            </w:pPr>
            <w:r>
              <w:rPr>
                <w:rFonts w:ascii="Arial" w:cs="Arial" w:eastAsia="Arial" w:hAnsi="Arial"/>
                <w:sz w:val="18"/>
                <w:szCs w:val="18"/>
                <w:color w:val="auto"/>
              </w:rPr>
              <w:t>2.90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(1.24)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financial statements and related notes included elsewhere in this Report have been prepared in accordance with GAAP. These require the measurement of financial position and operating results in terms of historical dollars, without considering changes in the relative value of money over time due to inflation or recession.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 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7, “Management’s Discussion and Analysis of Financial Condition and Results of Operations” of this Report under the heading “Interest Rate Sensitivity and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Tangible Book Value Per Common Share</w:t>
      </w:r>
      <w:r>
        <w:rPr>
          <w:rFonts w:ascii="Arial" w:cs="Arial" w:eastAsia="Arial" w:hAnsi="Arial"/>
          <w:sz w:val="17"/>
          <w:szCs w:val="17"/>
          <w:color w:val="auto"/>
        </w:rPr>
        <w:t>. Tangible book value per share is a non-GAAP measure generally used by investors, financial analysts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Tangible Common Equity to Tangible Assets</w:t>
      </w:r>
      <w:r>
        <w:rPr>
          <w:rFonts w:ascii="Arial" w:cs="Arial" w:eastAsia="Arial" w:hAnsi="Arial"/>
          <w:sz w:val="17"/>
          <w:szCs w:val="17"/>
          <w:color w:val="auto"/>
        </w:rPr>
        <w:t>. Tangible common equity to tangible assets is a non-GAAP measure generally used by investors,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As of December 31,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5"/>
              </w:rPr>
              <w:t>(Dollars 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370,048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306,182</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20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(25,403)</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(27,070)</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(27,389)</w:t>
            </w:r>
          </w:p>
        </w:tc>
      </w:tr>
      <w:tr>
        <w:trPr>
          <w:trHeight w:val="257"/>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Tangible common equity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$ 382,024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342,978</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278,793</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3,901,855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3,599,160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3,237,167</w:t>
            </w:r>
          </w:p>
        </w:tc>
      </w:tr>
      <w:tr>
        <w:trPr>
          <w:trHeight w:val="223"/>
        </w:trPr>
        <w:tc>
          <w:tcPr>
            <w:tcW w:w="722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200" w:type="dxa"/>
            <w:vAlign w:val="bottom"/>
          </w:tcPr>
          <w:p>
            <w:pPr>
              <w:spacing w:after="0"/>
              <w:rPr>
                <w:sz w:val="19"/>
                <w:szCs w:val="19"/>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8"/>
                <w:szCs w:val="18"/>
                <w:color w:val="auto"/>
              </w:rPr>
              <w:t>(25,403)</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(27,070)</w:t>
            </w:r>
          </w:p>
        </w:tc>
        <w:tc>
          <w:tcPr>
            <w:tcW w:w="1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(27,389)</w:t>
            </w:r>
          </w:p>
        </w:tc>
      </w:tr>
      <w:tr>
        <w:trPr>
          <w:trHeight w:val="256"/>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Tangible assets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3,876,452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3,572,090</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3,209,778</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7220" w:type="dxa"/>
            <w:vAlign w:val="bottom"/>
          </w:tcPr>
          <w:p>
            <w:pPr>
              <w:ind w:left="180"/>
              <w:spacing w:after="0"/>
              <w:rPr>
                <w:sz w:val="20"/>
                <w:szCs w:val="20"/>
                <w:color w:val="auto"/>
              </w:rPr>
            </w:pPr>
            <w:r>
              <w:rPr>
                <w:rFonts w:ascii="Arial" w:cs="Arial" w:eastAsia="Arial" w:hAnsi="Arial"/>
                <w:sz w:val="18"/>
                <w:szCs w:val="18"/>
                <w:color w:val="auto"/>
              </w:rPr>
              <w:t>Shares outstanding</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17,760,243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18,076,364</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18,036,115</w:t>
            </w:r>
          </w:p>
        </w:tc>
      </w:tr>
      <w:tr>
        <w:trPr>
          <w:trHeight w:val="21"/>
        </w:trPr>
        <w:tc>
          <w:tcPr>
            <w:tcW w:w="7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 to total assets</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r>
      <w:tr>
        <w:trPr>
          <w:trHeight w:val="216"/>
        </w:trPr>
        <w:tc>
          <w:tcPr>
            <w:tcW w:w="7220" w:type="dxa"/>
            <w:vAlign w:val="bottom"/>
          </w:tcPr>
          <w:p>
            <w:pPr>
              <w:ind w:left="180"/>
              <w:spacing w:after="0"/>
              <w:rPr>
                <w:sz w:val="20"/>
                <w:szCs w:val="20"/>
                <w:color w:val="auto"/>
              </w:rPr>
            </w:pPr>
            <w:r>
              <w:rPr>
                <w:rFonts w:ascii="Arial" w:cs="Arial" w:eastAsia="Arial" w:hAnsi="Arial"/>
                <w:sz w:val="18"/>
                <w:szCs w:val="18"/>
                <w:color w:val="auto"/>
              </w:rPr>
              <w:t>Tangible common equity to tangible assets</w:t>
            </w:r>
          </w:p>
        </w:tc>
        <w:tc>
          <w:tcPr>
            <w:tcW w:w="200" w:type="dxa"/>
            <w:vAlign w:val="bottom"/>
          </w:tcPr>
          <w:p>
            <w:pPr>
              <w:spacing w:after="0"/>
              <w:rPr>
                <w:sz w:val="18"/>
                <w:szCs w:val="18"/>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8"/>
                <w:szCs w:val="18"/>
                <w:color w:val="auto"/>
              </w:rPr>
              <w:t>9.85%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8.69%</w:t>
            </w:r>
          </w:p>
        </w:tc>
      </w:tr>
      <w:tr>
        <w:trPr>
          <w:trHeight w:val="216"/>
        </w:trPr>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Book value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w:t>
            </w:r>
          </w:p>
        </w:tc>
      </w:tr>
      <w:tr>
        <w:trPr>
          <w:trHeight w:val="230"/>
        </w:trPr>
        <w:tc>
          <w:tcPr>
            <w:tcW w:w="7220" w:type="dxa"/>
            <w:vAlign w:val="bottom"/>
          </w:tcPr>
          <w:p>
            <w:pPr>
              <w:ind w:left="180"/>
              <w:spacing w:after="0"/>
              <w:rPr>
                <w:sz w:val="20"/>
                <w:szCs w:val="20"/>
                <w:color w:val="auto"/>
              </w:rPr>
            </w:pPr>
            <w:r>
              <w:rPr>
                <w:rFonts w:ascii="Arial" w:cs="Arial" w:eastAsia="Arial" w:hAnsi="Arial"/>
                <w:sz w:val="18"/>
                <w:szCs w:val="18"/>
                <w:color w:val="auto"/>
              </w:rPr>
              <w:t>Tangible book value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18.97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Jumpstart Our Business Startups Act (the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2021.</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Basis of Presentation and Consolidation. </w:t>
      </w:r>
      <w:r>
        <w:rPr>
          <w:rFonts w:ascii="Arial" w:cs="Arial" w:eastAsia="Arial" w:hAnsi="Arial"/>
          <w:sz w:val="18"/>
          <w:szCs w:val="18"/>
          <w:color w:val="auto"/>
        </w:rPr>
        <w:t>The consolidated financial statements include the accounts of the Company and its wholly owned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significant intercompany balances and transactions have been eliminated in consolidation.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includes all cash on hand, balances due from other banks, and Federal funds sold, all of which have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within three months, as cash and cash equivalents.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Investment securities may be classified into trading, held-to-maturity, or available-for-sale portfolios. Securities that are held principally for</w:t>
      </w:r>
      <w:r>
        <w:rPr>
          <w:rFonts w:ascii="Arial" w:cs="Arial" w:eastAsia="Arial" w:hAnsi="Arial"/>
          <w:sz w:val="16"/>
          <w:szCs w:val="16"/>
          <w:i w:val="1"/>
          <w:iCs w:val="1"/>
          <w:color w:val="auto"/>
        </w:rPr>
        <w:t xml:space="preserve"> </w:t>
      </w:r>
      <w:r>
        <w:rPr>
          <w:rFonts w:ascii="Arial" w:cs="Arial" w:eastAsia="Arial" w:hAnsi="Arial"/>
          <w:sz w:val="16"/>
          <w:szCs w:val="16"/>
          <w:color w:val="auto"/>
        </w:rPr>
        <w:t>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Allowance for Loan Losses. </w:t>
      </w:r>
      <w:r>
        <w:rPr>
          <w:rFonts w:ascii="Arial" w:cs="Arial" w:eastAsia="Arial" w:hAnsi="Arial"/>
          <w:sz w:val="16"/>
          <w:szCs w:val="16"/>
          <w:color w:val="auto"/>
        </w:rPr>
        <w:t>The allowance for loan losses is established as losses are estimated to have occurred through a provision for loan losses</w:t>
      </w:r>
      <w:r>
        <w:rPr>
          <w:rFonts w:ascii="Arial" w:cs="Arial" w:eastAsia="Arial" w:hAnsi="Arial"/>
          <w:sz w:val="16"/>
          <w:szCs w:val="16"/>
          <w:i w:val="1"/>
          <w:iCs w:val="1"/>
          <w:color w:val="auto"/>
        </w:rPr>
        <w:t xml:space="preserve"> </w:t>
      </w:r>
      <w:r>
        <w:rPr>
          <w:rFonts w:ascii="Arial" w:cs="Arial" w:eastAsia="Arial" w:hAnsi="Arial"/>
          <w:sz w:val="16"/>
          <w:szCs w:val="16"/>
          <w:color w:val="auto"/>
        </w:rPr>
        <w:t>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comprised of residential mortgage loans. Loans that are originated for best efforts delivery are carried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Mortgage Servicing Rights Asset. </w:t>
      </w:r>
      <w:r>
        <w:rPr>
          <w:rFonts w:ascii="Arial" w:cs="Arial" w:eastAsia="Arial" w:hAnsi="Arial"/>
          <w:sz w:val="17"/>
          <w:szCs w:val="17"/>
          <w:color w:val="auto"/>
        </w:rPr>
        <w:t>When mortgage loans are sold with servicing retained, servicing rights are initially recorded at fair value with the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CFS. The fair values of servicing rights are subject to significant fluctuations as a result of changes in estimated and actual prepayment speeds and default rates and losses.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Goodwill resulting from business combinations is generally determined as the excess of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 Summary of Significant Accounting Policies, in the notes to the consolidated financial statements included elsewhere in this Report regarding the impact of new accounting pronouncements which we have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Interest Rate Sensitivity and Market Risk” of this Report for discussion on how the Company manages market risk.</w:t>
      </w:r>
    </w:p>
    <w:p>
      <w:pPr>
        <w:sectPr>
          <w:pgSz w:w="11900" w:h="16838" w:orient="portrait"/>
          <w:cols w:equalWidth="0" w:num="1">
            <w:col w:w="11240"/>
          </w:cols>
          <w:pgMar w:left="320" w:top="122" w:right="33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956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r>
      <w:tr>
        <w:trPr>
          <w:trHeight w:val="385"/>
        </w:trPr>
        <w:tc>
          <w:tcPr>
            <w:tcW w:w="105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40" w:type="dxa"/>
            <w:vAlign w:val="bottom"/>
            <w:gridSpan w:val="5"/>
          </w:tcPr>
          <w:p>
            <w:pPr>
              <w:jc w:val="center"/>
              <w:ind w:right="266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6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4"/>
          </w:tcPr>
          <w:p>
            <w:pPr>
              <w:jc w:val="center"/>
              <w:ind w:right="2960"/>
              <w:spacing w:after="0"/>
              <w:rPr>
                <w:sz w:val="20"/>
                <w:szCs w:val="20"/>
                <w:color w:val="auto"/>
              </w:rPr>
            </w:pPr>
            <w:r>
              <w:rPr>
                <w:rFonts w:ascii="Arial" w:cs="Arial" w:eastAsia="Arial" w:hAnsi="Arial"/>
                <w:sz w:val="18"/>
                <w:szCs w:val="18"/>
                <w:b w:val="1"/>
                <w:bCs w:val="1"/>
                <w:i w:val="1"/>
                <w:iCs w:val="1"/>
                <w:color w:val="auto"/>
                <w:w w:val="97"/>
              </w:rPr>
              <w:t>CONSOLIDATED FINANCIAL STATEMENTS</w:t>
            </w:r>
          </w:p>
        </w:tc>
        <w:tc>
          <w:tcPr>
            <w:tcW w:w="66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960" w:type="dxa"/>
            <w:vAlign w:val="bottom"/>
            <w:gridSpan w:val="4"/>
          </w:tcPr>
          <w:p>
            <w:pPr>
              <w:jc w:val="center"/>
              <w:ind w:right="2960"/>
              <w:spacing w:after="0"/>
              <w:rPr>
                <w:sz w:val="20"/>
                <w:szCs w:val="20"/>
                <w:color w:val="auto"/>
              </w:rPr>
            </w:pPr>
            <w:r>
              <w:rPr>
                <w:rFonts w:ascii="Arial" w:cs="Arial" w:eastAsia="Arial" w:hAnsi="Arial"/>
                <w:sz w:val="18"/>
                <w:szCs w:val="18"/>
                <w:b w:val="1"/>
                <w:bCs w:val="1"/>
                <w:i w:val="1"/>
                <w:iCs w:val="1"/>
                <w:color w:val="auto"/>
                <w:w w:val="87"/>
              </w:rPr>
              <w:t>Years Ended December 31, 2021 and 2020</w:t>
            </w:r>
          </w:p>
        </w:tc>
        <w:tc>
          <w:tcPr>
            <w:tcW w:w="6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2"/>
          </w:tcPr>
          <w:p>
            <w:pPr>
              <w:jc w:val="center"/>
              <w:ind w:right="3540"/>
              <w:spacing w:after="0"/>
              <w:rPr>
                <w:sz w:val="20"/>
                <w:szCs w:val="20"/>
                <w:color w:val="auto"/>
              </w:rPr>
            </w:pPr>
            <w:r>
              <w:rPr>
                <w:rFonts w:ascii="Arial" w:cs="Arial" w:eastAsia="Arial" w:hAnsi="Arial"/>
                <w:sz w:val="18"/>
                <w:szCs w:val="18"/>
                <w:b w:val="1"/>
                <w:bCs w:val="1"/>
                <w:i w:val="1"/>
                <w:iCs w:val="1"/>
                <w:color w:val="auto"/>
                <w:w w:val="95"/>
              </w:rPr>
              <w:t>TABLE OF CONTENTS</w:t>
            </w:r>
          </w:p>
        </w:tc>
        <w:tc>
          <w:tcPr>
            <w:tcW w:w="660" w:type="dxa"/>
            <w:vAlign w:val="bottom"/>
          </w:tcPr>
          <w:p>
            <w:pPr>
              <w:spacing w:after="0"/>
              <w:rPr>
                <w:sz w:val="24"/>
                <w:szCs w:val="24"/>
                <w:color w:val="auto"/>
              </w:rPr>
            </w:pPr>
          </w:p>
        </w:tc>
      </w:tr>
      <w:tr>
        <w:trPr>
          <w:trHeight w:val="439"/>
        </w:trPr>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10580" w:type="dxa"/>
            <w:vAlign w:val="bottom"/>
            <w:gridSpan w:val="9"/>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#410)</w:t>
            </w:r>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r>
      <w:tr>
        <w:trPr>
          <w:trHeight w:val="216"/>
        </w:trPr>
        <w:tc>
          <w:tcPr>
            <w:tcW w:w="4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7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16"/>
        </w:trPr>
        <w:tc>
          <w:tcPr>
            <w:tcW w:w="105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6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8020" w:type="dxa"/>
            <w:vAlign w:val="bottom"/>
            <w:tcBorders>
              <w:bottom w:val="single" w:sz="8" w:color="CCEEFF"/>
            </w:tcBorders>
            <w:gridSpan w:val="6"/>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66</w:t>
            </w:r>
          </w:p>
        </w:tc>
      </w:tr>
      <w:tr>
        <w:trPr>
          <w:trHeight w:val="176"/>
        </w:trPr>
        <w:tc>
          <w:tcPr>
            <w:tcW w:w="460" w:type="dxa"/>
            <w:vAlign w:val="bottom"/>
          </w:tcPr>
          <w:p>
            <w:pPr>
              <w:spacing w:after="0"/>
              <w:rPr>
                <w:sz w:val="15"/>
                <w:szCs w:val="15"/>
                <w:color w:val="auto"/>
              </w:rPr>
            </w:pPr>
          </w:p>
        </w:tc>
        <w:tc>
          <w:tcPr>
            <w:tcW w:w="10120" w:type="dxa"/>
            <w:vAlign w:val="bottom"/>
            <w:gridSpan w:val="8"/>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Comprehensive Income</w:t>
              </w:r>
            </w:hyperlink>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r>
      <w:tr>
        <w:trPr>
          <w:trHeight w:val="20"/>
        </w:trPr>
        <w:tc>
          <w:tcPr>
            <w:tcW w:w="4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10120" w:type="dxa"/>
            <w:vAlign w:val="bottom"/>
            <w:gridSpan w:val="8"/>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Consolidated Statements of Changes in Stockholders’ Equity</w:t>
              </w:r>
            </w:hyperlink>
          </w:p>
        </w:tc>
        <w:tc>
          <w:tcPr>
            <w:tcW w:w="6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69</w:t>
            </w:r>
          </w:p>
        </w:tc>
      </w:tr>
      <w:tr>
        <w:trPr>
          <w:trHeight w:val="176"/>
        </w:trPr>
        <w:tc>
          <w:tcPr>
            <w:tcW w:w="460" w:type="dxa"/>
            <w:vAlign w:val="bottom"/>
            <w:tcBorders>
              <w:top w:val="single" w:sz="8" w:color="CCEEFF"/>
            </w:tcBorders>
          </w:tcPr>
          <w:p>
            <w:pPr>
              <w:spacing w:after="0"/>
              <w:rPr>
                <w:sz w:val="15"/>
                <w:szCs w:val="15"/>
                <w:color w:val="auto"/>
              </w:rPr>
            </w:pPr>
          </w:p>
        </w:tc>
        <w:tc>
          <w:tcPr>
            <w:tcW w:w="440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w:t>
              </w:r>
            </w:hyperlink>
          </w:p>
        </w:tc>
        <w:tc>
          <w:tcPr>
            <w:tcW w:w="57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70</w:t>
            </w:r>
          </w:p>
        </w:tc>
      </w:tr>
      <w:tr>
        <w:trPr>
          <w:trHeight w:val="20"/>
        </w:trPr>
        <w:tc>
          <w:tcPr>
            <w:tcW w:w="46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Notes to Consolidated Financial Statements</w:t>
              </w:r>
            </w:hyperlink>
          </w:p>
        </w:tc>
        <w:tc>
          <w:tcPr>
            <w:tcW w:w="696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71</w:t>
            </w:r>
          </w:p>
        </w:tc>
      </w:tr>
      <w:tr>
        <w:trPr>
          <w:trHeight w:val="568"/>
        </w:trPr>
        <w:tc>
          <w:tcPr>
            <w:tcW w:w="10580" w:type="dxa"/>
            <w:vAlign w:val="bottom"/>
            <w:gridSpan w:val="9"/>
          </w:tcPr>
          <w:p>
            <w:pPr>
              <w:jc w:val="center"/>
              <w:ind w:left="597"/>
              <w:spacing w:after="0"/>
              <w:rPr>
                <w:sz w:val="20"/>
                <w:szCs w:val="20"/>
                <w:color w:val="auto"/>
              </w:rPr>
            </w:pPr>
            <w:r>
              <w:rPr>
                <w:rFonts w:ascii="Arial" w:cs="Arial" w:eastAsia="Arial" w:hAnsi="Arial"/>
                <w:sz w:val="14"/>
                <w:szCs w:val="14"/>
                <w:color w:val="auto"/>
                <w:w w:val="89"/>
              </w:rPr>
              <w:t>64</w:t>
            </w:r>
          </w:p>
        </w:tc>
        <w:tc>
          <w:tcPr>
            <w:tcW w:w="660" w:type="dxa"/>
            <w:vAlign w:val="bottom"/>
          </w:tcPr>
          <w:p>
            <w:pPr>
              <w:spacing w:after="0"/>
              <w:rPr>
                <w:sz w:val="24"/>
                <w:szCs w:val="24"/>
                <w:color w:val="auto"/>
              </w:rPr>
            </w:pPr>
          </w:p>
        </w:tc>
      </w:tr>
      <w:tr>
        <w:trPr>
          <w:trHeight w:val="46"/>
        </w:trPr>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57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Plains Financial,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Lubbock, Texas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South Plains Financial, Inc. and Subsidiaries (the “Company”) as of December 31, 2021 and 2020, and the related consolidated statements of comprehensive income, changes in stockholders’ equity, and cash flows for each of the three years in the period ended December 31, 2021, and the related notes to the consolidated financial statements (collectively referred to as the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South Plains Financial, Inc.’s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868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60" w:type="dxa"/>
            <w:vAlign w:val="bottom"/>
            <w:gridSpan w:val="2"/>
          </w:tcPr>
          <w:p>
            <w:pPr>
              <w:jc w:val="center"/>
              <w:ind w:left="1470"/>
              <w:spacing w:after="0"/>
              <w:rPr>
                <w:sz w:val="20"/>
                <w:szCs w:val="20"/>
                <w:color w:val="auto"/>
              </w:rPr>
            </w:pPr>
            <w:r>
              <w:rPr>
                <w:rFonts w:ascii="Arial" w:cs="Arial" w:eastAsia="Arial" w:hAnsi="Arial"/>
                <w:sz w:val="18"/>
                <w:szCs w:val="18"/>
                <w:b w:val="1"/>
                <w:bCs w:val="1"/>
                <w:i w:val="1"/>
                <w:iCs w:val="1"/>
                <w:color w:val="auto"/>
                <w:w w:val="98"/>
              </w:rPr>
              <w:t>SOUTH PLAINS FINANCIAL,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jc w:val="center"/>
              <w:ind w:right="1050"/>
              <w:spacing w:after="0"/>
              <w:rPr>
                <w:sz w:val="20"/>
                <w:szCs w:val="20"/>
                <w:color w:val="auto"/>
              </w:rPr>
            </w:pPr>
            <w:r>
              <w:rPr>
                <w:rFonts w:ascii="Arial" w:cs="Arial" w:eastAsia="Arial" w:hAnsi="Arial"/>
                <w:sz w:val="18"/>
                <w:szCs w:val="18"/>
                <w:b w:val="1"/>
                <w:bCs w:val="1"/>
                <w:i w:val="1"/>
                <w:iCs w:val="1"/>
                <w:color w:val="auto"/>
                <w:w w:val="95"/>
              </w:rPr>
              <w:t>CONSOLIDATED BALANCE SHEETS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80" w:type="dxa"/>
            <w:vAlign w:val="bottom"/>
          </w:tcPr>
          <w:p>
            <w:pPr>
              <w:jc w:val="center"/>
              <w:ind w:right="1030"/>
              <w:spacing w:after="0"/>
              <w:rPr>
                <w:sz w:val="20"/>
                <w:szCs w:val="20"/>
                <w:color w:val="auto"/>
              </w:rPr>
            </w:pPr>
            <w:r>
              <w:rPr>
                <w:rFonts w:ascii="Arial" w:cs="Arial" w:eastAsia="Arial" w:hAnsi="Arial"/>
                <w:sz w:val="18"/>
                <w:szCs w:val="18"/>
                <w:b w:val="1"/>
                <w:bCs w:val="1"/>
                <w:i w:val="1"/>
                <w:iCs w:val="1"/>
                <w:color w:val="auto"/>
                <w:w w:val="86"/>
              </w:rPr>
              <w:t>(Dollars 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76"/>
        </w:trPr>
        <w:tc>
          <w:tcPr>
            <w:tcW w:w="868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76,146</w:t>
            </w: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418,396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224,161</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486,821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803,087</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Loans held for sale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76,507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111,477</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2,221,583</w:t>
            </w:r>
          </w:p>
        </w:tc>
      </w:tr>
      <w:tr>
        <w:trPr>
          <w:trHeight w:val="223"/>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Allowance for loan losses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(42,098)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(45,553)</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Loans held for investment, net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2,395,479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57,699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60,331</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70,731</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19,508</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7,562</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Mortgage servicing rights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19,700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w:t>
            </w: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26,826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23,384</w:t>
            </w:r>
          </w:p>
        </w:tc>
      </w:tr>
      <w:tr>
        <w:trPr>
          <w:trHeight w:val="256"/>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3,599,160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Noninterest-bearing</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1,071,367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917,322</w:t>
            </w:r>
          </w:p>
        </w:tc>
      </w:tr>
      <w:tr>
        <w:trPr>
          <w:trHeight w:val="223"/>
        </w:trPr>
        <w:tc>
          <w:tcPr>
            <w:tcW w:w="868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2,269,855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2,057,029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ind w:left="340"/>
              <w:spacing w:after="0"/>
              <w:rPr>
                <w:sz w:val="20"/>
                <w:szCs w:val="20"/>
                <w:color w:val="auto"/>
              </w:rPr>
            </w:pPr>
            <w:r>
              <w:rPr>
                <w:rFonts w:ascii="Arial" w:cs="Arial" w:eastAsia="Arial" w:hAnsi="Arial"/>
                <w:sz w:val="18"/>
                <w:szCs w:val="18"/>
                <w:color w:val="auto"/>
              </w:rPr>
              <w:t>Total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3,341,222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2,974,351</w:t>
            </w:r>
          </w:p>
        </w:tc>
      </w:tr>
      <w:tr>
        <w:trPr>
          <w:trHeight w:val="216"/>
        </w:trPr>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26,550</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31,229</w:t>
            </w: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75,589</w:t>
            </w:r>
          </w:p>
        </w:tc>
      </w:tr>
      <w:tr>
        <w:trPr>
          <w:trHeight w:val="223"/>
        </w:trPr>
        <w:tc>
          <w:tcPr>
            <w:tcW w:w="8680" w:type="dxa"/>
            <w:vAlign w:val="bottom"/>
            <w:gridSpan w:val="4"/>
          </w:tcPr>
          <w:p>
            <w:pPr>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3,494,428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3,229,112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gridSpan w:val="4"/>
          </w:tcPr>
          <w:p>
            <w:pPr>
              <w:ind w:left="180"/>
              <w:spacing w:after="0" w:line="201" w:lineRule="exact"/>
              <w:rPr>
                <w:sz w:val="20"/>
                <w:szCs w:val="20"/>
                <w:color w:val="auto"/>
              </w:rPr>
            </w:pPr>
            <w:r>
              <w:rPr>
                <w:rFonts w:ascii="Arial" w:cs="Arial" w:eastAsia="Arial" w:hAnsi="Arial"/>
                <w:sz w:val="18"/>
                <w:szCs w:val="18"/>
                <w:color w:val="auto"/>
                <w:w w:val="93"/>
              </w:rPr>
              <w:t>Common stock, $1 par value, 30,000,000 shares authorized; 17,760,243 issued in 2021 and 18,076,364 issued 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020" w:type="dxa"/>
            <w:vAlign w:val="bottom"/>
            <w:gridSpan w:val="2"/>
          </w:tcPr>
          <w:p>
            <w:pPr>
              <w:ind w:left="340"/>
              <w:spacing w:after="0"/>
              <w:rPr>
                <w:sz w:val="20"/>
                <w:szCs w:val="20"/>
                <w:color w:val="auto"/>
              </w:rPr>
            </w:pPr>
            <w:r>
              <w:rPr>
                <w:rFonts w:ascii="Arial" w:cs="Arial" w:eastAsia="Arial" w:hAnsi="Arial"/>
                <w:sz w:val="18"/>
                <w:szCs w:val="18"/>
                <w:color w:val="auto"/>
              </w:rPr>
              <w:t>2020</w:t>
            </w:r>
          </w:p>
        </w:tc>
        <w:tc>
          <w:tcPr>
            <w:tcW w:w="268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17,760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18,076</w:t>
            </w:r>
          </w:p>
        </w:tc>
      </w:tr>
      <w:tr>
        <w:trPr>
          <w:trHeight w:val="216"/>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141,112</w:t>
            </w:r>
          </w:p>
        </w:tc>
      </w:tr>
      <w:tr>
        <w:trPr>
          <w:trHeight w:val="216"/>
        </w:trPr>
        <w:tc>
          <w:tcPr>
            <w:tcW w:w="8680" w:type="dxa"/>
            <w:vAlign w:val="bottom"/>
            <w:gridSpan w:val="4"/>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242,750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189,521</w:t>
            </w:r>
          </w:p>
        </w:tc>
      </w:tr>
      <w:tr>
        <w:trPr>
          <w:trHeight w:val="223"/>
        </w:trPr>
        <w:tc>
          <w:tcPr>
            <w:tcW w:w="86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21,339</w:t>
            </w:r>
          </w:p>
        </w:tc>
      </w:tr>
      <w:tr>
        <w:trPr>
          <w:trHeight w:val="223"/>
        </w:trPr>
        <w:tc>
          <w:tcPr>
            <w:tcW w:w="868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407,427</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370,048</w:t>
            </w:r>
          </w:p>
        </w:tc>
        <w:tc>
          <w:tcPr>
            <w:tcW w:w="100" w:type="dxa"/>
            <w:vAlign w:val="bottom"/>
            <w:tcBorders>
              <w:top w:val="single" w:sz="8" w:color="CCEEFF"/>
            </w:tcBorders>
          </w:tcPr>
          <w:p>
            <w:pPr>
              <w:spacing w:after="0"/>
              <w:rPr>
                <w:sz w:val="19"/>
                <w:szCs w:val="19"/>
                <w:color w:val="auto"/>
              </w:rPr>
            </w:pPr>
          </w:p>
        </w:tc>
      </w:tr>
      <w:tr>
        <w:trPr>
          <w:trHeight w:val="257"/>
        </w:trPr>
        <w:tc>
          <w:tcPr>
            <w:tcW w:w="868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3,901,855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3,599,160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121,733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3,546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135,036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138,231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132,942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23"/>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122,285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104,575</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(1,918)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25,570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123,682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96,715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7,032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8,129</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gain on sales of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63,531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23,521</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Fiduciary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3,185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2,306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97,469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101,603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56,633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89,220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75,392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14,658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13,572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3,088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3,017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4,253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w:t>
            </w: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17,818</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14,592</w:t>
            </w: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148,030</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141,715</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56,603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36,701</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11,250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7,481</w:t>
            </w:r>
          </w:p>
        </w:tc>
      </w:tr>
      <w:tr>
        <w:trPr>
          <w:trHeight w:val="25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COMPREHENSIVE INCOME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58,614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45,353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29,220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Change in net unrealized gain (loss) on securities available for sale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(15,479)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28,193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net gain (loss) on cash flow hedges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(2,318)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(7,637)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20,381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r>
      <w:tr>
        <w:trPr>
          <w:trHeight w:val="257"/>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65,734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CHANGES IN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Less: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2720" w:type="dxa"/>
            <w:vAlign w:val="bottom"/>
            <w:gridSpan w:val="6"/>
            <w:vMerge w:val="restart"/>
          </w:tcPr>
          <w:p>
            <w:pPr>
              <w:jc w:val="right"/>
              <w:ind w:right="8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ESOP</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40" w:type="dxa"/>
            <w:vAlign w:val="bottom"/>
          </w:tcPr>
          <w:p>
            <w:pPr>
              <w:spacing w:after="0"/>
              <w:rPr>
                <w:sz w:val="18"/>
                <w:szCs w:val="18"/>
                <w:color w:val="auto"/>
              </w:rPr>
            </w:pPr>
          </w:p>
        </w:tc>
        <w:tc>
          <w:tcPr>
            <w:tcW w:w="272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Owned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2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Earnings</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Income (Loss)</w:t>
            </w:r>
          </w:p>
        </w:tc>
        <w:tc>
          <w:tcPr>
            <w:tcW w:w="180" w:type="dxa"/>
            <w:vAlign w:val="bottom"/>
          </w:tcPr>
          <w:p>
            <w:pPr>
              <w:spacing w:after="0"/>
              <w:rPr>
                <w:sz w:val="19"/>
                <w:szCs w:val="19"/>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Balance at December 31,</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14,771,520</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119,834</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(58,195)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154,580</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Issuance of common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stock, net</w:t>
            </w:r>
          </w:p>
        </w:tc>
        <w:tc>
          <w:tcPr>
            <w:tcW w:w="1140" w:type="dxa"/>
            <w:vAlign w:val="bottom"/>
          </w:tcPr>
          <w:p>
            <w:pPr>
              <w:jc w:val="right"/>
              <w:spacing w:after="0"/>
              <w:rPr>
                <w:sz w:val="20"/>
                <w:szCs w:val="20"/>
                <w:color w:val="auto"/>
              </w:rPr>
            </w:pPr>
            <w:r>
              <w:rPr>
                <w:rFonts w:ascii="Arial" w:cs="Arial" w:eastAsia="Arial" w:hAnsi="Arial"/>
                <w:sz w:val="18"/>
                <w:szCs w:val="18"/>
                <w:color w:val="auto"/>
              </w:rPr>
              <w:t>3,207,000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48,185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29,220</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w w:val="97"/>
              </w:rPr>
              <w:t>Cash dividends declared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 $0.06 per share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(1,079)</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tax)</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3,201</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Terminated ESOP put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option</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58,195</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net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111,011 shares for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cashless exercise and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18,894 shares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liability</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 modified to</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Cumulative change in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Arial" w:cs="Arial" w:eastAsia="Arial" w:hAnsi="Arial"/>
                <w:sz w:val="18"/>
                <w:szCs w:val="18"/>
                <w:color w:val="auto"/>
              </w:rPr>
              <w:t>accounting principle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Balance at December 31,</w:t>
            </w: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18,036,115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146,696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306,182</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45,353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45,353</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dividends declared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 $0.14 per share</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income, (net of tax)</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20,381</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20,381</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net of</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69,855 shares for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cashless exercise and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17,762 shares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w w:val="95"/>
              </w:rPr>
              <w:t>Repurchases of common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stock</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(19,035)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w w:val="94"/>
              </w:rPr>
              <w:t>Balance at December 31,</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Arial" w:cs="Arial" w:eastAsia="Arial" w:hAnsi="Arial"/>
                <w:sz w:val="18"/>
                <w:szCs w:val="18"/>
                <w:color w:val="auto"/>
              </w:rPr>
              <w:t>2020</w:t>
            </w:r>
          </w:p>
        </w:tc>
        <w:tc>
          <w:tcPr>
            <w:tcW w:w="1140" w:type="dxa"/>
            <w:vAlign w:val="bottom"/>
          </w:tcPr>
          <w:p>
            <w:pPr>
              <w:jc w:val="right"/>
              <w:spacing w:after="0"/>
              <w:rPr>
                <w:sz w:val="20"/>
                <w:szCs w:val="20"/>
                <w:color w:val="auto"/>
              </w:rPr>
            </w:pPr>
            <w:r>
              <w:rPr>
                <w:rFonts w:ascii="Arial" w:cs="Arial" w:eastAsia="Arial" w:hAnsi="Arial"/>
                <w:sz w:val="18"/>
                <w:szCs w:val="18"/>
                <w:color w:val="auto"/>
              </w:rPr>
              <w:t>18,076,364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18,076</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141,112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189,521</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21,339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370,048</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w w:val="97"/>
              </w:rPr>
              <w:t>Cash dividends declared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 $0.30 per share</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(net of tax)</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(7,637)</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Exercise of employee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stock options, net of</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82,004 shares for</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w w:val="98"/>
              </w:rPr>
              <w:t>cashless exercise and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Arial" w:cs="Arial" w:eastAsia="Arial" w:hAnsi="Arial"/>
                <w:sz w:val="18"/>
                <w:szCs w:val="18"/>
                <w:color w:val="auto"/>
              </w:rPr>
              <w:t>net of 23,559 shares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ind w:left="180"/>
              <w:spacing w:after="0"/>
              <w:rPr>
                <w:sz w:val="20"/>
                <w:szCs w:val="20"/>
                <w:color w:val="auto"/>
              </w:rPr>
            </w:pPr>
            <w:r>
              <w:rPr>
                <w:rFonts w:ascii="Arial" w:cs="Arial" w:eastAsia="Arial" w:hAnsi="Arial"/>
                <w:sz w:val="18"/>
                <w:szCs w:val="18"/>
                <w:color w:val="auto"/>
              </w:rPr>
              <w:t>for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77,408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Repurchases of common</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(393,529)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(8,834)</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1,639</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Balance at December 31,</w:t>
            </w: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17,760,243</w:t>
            </w:r>
          </w:p>
        </w:tc>
        <w:tc>
          <w:tcPr>
            <w:tcW w:w="1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242,750</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407,427</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0" w:gutter="0" w:footer="0" w:header="0"/>
        </w:sectPr>
      </w:pPr>
    </w:p>
    <w:bookmarkStart w:id="72" w:name="page73"/>
    <w:bookmarkEnd w:id="72"/>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58,614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29,220</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6,575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amortization of premium on investment securities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Other gains, net</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(2,539)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sales of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(63,531)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(23,521)</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1,577,953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1,434,173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652,216</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originated for sale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(1,500,995)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(1,442,913)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(640,680)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Earnings on bank-owned life insurance</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(1,293)</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Change in valuation of mortgage servicing rights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(1,455)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2,834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color w:val="auto"/>
              </w:rPr>
              <w:t>Accrued interest receivable and other assets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(4,610)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66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96,271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5,627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30,484</w:t>
            </w: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(61,548)</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(279,727)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(489,032)</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94,514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52,495</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120,325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114,850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139,255</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(218,458)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(84,991)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paid for acquisition</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in business combinations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78,171</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Goodwill adjustment related to litigation settlement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premises and equipment,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(3,997)</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foreclosed assets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(159,841)</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(156,228)</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(213,493)</w:t>
            </w: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deposits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366,871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277,494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33,227</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(26,550)</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(10,615)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19,460</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issuance,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Proceeds from subordinated debt issuance, net</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49,070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notes payable and other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Payments to tax authorities for stock-based compensation</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made on notes payable and other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(7,530)</w:t>
            </w: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Cash dividends on common stock</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(2,528)</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to repurchase common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50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292,809</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95,119</w:t>
            </w:r>
          </w:p>
        </w:tc>
      </w:tr>
      <w:tr>
        <w:trPr>
          <w:trHeight w:val="216"/>
        </w:trPr>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186,514</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142,208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(87,890)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158,099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245,989</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486,821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300,307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158,099</w:t>
            </w: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28,125</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12,400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13,513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1,867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combination measurement period adjustment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Additions to mortgage servicing rights</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9,196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9,829</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SOUTH PLAINS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xml:space="preserve">(Dollar in </w:t>
      </w:r>
      <w:r>
        <w:rPr>
          <w:rFonts w:ascii="Arial" w:cs="Arial" w:eastAsia="Arial" w:hAnsi="Arial"/>
          <w:sz w:val="18"/>
          <w:szCs w:val="18"/>
          <w:i w:val="1"/>
          <w:iCs w:val="1"/>
          <w:color w:val="auto"/>
        </w:rPr>
        <w:t>thousand</w:t>
      </w:r>
      <w:r>
        <w:rPr>
          <w:rFonts w:ascii="Arial" w:cs="Arial" w:eastAsia="Arial" w:hAnsi="Arial"/>
          <w:sz w:val="18"/>
          <w:szCs w:val="18"/>
          <w:b w:val="1"/>
          <w:bCs w:val="1"/>
          <w:i w:val="1"/>
          <w:iCs w:val="1"/>
          <w:color w:val="auto"/>
        </w:rPr>
        <w:t>s except per share data)</w:t>
      </w:r>
    </w:p>
    <w:p>
      <w:pPr>
        <w:spacing w:after="0" w:line="2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Nature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South Plains Financial, Inc. (“SPFI”) is a Texas corporation and registered bank holding company that conducts its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through its subsidiaries from offices located throughout Texas and Eastern New Mexico. Principal activities include commercial and retail banking, along with insurance, investment, trust, and mortgage services. The following are subsidiaries of SPFI:</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Wholly-Owned, Consolidated Subsidiaries:</w:t>
            </w:r>
          </w:p>
        </w:tc>
        <w:tc>
          <w:tcPr>
            <w:tcW w:w="6460" w:type="dxa"/>
            <w:vAlign w:val="bottom"/>
          </w:tcPr>
          <w:p>
            <w:pPr>
              <w:spacing w:after="0"/>
              <w:rPr>
                <w:sz w:val="20"/>
                <w:szCs w:val="20"/>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Bank</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Windmark Insurance Agency, Inc.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Ruidoso Retail, Inc.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 Provence,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Brushy Creek, LLC</w:t>
            </w:r>
          </w:p>
        </w:tc>
        <w:tc>
          <w:tcPr>
            <w:tcW w:w="6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CBT Properties, LLC</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subsidiary</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Wholly-Owned, Equity Method Subsidiaries:</w:t>
            </w:r>
          </w:p>
        </w:tc>
        <w:tc>
          <w:tcPr>
            <w:tcW w:w="6460" w:type="dxa"/>
            <w:vAlign w:val="bottom"/>
            <w:shd w:val="clear" w:color="auto" w:fill="CCEEFF"/>
          </w:tcPr>
          <w:p>
            <w:pPr>
              <w:spacing w:after="0"/>
              <w:rPr>
                <w:sz w:val="18"/>
                <w:szCs w:val="18"/>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6460" w:type="dxa"/>
            <w:vAlign w:val="bottom"/>
          </w:tcPr>
          <w:p>
            <w:pPr>
              <w:ind w:left="840"/>
              <w:spacing w:after="0"/>
              <w:rPr>
                <w:sz w:val="20"/>
                <w:szCs w:val="20"/>
                <w:color w:val="auto"/>
              </w:rPr>
            </w:pPr>
            <w:r>
              <w:rPr>
                <w:rFonts w:ascii="Arial" w:cs="Arial" w:eastAsia="Arial" w:hAnsi="Arial"/>
                <w:sz w:val="18"/>
                <w:szCs w:val="18"/>
                <w:color w:val="auto"/>
              </w:rPr>
              <w:t>Non-bank subsidiaries</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Basis of Presentation and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consolidated financial statements (“CFS”) include the accounts of SPFI and its wholly-owned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(collectively referred to as the “Company”) identified above. All significant intercompany balances and transactions have been eliminated in consolidation.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Company’s CFS are prepared and presented in accordance with generally accepted accounting principles (“GAAP”) in the U.S. </w:t>
      </w:r>
      <w:r>
        <w:rPr>
          <w:rFonts w:ascii="Arial" w:cs="Arial" w:eastAsia="Arial" w:hAnsi="Arial"/>
          <w:sz w:val="18"/>
          <w:szCs w:val="18"/>
          <w:i w:val="1"/>
          <w:iCs w:val="1"/>
          <w:color w:val="auto"/>
        </w:rPr>
        <w:t>Financial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Standards Board (“FASB”) Accounting Standards Codification (“ASC”) </w:t>
      </w:r>
      <w:r>
        <w:rPr>
          <w:rFonts w:ascii="Arial" w:cs="Arial" w:eastAsia="Arial" w:hAnsi="Arial"/>
          <w:sz w:val="18"/>
          <w:szCs w:val="18"/>
          <w:color w:val="auto"/>
        </w:rPr>
        <w:t>constitutes U.S. GAAP for nongovernmental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subsequent events for potential recognition and/or disclosure through the date the CFS were available to be issued.</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Use of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 The preparation of financial statements in conformity with GAAP requires management to make estimates and assumptions that affect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stock-based compensation and fair values of financial instruments can also involve significant management estimates.</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Change in Capital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On March 11, 2019, the Company amended and restated its Certificate of Formation. The Amended and Restated Certificate</w:t>
      </w:r>
      <w:r>
        <w:rPr>
          <w:rFonts w:ascii="Arial" w:cs="Arial" w:eastAsia="Arial" w:hAnsi="Arial"/>
          <w:sz w:val="17"/>
          <w:szCs w:val="17"/>
          <w:i w:val="1"/>
          <w:iCs w:val="1"/>
          <w:color w:val="auto"/>
        </w:rPr>
        <w:t xml:space="preserve"> </w:t>
      </w:r>
      <w:r>
        <w:rPr>
          <w:rFonts w:ascii="Arial" w:cs="Arial" w:eastAsia="Arial" w:hAnsi="Arial"/>
          <w:sz w:val="17"/>
          <w:szCs w:val="17"/>
          <w:color w:val="auto"/>
        </w:rPr>
        <w:t>of Formation increased the number of authorized shares of common stock, par value $1.00 per share, from 1,000,000 to 30,000,000.</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CFS have been retroactively adjusted to reflect this stock split for all periods presented.</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Stock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consummated the underwritten initial public offering of its common stock in May 2019. In connection with the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public offering, the Company issued and sold 3,207,000 shares of its common stock, including 507,000 shares of common stock pursuant to the underwriters’ full exercise of their option to purchase additional shares at a public offering price of $17.50 per share, for aggregate gross proceeds of $56.1 million before deducting underwriting discounts and offering expenses, for aggregate net proceeds of $51.4 million.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Concentration of Credit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is primarily involved in real estate, commercial, agricultural, and consumer lending activities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Risks and Uncertainties</w:t>
      </w:r>
      <w:r>
        <w:rPr>
          <w:rFonts w:ascii="Arial" w:cs="Arial" w:eastAsia="Arial" w:hAnsi="Arial"/>
          <w:sz w:val="17"/>
          <w:szCs w:val="17"/>
          <w:i w:val="1"/>
          <w:iCs w:val="1"/>
          <w:color w:val="auto"/>
        </w:rPr>
        <w:t xml:space="preserve"> </w:t>
      </w:r>
      <w:r>
        <w:rPr>
          <w:rFonts w:ascii="Arial" w:cs="Arial" w:eastAsia="Arial" w:hAnsi="Arial"/>
          <w:sz w:val="17"/>
          <w:szCs w:val="17"/>
          <w:color w:val="auto"/>
        </w:rPr>
        <w:t>– The full extent of the operational and financial impact the ongoing COVID-19 pandemic may have on the Company is not</w:t>
      </w:r>
      <w:r>
        <w:rPr>
          <w:rFonts w:ascii="Arial" w:cs="Arial" w:eastAsia="Arial" w:hAnsi="Arial"/>
          <w:sz w:val="17"/>
          <w:szCs w:val="17"/>
          <w:i w:val="1"/>
          <w:iCs w:val="1"/>
          <w:color w:val="auto"/>
        </w:rPr>
        <w:t xml:space="preserve"> </w:t>
      </w:r>
      <w:r>
        <w:rPr>
          <w:rFonts w:ascii="Arial" w:cs="Arial" w:eastAsia="Arial" w:hAnsi="Arial"/>
          <w:sz w:val="17"/>
          <w:szCs w:val="17"/>
          <w:color w:val="auto"/>
        </w:rPr>
        <w:t>known and is dependent on its duration and spread, any related operational restrictions and the overall economy. The Company is unable to accurately predict how COVID-19 will affect the results of its operations because the virus’s severity and the duration of the pandemic are uncertain.</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 Comprehensive income is comprised of net income or loss and other comprehensive income or loss (“OCI”). Relevant examples</w:t>
      </w:r>
      <w:r>
        <w:rPr>
          <w:rFonts w:ascii="Arial" w:cs="Arial" w:eastAsia="Arial" w:hAnsi="Arial"/>
          <w:sz w:val="16"/>
          <w:szCs w:val="16"/>
          <w:i w:val="1"/>
          <w:iCs w:val="1"/>
          <w:color w:val="auto"/>
        </w:rPr>
        <w:t xml:space="preserve"> </w:t>
      </w:r>
      <w:r>
        <w:rPr>
          <w:rFonts w:ascii="Arial" w:cs="Arial" w:eastAsia="Arial" w:hAnsi="Arial"/>
          <w:sz w:val="16"/>
          <w:szCs w:val="16"/>
          <w:color w:val="auto"/>
        </w:rPr>
        <w:t>of OCI items are unrealized holding gains and losses on securities available for sale, subsequent decreases (if not an other-than-temporary impairment) or increases in the fair value of securities available for sale previously written down as impaired, and net gains and losses on cash flow hedges.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Cash and Cash Equivalents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includes all cash on hand, balances due from other banks, and federal funds sold, all of which have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 Investment securities may be classified into trading, held to maturity (“HTM”) or available for sale (“AFS”) portfolios. Securities that are held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Nonmarketable Equity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 Securities with limited marketability, such as stock in the Federal Home Loan Bank of Dallas (“FHLB”), are carried at</w:t>
      </w:r>
      <w:r>
        <w:rPr>
          <w:rFonts w:ascii="Arial" w:cs="Arial" w:eastAsia="Arial" w:hAnsi="Arial"/>
          <w:sz w:val="16"/>
          <w:szCs w:val="16"/>
          <w:i w:val="1"/>
          <w:iCs w:val="1"/>
          <w:color w:val="auto"/>
        </w:rPr>
        <w:t xml:space="preserve"> </w:t>
      </w:r>
      <w:r>
        <w:rPr>
          <w:rFonts w:ascii="Arial" w:cs="Arial" w:eastAsia="Arial" w:hAnsi="Arial"/>
          <w:sz w:val="16"/>
          <w:szCs w:val="16"/>
          <w:color w:val="auto"/>
        </w:rPr>
        <w:t>cost and are reported in other assets. The Company monitors its investment in FHLB stock for impairment through a review of recent financial results of the FHLB including reviewing the capital adequacy and liquidity position. The Company has not identified any indicators of impairment of FHLB stock.</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management has the intent and ability to hold for the foreseeable future or until maturity or payoff are reported at their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Allowance for Loan Losses</w:t>
      </w:r>
      <w:r>
        <w:rPr>
          <w:rFonts w:ascii="Arial" w:cs="Arial" w:eastAsia="Arial" w:hAnsi="Arial"/>
          <w:sz w:val="18"/>
          <w:szCs w:val="18"/>
          <w:i w:val="1"/>
          <w:iCs w:val="1"/>
          <w:color w:val="auto"/>
        </w:rPr>
        <w:t xml:space="preserve"> </w:t>
      </w:r>
      <w:r>
        <w:rPr>
          <w:rFonts w:ascii="Arial" w:cs="Arial" w:eastAsia="Arial" w:hAnsi="Arial"/>
          <w:sz w:val="18"/>
          <w:szCs w:val="18"/>
          <w:color w:val="auto"/>
        </w:rPr>
        <w:t>– The allowance for loan losses is established by management as an estimate to cover probable credit losses through a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loan losses is evaluated on a quarterly basis by management and is based upon management’s review of the collectability of the loans in the Company’s loan portfolio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Loans originated by the bank subsidiary are generally secured by specific items of collateral including real property, crops, livestock, consumer assets, and other business assets.</w:t>
      </w:r>
    </w:p>
    <w:p>
      <w:pPr>
        <w:sectPr>
          <w:pgSz w:w="11900" w:h="16838" w:orient="portrait"/>
          <w:cols w:equalWidth="0" w:num="1">
            <w:col w:w="11240"/>
          </w:cols>
          <w:pgMar w:left="320" w:top="122" w:right="339" w:bottom="1440" w:gutter="0" w:footer="0" w:header="0"/>
        </w:sect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 thousand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modify its loan agreement with a borrower. The modification will be considered a troubled debt restructuring (“TDR”)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Acquired Loans</w:t>
      </w:r>
      <w:r>
        <w:rPr>
          <w:rFonts w:ascii="Arial" w:cs="Arial" w:eastAsia="Arial" w:hAnsi="Arial"/>
          <w:sz w:val="18"/>
          <w:szCs w:val="18"/>
          <w:i w:val="1"/>
          <w:iCs w:val="1"/>
          <w:color w:val="auto"/>
        </w:rPr>
        <w:t xml:space="preserve"> </w:t>
      </w:r>
      <w:r>
        <w:rPr>
          <w:rFonts w:ascii="Arial" w:cs="Arial" w:eastAsia="Arial" w:hAnsi="Arial"/>
          <w:sz w:val="18"/>
          <w:szCs w:val="18"/>
          <w:color w:val="auto"/>
        </w:rPr>
        <w:t>– Loans that the Company acquires in connection with business combinations are recorded at fair value with no carryover of the acquired</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Financial Accounting Standards Board (“FASB”) Accounting Standards Codification (“ASC”)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Mortgage Servicing Rights</w:t>
      </w:r>
      <w:r>
        <w:rPr>
          <w:rFonts w:ascii="Arial" w:cs="Arial" w:eastAsia="Arial" w:hAnsi="Arial"/>
          <w:sz w:val="18"/>
          <w:szCs w:val="18"/>
          <w:i w:val="1"/>
          <w:iCs w:val="1"/>
          <w:color w:val="auto"/>
        </w:rPr>
        <w:t xml:space="preserve"> </w:t>
      </w:r>
      <w:r>
        <w:rPr>
          <w:rFonts w:ascii="Arial" w:cs="Arial" w:eastAsia="Arial" w:hAnsi="Arial"/>
          <w:sz w:val="18"/>
          <w:szCs w:val="18"/>
          <w:color w:val="auto"/>
        </w:rPr>
        <w:t>– When mortgage loans are sold with servicing retained, servicing rights are initially recorded at fair value with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CFS. The fair values of servicing rights are subject to significant fluctuations as a result of changes in estimated and actual prepayment speeds and default rates and losses.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Servicing fee income, which is reported in the CFS as other noninterest income, is recorded for fees earned for servicing loans. The fees are based on a contractual percentage of the outstanding principal or a fixed amount per loan and recorded when income is earned. Servicing income was $3.1 million, $781 thousand, and $325 thousand for the years ended December 31, 2021, 2020, and 2019,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Transfers of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Transfers of financial assets are accounted for as sales, when control over the assets has been relinquished.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Loans Held for Sale</w:t>
      </w:r>
      <w:r>
        <w:rPr>
          <w:rFonts w:ascii="Arial" w:cs="Arial" w:eastAsia="Arial" w:hAnsi="Arial"/>
          <w:sz w:val="18"/>
          <w:szCs w:val="18"/>
          <w:i w:val="1"/>
          <w:iCs w:val="1"/>
          <w:color w:val="auto"/>
        </w:rPr>
        <w:t xml:space="preserve"> </w:t>
      </w:r>
      <w:r>
        <w:rPr>
          <w:rFonts w:ascii="Arial" w:cs="Arial" w:eastAsia="Arial" w:hAnsi="Arial"/>
          <w:sz w:val="18"/>
          <w:szCs w:val="18"/>
          <w:color w:val="auto"/>
        </w:rPr>
        <w:t>– Loans held for sale are comprised of residential mortgage loans. Loans that are originated for best efforts delivery are carried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Premises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 Land is carried at cost. Buildings and equipment are carried at cost, less accumulated depreciation computed on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Buildings and improvements are depreciated on a useful life up to 40 years. Furniture and equipment are depreciated on a useful life between 3 to 10 years.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Foreclosed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Assets acquired through, or in lieu of, loan foreclosure or repossession are held for sale and are initially recorded at fair value less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Bank-Owned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 The bank subsidiary has purchased life insurance policies on various officers and also is the beneficiary. These policies are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by third party insurance companies. Assets are carried at the cash surrender value and changes in the cash surrender values are recognized in other noninterest income in the accompanying CFS.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Goodwill and Other Intangible Assets</w:t>
      </w:r>
      <w:r>
        <w:rPr>
          <w:rFonts w:ascii="Arial" w:cs="Arial" w:eastAsia="Arial" w:hAnsi="Arial"/>
          <w:sz w:val="17"/>
          <w:szCs w:val="17"/>
          <w:i w:val="1"/>
          <w:iCs w:val="1"/>
          <w:color w:val="auto"/>
        </w:rPr>
        <w:t xml:space="preserve"> </w:t>
      </w:r>
      <w:r>
        <w:rPr>
          <w:rFonts w:ascii="Arial" w:cs="Arial" w:eastAsia="Arial" w:hAnsi="Arial"/>
          <w:sz w:val="17"/>
          <w:szCs w:val="17"/>
          <w:color w:val="auto"/>
        </w:rPr>
        <w:t>– Goodwill resulting from business combinations is generally determined as the excess of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transferred over the fair value of the net assets acquired and liabilities assumed as of the acquisition date. Goodwill is not amortized, but is tested for impairment on October 31 each year or more frequently if events and circumstances exist that indicate that an impairment test should be performed. There was no impairment recorded for the years ended December 31, 2021, 2020 and 2019,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other intangible assets consist of customer relationship and employment agreement intangible assets and are amortized over their estimated useful lives of 5 years using the straight-line method.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u w:val="single" w:color="auto"/>
          <w:color w:val="auto"/>
        </w:rPr>
        <w:t>Mortgage Banking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 Commitments to fund mortgage loans (interest rate locks) to be sold into the secondary market, forward commitments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 At the inception of a derivative contract, the Company designates the derivative as one of three types based on the Company’s intentions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 The majority of the Company’s revenues come from interest income and other sources, including loans, securities and derivatives,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outside the scope of ASC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OREO. However, the recognition of these revenue streams did not change significantly upon the adoption of Topic 606. Substantially all of the Company’s revenue is generated from contracts with customers. Noninterest income streams within the scope of Topic 606 are discussed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 Card Services and Interchange Fees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Commissions and Fiduciary Trust Fees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certain trust customers have contracted with the Company to provide trust dissolution services, which are based on a unitary management fee treated as a single performance obligation. The Company’s performance obligation is satisfied over time 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 based measure of progress towards the Company’s complete satisfaction of the performance obligation at the end of each respective reporting period, with the unearned amount based on progress measure being included in deferred contract liability. This variable consideration and the amount of revenue recognized is evaluated quarterly until the Company has entirely fulfilled its performance obligation, at which time the remaining unearned revenue is recognized.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Gains/Losses on Sales of OREO</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2021 and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primary source of revenues for insurance activities are commissions from underwriting enterprises, based on a percentage of premiums paid by clients. These commissions and fees revenues are substantially recognized at a point in time on the effective date of the associated policies when control of the policy transfers to the client. Commissions are fixed at the contract effective date and generally are based on a percentage of premiums for insurance coverage. Commissions depend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Company sponsors an equity incentive plan under which options to acquire shares of the Company’s common stock may</w:t>
      </w:r>
      <w:r>
        <w:rPr>
          <w:rFonts w:ascii="Arial" w:cs="Arial" w:eastAsia="Arial" w:hAnsi="Arial"/>
          <w:sz w:val="16"/>
          <w:szCs w:val="16"/>
          <w:i w:val="1"/>
          <w:iCs w:val="1"/>
          <w:color w:val="auto"/>
        </w:rPr>
        <w:t xml:space="preserve"> </w:t>
      </w:r>
      <w:r>
        <w:rPr>
          <w:rFonts w:ascii="Arial" w:cs="Arial" w:eastAsia="Arial" w:hAnsi="Arial"/>
          <w:sz w:val="16"/>
          <w:szCs w:val="16"/>
          <w:color w:val="auto"/>
        </w:rPr>
        <w:t>be granted periodically to all full-time employees and directors of the Company or its affiliates at a specific exercise price. Shares are issued out of authorized and unissued common shares that have been reserved for issuance under such plan. Compensation cost is measured based on the estimated fair value of the award at the grant date and is recognized in earnings on a straight-line basis over the requisite service period. The fair value of stock options is estimated at the date of grant using a closed form option valuation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ectPr>
          <w:pgSz w:w="11900" w:h="16838" w:orient="portrait"/>
          <w:cols w:equalWidth="0" w:num="1">
            <w:col w:w="11240"/>
          </w:cols>
          <w:pgMar w:left="320" w:top="121" w:right="339" w:bottom="1440" w:gutter="0" w:footer="0" w:header="0"/>
        </w:sect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 Advertising costs are recognized when incurred. Advertising costs during 2021, 2020, and 2019 were approximately $2.6 million, $2.6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$2.2 million, respectively.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files a consolidated federal income tax return including the results of its wholly owned subsidiary, the Bank.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income taxes payable based on the amount it expects to owe. Income tax expense is the total of the current year income tax due or refundable and the change in deferred tax assets and liabilities (excluding deferred tax assets and liabilities related to components of other comprehensive income).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State of Texas franchise tax is an income tax for financial reporting purposes under GAAP and the Company and its subsidiaries are subject to the modified tax as a combined group.</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u w:val="single" w:color="auto"/>
          <w:color w:val="auto"/>
        </w:rPr>
        <w:t>Earnings per Share</w:t>
      </w:r>
      <w:r>
        <w:rPr>
          <w:rFonts w:ascii="Arial" w:cs="Arial" w:eastAsia="Arial" w:hAnsi="Arial"/>
          <w:sz w:val="16"/>
          <w:szCs w:val="16"/>
          <w:i w:val="1"/>
          <w:iCs w:val="1"/>
          <w:color w:val="auto"/>
        </w:rPr>
        <w:t xml:space="preserve"> </w:t>
      </w:r>
      <w:r>
        <w:rPr>
          <w:rFonts w:ascii="Arial" w:cs="Arial" w:eastAsia="Arial" w:hAnsi="Arial"/>
          <w:sz w:val="16"/>
          <w:szCs w:val="16"/>
          <w:color w:val="auto"/>
        </w:rPr>
        <w:t>– Basic earnings per share is net income divided by the weighted average number of common shares outstanding during the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ESOP shares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financial statements.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Fair Values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Fair values of financial instruments are estimated using relevant market information and other assumptions, as more</w:t>
      </w:r>
      <w:r>
        <w:rPr>
          <w:rFonts w:ascii="Arial" w:cs="Arial" w:eastAsia="Arial" w:hAnsi="Arial"/>
          <w:sz w:val="18"/>
          <w:szCs w:val="18"/>
          <w:i w:val="1"/>
          <w:iCs w:val="1"/>
          <w:color w:val="auto"/>
        </w:rPr>
        <w:t xml:space="preserve"> </w:t>
      </w:r>
      <w:r>
        <w:rPr>
          <w:rFonts w:ascii="Arial" w:cs="Arial" w:eastAsia="Arial" w:hAnsi="Arial"/>
          <w:sz w:val="18"/>
          <w:szCs w:val="18"/>
          <w:color w:val="auto"/>
        </w:rPr>
        <w:t>fully described in Note 21. Fair value estimates involve uncertainties and matters of significant judgment. Changes in assumptions or in market conditions could significantly affect estimates.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Trust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Custodial assets of City Bank’s trust department, other than cash on deposit at City Bank, if any, are not included in the accompanying CFS</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they are not assets of City Bank.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Segment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two reportable segments: banking and insurance. The accounting policies of the segments are the same as those</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 Certain amounts in the 2019 and 2020 CFS have been reclassified to conform to the 2021 presentation.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u w:val="single" w:color="auto"/>
          <w:color w:val="auto"/>
        </w:rPr>
        <w:t>Change in Accounting Principle</w:t>
      </w:r>
      <w:r>
        <w:rPr>
          <w:rFonts w:ascii="Arial" w:cs="Arial" w:eastAsia="Arial" w:hAnsi="Arial"/>
          <w:sz w:val="18"/>
          <w:szCs w:val="18"/>
          <w:i w:val="1"/>
          <w:iCs w:val="1"/>
          <w:color w:val="auto"/>
        </w:rPr>
        <w:t xml:space="preserve"> </w:t>
      </w:r>
      <w:r>
        <w:rPr>
          <w:rFonts w:ascii="Arial" w:cs="Arial" w:eastAsia="Arial" w:hAnsi="Arial"/>
          <w:sz w:val="18"/>
          <w:szCs w:val="18"/>
          <w:color w:val="auto"/>
        </w:rPr>
        <w:t>– Prior to January 1, 2019, the Company accounted for its cash-settled stock appreciation rights (“SARs”)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intrinsic value method, as permitted by ASC 718. As a result of the Company listing its common stock on the NASDAQ Global Select Market and becoming a reporting company with the SEC, the Company was then required to use the fair value method for those SARs. The Company’s calculation of the fair value of the SARs, as of January 1, 2019, exceeded the recorded intrinsic value by $1.6 million. ASC 250 states that an “entity shall report a change in accounting principle through retrospective application of the new accounting principle to all prior periods, unless it is impracticable to do so.” Retrospective application of the effects of a change from the intrinsic value to fair value would be impracticable due to the need to objectively determine assumptions that would be used in prior periods without using current information. Additionally, SEC Staff Accounting Bulletin Topic 14.B states that entities changing from nonpublic to public status are not permitted to apply the fair-value-based method retrospectively. Therefore, the Company recorded a cumulative-effect adjustment to retained earnings for $1.3 million ($1.6 million net of $340 thousand in tax) effective January 1, 2019 and applied this change prospectively.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-1376045</wp:posOffset>
            </wp:positionV>
            <wp:extent cx="5614670" cy="128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14670" cy="128270"/>
                    </a:xfrm>
                    <a:prstGeom prst="rect">
                      <a:avLst/>
                    </a:prstGeom>
                    <a:noFill/>
                  </pic:spPr>
                </pic:pic>
              </a:graphicData>
            </a:graphic>
          </wp:anchor>
        </w:drawing>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 xml:space="preserve"> Financial Accounting Standards Board (“FASB”) Accounting Standards Codification (“ASC”) </w:t>
      </w:r>
      <w:r>
        <w:rPr>
          <w:rFonts w:ascii="Arial" w:cs="Arial" w:eastAsia="Arial" w:hAnsi="Arial"/>
          <w:sz w:val="18"/>
          <w:szCs w:val="18"/>
          <w:color w:val="auto"/>
        </w:rPr>
        <w:t>constitutes GAAP for</w:t>
      </w:r>
      <w:r>
        <w:rPr>
          <w:rFonts w:ascii="Arial" w:cs="Arial" w:eastAsia="Arial" w:hAnsi="Arial"/>
          <w:sz w:val="18"/>
          <w:szCs w:val="18"/>
          <w:i w:val="1"/>
          <w:iCs w:val="1"/>
          <w:color w:val="auto"/>
        </w:rPr>
        <w:t xml:space="preserve"> </w:t>
      </w:r>
      <w:r>
        <w:rPr>
          <w:rFonts w:ascii="Arial" w:cs="Arial" w:eastAsia="Arial" w:hAnsi="Arial"/>
          <w:sz w:val="18"/>
          <w:szCs w:val="18"/>
          <w:color w:val="auto"/>
        </w:rPr>
        <w:t>nongovernmental entities. Updates to ASC are prescribed in Accounting Standards Updates (“ASU”), which are not authoritative until incorporated into ASC.</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ASU 2021-01, Reference Rate Reform (Topic 848)</w:t>
      </w:r>
      <w:r>
        <w:rPr>
          <w:rFonts w:ascii="Arial" w:cs="Arial" w:eastAsia="Arial" w:hAnsi="Arial"/>
          <w:sz w:val="16"/>
          <w:szCs w:val="16"/>
          <w:color w:val="auto"/>
        </w:rPr>
        <w:t>. In January 2021, the FASB issued ASU No. 2021-01 to clarify the scope of Topic 848 so that derivatives</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by the discounting transition are explicitly eligible for certain optional expedients and exceptions in Topic 848. This update additionally clarified that a receive-variable-rate, pay-variable-rate cross-currency interest rate swap may be considered an eligible hedging instrument in a net investment hedge if both legs of the swap do not have the same repricing intervals and dates as a result of reference rate reform. This update was effective upon issuance and generally can be applied through December 31, 2022. See the discussion regarding the adoption of ASU 2020-04 below.</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ASU 2020-04, Reference Rate Reform (Topic 848): Facilitation of the Effects of Reference Rate Reform on Financial Reporting. </w:t>
      </w:r>
      <w:r>
        <w:rPr>
          <w:rFonts w:ascii="Arial" w:cs="Arial" w:eastAsia="Arial" w:hAnsi="Arial"/>
          <w:sz w:val="17"/>
          <w:szCs w:val="17"/>
          <w:color w:val="auto"/>
        </w:rPr>
        <w:t>In March 2020,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ASU No. 2020-04 and it provides optional expedients and exceptions for accounting related to contracts, hedging relationships and other transactions affected by reference rate reform if certain criteria are met. This update applies only to contracts, hedging relationships and other transactions that reference LIBOR or another reference rate expected to be discontinued because of reference rate reform and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expedients and exceptions in this update are available to all entities starting March 12, 2020 through December 31, 2022. The adoption of ASU 2020-04 did not significantly impact the Company’s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ASU 2019-12, Income Taxes, Simplifying the Accounting for Income Taxes (Topic 740). </w:t>
      </w:r>
      <w:r>
        <w:rPr>
          <w:rFonts w:ascii="Arial" w:cs="Arial" w:eastAsia="Arial" w:hAnsi="Arial"/>
          <w:sz w:val="18"/>
          <w:szCs w:val="18"/>
          <w:color w:val="auto"/>
        </w:rPr>
        <w:t>In December 2019, the FASB issued ASU 2019-12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by removing certain exceptions to the approach for intraperiod tax allocation, the methodology for calculating income taxes in an interim period and the recognition for deferred tax liabilities for outside basis differences. This update is effective for fiscal years, and interim periods within those fiscal years, beginning after December 15, 2020. The adoption of ASU 2019-12 did not have a material effect on the Company’s financial statements.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ASU 2017-04, Intangibles - Goodwill and Other (Topic 350). </w:t>
      </w:r>
      <w:r>
        <w:rPr>
          <w:rFonts w:ascii="Arial" w:cs="Arial" w:eastAsia="Arial" w:hAnsi="Arial"/>
          <w:sz w:val="17"/>
          <w:szCs w:val="17"/>
          <w:color w:val="auto"/>
        </w:rPr>
        <w:t>This ASU simplifies the accounting for goodwill impairment for all entities by eliminating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Step 2 from the current provisions. Under the new guidance, an entity should perform the goodwill impairment test by comparing the fair value of a reporting unit with its carrying value and recognize an impairment charge for the amount by which the carrying amount exceeds the reporting unit’s fair value. The Company elected to early adopt ASU 2017-04 on January 1, 2020, and it did not have a material impact on its financial statements.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ASU 2016-13 Financial Instruments - Credit Losses (Topic 326). </w:t>
      </w:r>
      <w:r>
        <w:rPr>
          <w:rFonts w:ascii="Arial" w:cs="Arial" w:eastAsia="Arial" w:hAnsi="Arial"/>
          <w:sz w:val="17"/>
          <w:szCs w:val="17"/>
          <w:color w:val="auto"/>
        </w:rPr>
        <w:t>The FASB issued guidance to replace the incurred loss model with an expected loss</w:t>
      </w:r>
      <w:r>
        <w:rPr>
          <w:rFonts w:ascii="Arial" w:cs="Arial" w:eastAsia="Arial" w:hAnsi="Arial"/>
          <w:sz w:val="17"/>
          <w:szCs w:val="17"/>
          <w:i w:val="1"/>
          <w:iCs w:val="1"/>
          <w:color w:val="auto"/>
        </w:rPr>
        <w:t xml:space="preserve"> </w:t>
      </w:r>
      <w:r>
        <w:rPr>
          <w:rFonts w:ascii="Arial" w:cs="Arial" w:eastAsia="Arial" w:hAnsi="Arial"/>
          <w:sz w:val="17"/>
          <w:szCs w:val="17"/>
          <w:color w:val="auto"/>
        </w:rPr>
        <w:t>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and the CECL methodology for estimating the allowance for credit losses will have on its consolidated operating results and financial condition.</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The FASB amended existing guidance that requires that lessees recognize lease assets and lease liabilities on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 and disclose key information about leasing arrangements. These amendments are effective for the Company for annual periods beginning after December 15, 2021, and interim periods beginning after December 15, 2022. Based upon an analysis performed, the Company estimates that the right-of-use asset and corresponding lease liability at adoption will be between $9.8 million and $10.7 million.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securities, with gross unrealized gains and losses, at year-end follow: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5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265,143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275,672</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303,089</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106,320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26,046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26,936</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r>
      <w:tr>
        <w:trPr>
          <w:trHeight w:val="257"/>
        </w:trPr>
        <w:tc>
          <w:tcPr>
            <w:tcW w:w="36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712,895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724,504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5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5980" w:type="dxa"/>
            <w:vAlign w:val="bottom"/>
            <w:gridSpan w:val="2"/>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261,023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107,175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31,509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2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56"/>
        </w:trPr>
        <w:tc>
          <w:tcPr>
            <w:tcW w:w="360" w:type="dxa"/>
            <w:vAlign w:val="bottom"/>
            <w:tcBorders>
              <w:bottom w:val="single" w:sz="8" w:color="CCEEFF"/>
            </w:tcBorders>
            <w:shd w:val="clear" w:color="auto" w:fill="CCEEFF"/>
          </w:tcPr>
          <w:p>
            <w:pPr>
              <w:spacing w:after="0"/>
              <w:rPr>
                <w:sz w:val="22"/>
                <w:szCs w:val="22"/>
                <w:color w:val="auto"/>
              </w:rPr>
            </w:pPr>
          </w:p>
        </w:tc>
        <w:tc>
          <w:tcPr>
            <w:tcW w:w="5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775,999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amortized cost and fair value of securities at December 31, 2021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245,139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254,833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435,752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712,895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724,504</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year-end 2021 and 2020, there were no holdings of securities of any one issuer, other than the U.S. Government and its agencies, in an amount greater than 10% of stockholders’ equity.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approximately $474.5 million and $292.2 million at December 31, 2021 and 2020, respectively, were pledged to collateralize public deposits and for other purposes as required or permitted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segregates securities with unrealized losses at year-end, by the period they have been in a loss position: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175"/>
        </w:trPr>
        <w:tc>
          <w:tcPr>
            <w:tcW w:w="38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29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21,255</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21,255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56,398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121,162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4,114</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106,320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106,320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380" w:type="dxa"/>
            <w:vAlign w:val="bottom"/>
            <w:tcBorders>
              <w:bottom w:val="single" w:sz="8" w:color="CCEEFF"/>
              <w:right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185,597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380" w:type="dxa"/>
            <w:vAlign w:val="bottom"/>
            <w:tcBorders>
              <w:bottom w:val="single" w:sz="8" w:color="auto"/>
              <w:right w:val="single" w:sz="8" w:color="E0E0E0"/>
            </w:tcBorders>
            <w:shd w:val="clear" w:color="auto" w:fill="E0E0E0"/>
          </w:tcPr>
          <w:p>
            <w:pPr>
              <w:spacing w:after="0" w:line="176" w:lineRule="exact"/>
              <w:rPr>
                <w:sz w:val="20"/>
                <w:szCs w:val="20"/>
                <w:color w:val="auto"/>
              </w:rPr>
            </w:pPr>
            <w:r>
              <w:rPr>
                <w:rFonts w:ascii="Arial" w:cs="Arial" w:eastAsia="Arial" w:hAnsi="Arial"/>
                <w:sz w:val="18"/>
                <w:szCs w:val="18"/>
                <w:color w:val="auto"/>
                <w:w w:val="84"/>
                <w:shd w:val="clear" w:color="auto" w:fill="E0E0E0"/>
              </w:rPr>
              <w:t>2020</w:t>
            </w:r>
          </w:p>
        </w:tc>
        <w:tc>
          <w:tcPr>
            <w:tcW w:w="2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80" w:type="dxa"/>
            <w:vAlign w:val="bottom"/>
            <w:tcBorders>
              <w:right w:val="single" w:sz="8" w:color="E0E0E0"/>
            </w:tcBorders>
            <w:shd w:val="clear" w:color="auto" w:fill="E0E0E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93,482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93,482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02"/>
        </w:trPr>
        <w:tc>
          <w:tcPr>
            <w:tcW w:w="3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121" w:right="3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gridSpan w:val="2"/>
          </w:tcPr>
          <w:p>
            <w:pPr>
              <w:jc w:val="right"/>
              <w:ind w:right="2387"/>
              <w:spacing w:after="0"/>
              <w:rPr>
                <w:sz w:val="20"/>
                <w:szCs w:val="20"/>
                <w:color w:val="auto"/>
              </w:rPr>
            </w:pPr>
            <w:r>
              <w:rPr>
                <w:rFonts w:ascii="Arial" w:cs="Arial" w:eastAsia="Arial" w:hAnsi="Arial"/>
                <w:sz w:val="18"/>
                <w:szCs w:val="18"/>
                <w:color w:val="auto"/>
                <w:w w:val="88"/>
              </w:rPr>
              <w:t>Other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57"/>
        </w:trPr>
        <w:tc>
          <w:tcPr>
            <w:tcW w:w="3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203,683</w:t>
            </w: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203,683</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were 23 securities with an unrealized loss at December 31, 2021.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2021, management believes the impairments detailed in the table above are temporary and no impairment loss has been realized in the Company’s CFS.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i w:val="1"/>
                <w:iCs w:val="1"/>
                <w:color w:val="auto"/>
              </w:rPr>
              <w:t>3.  LOANS HELD FOR INVESTMENT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Loans are summarized by category at year-end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378,725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240,719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67,595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146,862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94,494</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2,437,577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2,221,583</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(42,098)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(45,553)</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2,395,479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2,176,030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u w:val="single" w:color="auto"/>
          <w:color w:val="auto"/>
        </w:rPr>
        <w:t>Commercial – General and Specialized</w:t>
      </w:r>
      <w:r>
        <w:rPr>
          <w:rFonts w:ascii="Arial" w:cs="Arial" w:eastAsia="Arial" w:hAnsi="Arial"/>
          <w:sz w:val="17"/>
          <w:szCs w:val="17"/>
          <w:i w:val="1"/>
          <w:iCs w:val="1"/>
          <w:color w:val="auto"/>
        </w:rPr>
        <w:t xml:space="preserve"> </w:t>
      </w:r>
      <w:r>
        <w:rPr>
          <w:rFonts w:ascii="Arial" w:cs="Arial" w:eastAsia="Arial" w:hAnsi="Arial"/>
          <w:sz w:val="17"/>
          <w:szCs w:val="17"/>
          <w:color w:val="auto"/>
        </w:rPr>
        <w:t>– Commercial loans are underwritten after evaluating and understanding the borrower’s ability to operate</w:t>
      </w:r>
      <w:r>
        <w:rPr>
          <w:rFonts w:ascii="Arial" w:cs="Arial" w:eastAsia="Arial" w:hAnsi="Arial"/>
          <w:sz w:val="17"/>
          <w:szCs w:val="17"/>
          <w:i w:val="1"/>
          <w:iCs w:val="1"/>
          <w:color w:val="auto"/>
        </w:rPr>
        <w:t xml:space="preserve"> </w:t>
      </w:r>
      <w:r>
        <w:rPr>
          <w:rFonts w:ascii="Arial" w:cs="Arial" w:eastAsia="Arial" w:hAnsi="Arial"/>
          <w:sz w:val="17"/>
          <w:szCs w:val="17"/>
          <w:color w:val="auto"/>
        </w:rPr>
        <w:t>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Commercial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 Commercial real estate loans are also subject to underwriting standards and processes similar to commercial loans. These loans</w:t>
      </w:r>
      <w:r>
        <w:rPr>
          <w:rFonts w:ascii="Arial" w:cs="Arial" w:eastAsia="Arial" w:hAnsi="Arial"/>
          <w:sz w:val="18"/>
          <w:szCs w:val="18"/>
          <w:i w:val="1"/>
          <w:iCs w:val="1"/>
          <w:color w:val="auto"/>
        </w:rPr>
        <w:t xml:space="preserve"> </w:t>
      </w:r>
      <w:r>
        <w:rPr>
          <w:rFonts w:ascii="Arial" w:cs="Arial" w:eastAsia="Arial" w:hAnsi="Arial"/>
          <w:sz w:val="18"/>
          <w:szCs w:val="18"/>
          <w:color w:val="auto"/>
        </w:rPr>
        <w:t>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Construction</w:t>
      </w:r>
      <w:r>
        <w:rPr>
          <w:rFonts w:ascii="Arial" w:cs="Arial" w:eastAsia="Arial" w:hAnsi="Arial"/>
          <w:sz w:val="17"/>
          <w:szCs w:val="17"/>
          <w:i w:val="1"/>
          <w:iCs w:val="1"/>
          <w:color w:val="auto"/>
        </w:rPr>
        <w:t xml:space="preserve"> </w:t>
      </w:r>
      <w:r>
        <w:rPr>
          <w:rFonts w:ascii="Arial" w:cs="Arial" w:eastAsia="Arial" w:hAnsi="Arial"/>
          <w:sz w:val="17"/>
          <w:szCs w:val="17"/>
          <w:color w:val="auto"/>
        </w:rPr>
        <w:t>– Loans for residential construction are for single-family properties to developers, builders, or end-users. These loans are underwritten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line="62"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u w:val="single" w:color="auto"/>
          <w:color w:val="auto"/>
        </w:rPr>
        <w:t>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Loans to consumers include 1-4 family residential loans, auto loans, and other loans for recreational vehicles or other purposes.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allowance for loan losses was $42.1 million at December 31, 2021, compared to $45.6 million at December 31, 2020. The ratio of allowance for loan losses to loans held for investment was 1.73% at December 31, 2021 and 2.05% at December 31, 2020. The decrease in the allowance for loan losses at December 31, 2021 compared to December 31, 2020 was primarily the result of the Company recording a negative provision for loan losses in the second quarter of 2021 of $2.0 million. The negative provision was primarily due to the general improvement in the economy, a decline in the amount of loans actively under a modification, and a decrease in nonperforming loans.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details the activity in the allowance for loan losses during 2021 and 2020. Allocation of a portion of the allowance to one category of loans does not preclude its availability to absorb losses in other categories.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4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4,363</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45,553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42,098</w:t>
            </w: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9,227</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24,197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(5,559)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45,553</w:t>
            </w: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4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24,197</w:t>
            </w: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investment in loans disaggregated based on the method of evaluating impairment: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r>
      <w:tr>
        <w:trPr>
          <w:trHeight w:val="198"/>
        </w:trPr>
        <w:tc>
          <w:tcPr>
            <w:tcW w:w="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5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378,725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4,363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454,946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7,881</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240,719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3,653</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146,862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1,746</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7,771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2,429,806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40,754</w:t>
            </w: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657,071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311,686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r>
      <w:tr>
        <w:trPr>
          <w:trHeight w:val="63"/>
        </w:trPr>
        <w:tc>
          <w:tcPr>
            <w:tcW w:w="360" w:type="dxa"/>
            <w:vAlign w:val="bottom"/>
            <w:shd w:val="clear" w:color="auto" w:fill="CCEEFF"/>
          </w:tcPr>
          <w:p>
            <w:pPr>
              <w:spacing w:after="0"/>
              <w:rPr>
                <w:sz w:val="5"/>
                <w:szCs w:val="5"/>
                <w:color w:val="auto"/>
              </w:rPr>
            </w:pPr>
          </w:p>
        </w:tc>
        <w:tc>
          <w:tcPr>
            <w:tcW w:w="56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121" w:right="339"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513,683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Consumer:</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358,193</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w:t>
            </w: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205,840</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67,595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Construction</w:t>
            </w:r>
          </w:p>
        </w:tc>
        <w:tc>
          <w:tcPr>
            <w:tcW w:w="2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94,494</w:t>
            </w: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13,021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2,208,562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44,458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340" w:type="dxa"/>
            <w:vAlign w:val="bottom"/>
            <w:vMerge w:val="restart"/>
          </w:tcPr>
          <w:p>
            <w:pPr>
              <w:jc w:val="right"/>
              <w:ind w:right="199"/>
              <w:spacing w:after="0"/>
              <w:rPr>
                <w:sz w:val="20"/>
                <w:szCs w:val="20"/>
                <w:color w:val="auto"/>
              </w:rPr>
            </w:pPr>
            <w:r>
              <w:rPr>
                <w:rFonts w:ascii="Arial" w:cs="Arial" w:eastAsia="Arial" w:hAnsi="Arial"/>
                <w:sz w:val="14"/>
                <w:szCs w:val="14"/>
                <w:color w:val="auto"/>
              </w:rPr>
              <w:t>81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8"/>
        </w:trPr>
        <w:tc>
          <w:tcPr>
            <w:tcW w:w="36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4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4660" w:type="dxa"/>
            <w:vAlign w:val="bottom"/>
            <w:gridSpan w:val="6"/>
          </w:tcPr>
          <w:p>
            <w:pPr>
              <w:spacing w:after="0"/>
              <w:rPr>
                <w:sz w:val="20"/>
                <w:szCs w:val="20"/>
                <w:color w:val="auto"/>
              </w:rPr>
            </w:pPr>
            <w:r>
              <w:rPr>
                <w:rFonts w:ascii="Arial" w:cs="Arial" w:eastAsia="Arial" w:hAnsi="Arial"/>
                <w:sz w:val="18"/>
                <w:szCs w:val="18"/>
                <w:color w:val="auto"/>
              </w:rPr>
              <w:t>Impaired loan information at year-end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-specialized</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4,852</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2020</w:t>
            </w:r>
          </w:p>
        </w:tc>
        <w:tc>
          <w:tcPr>
            <w:tcW w:w="6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2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6,273</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3,673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2,600</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6,273</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3,666</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specialized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Commercial general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4,626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r>
      <w:tr>
        <w:trPr>
          <w:trHeight w:val="216"/>
        </w:trPr>
        <w:tc>
          <w:tcPr>
            <w:tcW w:w="3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13,440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9,159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3,862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13,021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9,894</w:t>
            </w:r>
          </w:p>
        </w:tc>
      </w:tr>
      <w:tr>
        <w:trPr>
          <w:trHeight w:val="21"/>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impaired loans $250 thousand and greater were specifically evaluated for impairment. Interest income recognized using a cash-basis method on impaired loans for 2021, 2020 and 2019 was not significant. Additional funds committed to be advanced on impaired loans are not significant.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an age analysis on accruing past-due loans and nonaccrual loans at year-end: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Past Due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More Past 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33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370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57"/>
        </w:trPr>
        <w:tc>
          <w:tcPr>
            <w:tcW w:w="3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2020</w:t>
            </w:r>
          </w:p>
        </w:tc>
        <w:tc>
          <w:tcPr>
            <w:tcW w:w="3340" w:type="dxa"/>
            <w:vAlign w:val="bottom"/>
            <w:tcBorders>
              <w:bottom w:val="single" w:sz="8" w:color="CCEEFF"/>
            </w:tcBorders>
            <w:shd w:val="clear" w:color="auto" w:fill="CCEEFF"/>
          </w:tcPr>
          <w:p>
            <w:pPr>
              <w:spacing w:after="0"/>
              <w:rPr>
                <w:sz w:val="17"/>
                <w:szCs w:val="17"/>
                <w:color w:val="auto"/>
              </w:rPr>
            </w:pPr>
          </w:p>
        </w:tc>
        <w:tc>
          <w:tcPr>
            <w:tcW w:w="3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3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914</w:t>
            </w: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6,311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6,560</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13,718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20" w:type="dxa"/>
            <w:vAlign w:val="bottom"/>
            <w:vMerge w:val="restart"/>
          </w:tcPr>
          <w:p>
            <w:pPr>
              <w:jc w:val="right"/>
              <w:ind w:right="1536"/>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our on-going monitoring of the credit quality of our loan portfolio.</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pacing w:after="0" w:line="19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internal classifications of loans at year-end: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4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41,592</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755,444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372,797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5,928</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378,725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1,676</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7,558</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460,024</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8,232</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387,690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239,869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240,719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67,822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68,113</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146,696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146,862</w:t>
            </w: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2,371,284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64,617</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2020</w:t>
            </w:r>
          </w:p>
        </w:tc>
        <w:tc>
          <w:tcPr>
            <w:tcW w:w="4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602,250</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61,094</w:t>
            </w:r>
          </w:p>
        </w:tc>
        <w:tc>
          <w:tcPr>
            <w:tcW w:w="920" w:type="dxa"/>
            <w:vAlign w:val="bottom"/>
            <w:tcBorders>
              <w:top w:val="single" w:sz="8" w:color="CCEEFF"/>
            </w:tcBorders>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663,344</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7,855</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311,686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510,543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7,766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518,309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352,930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7,385</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360,315</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1,539</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205,840</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67,216</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67,595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94,494</w:t>
            </w:r>
          </w:p>
        </w:tc>
      </w:tr>
      <w:tr>
        <w:trPr>
          <w:trHeight w:val="27"/>
        </w:trPr>
        <w:tc>
          <w:tcPr>
            <w:tcW w:w="3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2,135,565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86,018</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2,221,583</w:t>
            </w: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2"/>
        </w:trPr>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 4013 of the Coronavirus Aid, Relief, and Economic Security Act (the “CARES Act”), banks may elect to deem that loan modifications do not result in a classification as a TDR if they are (1) related to the COVID-19 pandemic; (2) executed on a loan that was not more than 30 days past due as of December 31, 2019; and (3) executed between March 1, 2020, and the earlier of (A) 60 days after the date of termination of the national emergency or</w:t>
      </w:r>
    </w:p>
    <w:p>
      <w:pPr>
        <w:spacing w:after="0" w:line="2" w:lineRule="exact"/>
        <w:rPr>
          <w:sz w:val="20"/>
          <w:szCs w:val="20"/>
          <w:color w:val="auto"/>
        </w:rPr>
      </w:pPr>
    </w:p>
    <w:p>
      <w:pPr>
        <w:jc w:val="both"/>
        <w:ind w:firstLine="8"/>
        <w:spacing w:after="0" w:line="255" w:lineRule="auto"/>
        <w:tabs>
          <w:tab w:leader="none" w:pos="2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December 31, 2020. Under section 540 of the Consolidated Appropriations Act, 2021 (the “Act”), section 4013 of the CARES Act was amended and the period for loan modifications was extended to the earlier of (1) January 1, 2022, or (2) 60 days after the date of termination of the national emergency. The Company elected to adopt the provisions of the CARES Act, as amended by the Act.</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other short-term modifications made on a good faith basis in response to the COVID-19 pandemic to borrowers who were current prior to any relief are not TDRs under ASC Subtopic 310-40 and the interagency statement released by the federal banking regulators on April 7, 2020 in response to the COVID-19 pandemic (the “Joint Interagency Regulatory Guidance”). This includes short-term (e.g., up to six months) modifications such as payment deferrals, fee waivers, extensions of repayment terms, or delays in payment that are insignificant. Borrowers considered current are those that are less than 30 days past due on their contractual payments at the time a modification program is implemented.</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response to the COVID-19 pandemic, the Company implemented a short-term deferral modification program that complies with ASC Subtopic 310-40 and the Joint Interagency Regulatory Guidance. As of December 31, 2021, the Company had no loans under an active modification that comply with ASC Subtopic 310-40 and the Joint Interagency Regulatory Guidance. As of December 31, 2020, the Company had an outstanding principal balance of modified loans of $3.0 million in loans that complied with ASC Subtopic 310-40 and the Joint Interagency Regulatory Guidance. These modifications included: $1.0 million in six months of interest-only payments, $300 thousand in 90 day commercial payment deferrals, and $1.7 million in consumer one to four month payment deferrals. The total of all of these short-term modifications represented 0.14% of outstanding loans held for investment at December 31, 2020.</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April 2020, the Company began offering additional COVID-19 related deferral and modification of principal and/or interest payments to selected borrowers on a case-by-case basis that were outside the scope of the short-term deferral modification program. These additional modifications comply with the provisions of section 4013 of the CARES Act and section 501 of the Act. As of December 31, 2021 the Company had 3 loans totaling approximately $15.9 million subject to these deferral and modification agreements, representing 0.65% of outstanding loans held for investment. As of December 31, 2020 the Company had 25 loans totaling approximately $61.0 million subject to these deferral and modification agreements, representing 2.75% of outstanding loans held for investment.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There were no TDRs during 2021, 2020, and 2019.</w:t>
            </w: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4.  FORECLOSED ASSETS</w:t>
            </w: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Foreclosed assets activity was as follows:</w:t>
            </w: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1,867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Sales, net</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7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Activity in the valuation allowance was as follows:</w:t>
            </w:r>
          </w:p>
        </w:tc>
        <w:tc>
          <w:tcPr>
            <w:tcW w:w="27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Ending balance</w:t>
            </w:r>
          </w:p>
        </w:tc>
        <w:tc>
          <w:tcPr>
            <w:tcW w:w="27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Net expenses related to foreclosed assets include:</w:t>
            </w:r>
          </w:p>
        </w:tc>
        <w:tc>
          <w:tcPr>
            <w:tcW w:w="2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62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 (gain) on sales</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Foreclosed assets expense, net</w:t>
            </w:r>
          </w:p>
        </w:tc>
        <w:tc>
          <w:tcPr>
            <w:tcW w:w="27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700" w:type="dxa"/>
            <w:vAlign w:val="bottom"/>
            <w:vMerge w:val="restart"/>
          </w:tcPr>
          <w:p>
            <w:pPr>
              <w:jc w:val="right"/>
              <w:ind w:right="1548"/>
              <w:spacing w:after="0"/>
              <w:rPr>
                <w:sz w:val="20"/>
                <w:szCs w:val="20"/>
                <w:color w:val="auto"/>
              </w:rPr>
            </w:pPr>
            <w:r>
              <w:rPr>
                <w:rFonts w:ascii="Arial" w:cs="Arial" w:eastAsia="Arial" w:hAnsi="Arial"/>
                <w:sz w:val="14"/>
                <w:szCs w:val="14"/>
                <w:color w:val="auto"/>
              </w:rPr>
              <w:t>84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6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84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PREMISES AND EQUIPMENT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3"/>
          </w:tcPr>
          <w:p>
            <w:pPr>
              <w:spacing w:after="0"/>
              <w:rPr>
                <w:sz w:val="20"/>
                <w:szCs w:val="20"/>
                <w:color w:val="auto"/>
              </w:rPr>
            </w:pPr>
            <w:r>
              <w:rPr>
                <w:rFonts w:ascii="Arial" w:cs="Arial" w:eastAsia="Arial" w:hAnsi="Arial"/>
                <w:sz w:val="18"/>
                <w:szCs w:val="18"/>
                <w:color w:val="auto"/>
              </w:rPr>
              <w:t>Detail of premises and equipment at year-end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65,840</w:t>
            </w: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46,443</w:t>
            </w: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124,991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(67,292)</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(62,806)</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60,331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3"/>
          </w:tcPr>
          <w:p>
            <w:pPr>
              <w:spacing w:after="0"/>
              <w:rPr>
                <w:sz w:val="20"/>
                <w:szCs w:val="20"/>
                <w:color w:val="auto"/>
              </w:rPr>
            </w:pPr>
            <w:r>
              <w:rPr>
                <w:rFonts w:ascii="Arial" w:cs="Arial" w:eastAsia="Arial" w:hAnsi="Arial"/>
                <w:sz w:val="18"/>
                <w:szCs w:val="18"/>
                <w:color w:val="auto"/>
              </w:rPr>
              <w:t>Depreciation expense was approximately $4.8 million in 2021, $4.8 million in 2020, and $4.9 million in 2019.</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84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GOODWILL AND INTANGIBLES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which consist of CDI, customer lists, and employment agreements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Measurement period acquisition adjustment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Ending goodwill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19,508</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18,757</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 intangibles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(2,469)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2,279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5,895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8,632</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other intangibles for the years ended December 31, 2021, December 31, 2020, and December 31, 2019 totaled $1.7 million, $1.7 million, and $356 thousand, respectively. The estimated amount of amortization expense for core deposit intangible and other intangible assets to be recognized over the next five years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CDI</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Intangible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2022</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2023</w:t>
            </w:r>
          </w:p>
        </w:tc>
        <w:tc>
          <w:tcPr>
            <w:tcW w:w="8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2024</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w:t>
            </w:r>
          </w:p>
        </w:tc>
      </w:tr>
      <w:tr>
        <w:trPr>
          <w:trHeight w:val="216"/>
        </w:trPr>
        <w:tc>
          <w:tcPr>
            <w:tcW w:w="7320" w:type="dxa"/>
            <w:vAlign w:val="bottom"/>
          </w:tcPr>
          <w:p>
            <w:pPr>
              <w:jc w:val="right"/>
              <w:ind w:right="6870"/>
              <w:spacing w:after="0"/>
              <w:rPr>
                <w:sz w:val="20"/>
                <w:szCs w:val="20"/>
                <w:color w:val="auto"/>
              </w:rPr>
            </w:pPr>
            <w:r>
              <w:rPr>
                <w:rFonts w:ascii="Arial" w:cs="Arial" w:eastAsia="Arial" w:hAnsi="Arial"/>
                <w:sz w:val="18"/>
                <w:szCs w:val="18"/>
                <w:color w:val="auto"/>
                <w:w w:val="84"/>
              </w:rPr>
              <w:t>2025</w:t>
            </w:r>
          </w:p>
        </w:tc>
        <w:tc>
          <w:tcPr>
            <w:tcW w:w="8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w:t>
            </w:r>
          </w:p>
        </w:tc>
      </w:tr>
      <w:tr>
        <w:trPr>
          <w:trHeight w:val="216"/>
        </w:trPr>
        <w:tc>
          <w:tcPr>
            <w:tcW w:w="7320" w:type="dxa"/>
            <w:vAlign w:val="bottom"/>
            <w:shd w:val="clear" w:color="auto" w:fill="CCEEFF"/>
          </w:tcPr>
          <w:p>
            <w:pPr>
              <w:jc w:val="right"/>
              <w:ind w:right="6870"/>
              <w:spacing w:after="0"/>
              <w:rPr>
                <w:sz w:val="20"/>
                <w:szCs w:val="20"/>
                <w:color w:val="auto"/>
              </w:rPr>
            </w:pPr>
            <w:r>
              <w:rPr>
                <w:rFonts w:ascii="Arial" w:cs="Arial" w:eastAsia="Arial" w:hAnsi="Arial"/>
                <w:sz w:val="18"/>
                <w:szCs w:val="18"/>
                <w:color w:val="auto"/>
                <w:w w:val="84"/>
              </w:rPr>
              <w:t>2026</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MORTGAGE SERVICING RIGHTS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the changes in fair value of the Company’s mortgage servicing rights asset included in the Consolidated Balance Sheets, and other information related to the serviced portfolio: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Additions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9,196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Valuation adjustment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27"/>
        </w:trPr>
        <w:tc>
          <w:tcPr>
            <w:tcW w:w="6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Ending balance</w:t>
            </w:r>
          </w:p>
        </w:tc>
        <w:tc>
          <w:tcPr>
            <w:tcW w:w="10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19,700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9,049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r>
      <w:tr>
        <w:trPr>
          <w:trHeight w:val="20"/>
        </w:trPr>
        <w:tc>
          <w:tcPr>
            <w:tcW w:w="6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 others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1,953,095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1,203,687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247,326</w:t>
            </w:r>
          </w:p>
        </w:tc>
        <w:tc>
          <w:tcPr>
            <w:tcW w:w="100" w:type="dxa"/>
            <w:vAlign w:val="bottom"/>
            <w:shd w:val="clear" w:color="auto" w:fill="CCEEFF"/>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Mortgage servicing rights asset as a percentage of serviced mortgage loans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ectPr>
          <w:pgSz w:w="11900" w:h="16838" w:orient="portrait"/>
          <w:cols w:equalWidth="0" w:num="1">
            <w:col w:w="11240"/>
          </w:cols>
          <w:pgMar w:left="320" w:top="114" w:right="339" w:bottom="949"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949"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9980" w:type="dxa"/>
            <w:vAlign w:val="bottom"/>
            <w:gridSpan w:val="4"/>
          </w:tcPr>
          <w:p>
            <w:pPr>
              <w:spacing w:after="0"/>
              <w:rPr>
                <w:sz w:val="20"/>
                <w:szCs w:val="20"/>
                <w:color w:val="auto"/>
              </w:rPr>
            </w:pPr>
            <w:r>
              <w:rPr>
                <w:rFonts w:ascii="Arial" w:cs="Arial" w:eastAsia="Arial" w:hAnsi="Arial"/>
                <w:sz w:val="18"/>
                <w:szCs w:val="18"/>
                <w:color w:val="auto"/>
                <w:w w:val="99"/>
              </w:rPr>
              <w:t>The following table reflects the key assumptions used in measuring the fair value of the Company’s mortgage servicing rights: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4"/>
                <w:szCs w:val="24"/>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constant prepayment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18.16%</w:t>
            </w: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9.14%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9.72%</w:t>
            </w: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life in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r>
    </w:tbl>
    <w:p>
      <w:pPr>
        <w:spacing w:after="0" w:line="20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Time deposits that met or exceeded the FDIC Insurance limit of $250,000 were $163.4 million and $147.0 at December 31, 2021 and 2020,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The scheduled maturities of time deposits at December 31, 2021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6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7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258,584</w:t>
            </w:r>
          </w:p>
        </w:tc>
        <w:tc>
          <w:tcPr>
            <w:tcW w:w="8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2023</w:t>
            </w: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66,613</w:t>
            </w: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7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8,154</w:t>
            </w:r>
          </w:p>
        </w:tc>
        <w:tc>
          <w:tcPr>
            <w:tcW w:w="8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2025</w:t>
            </w:r>
          </w:p>
        </w:tc>
        <w:tc>
          <w:tcPr>
            <w:tcW w:w="7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7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2,910</w:t>
            </w:r>
          </w:p>
        </w:tc>
        <w:tc>
          <w:tcPr>
            <w:tcW w:w="8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205</w:t>
            </w:r>
          </w:p>
        </w:tc>
      </w:tr>
      <w:tr>
        <w:trPr>
          <w:trHeight w:val="257"/>
        </w:trPr>
        <w:tc>
          <w:tcPr>
            <w:tcW w:w="1660" w:type="dxa"/>
            <w:vAlign w:val="bottom"/>
            <w:shd w:val="clear" w:color="auto" w:fill="CCEEFF"/>
          </w:tcPr>
          <w:p>
            <w:pPr>
              <w:spacing w:after="0"/>
              <w:rPr>
                <w:sz w:val="22"/>
                <w:szCs w:val="22"/>
                <w:color w:val="auto"/>
              </w:rPr>
            </w:pPr>
          </w:p>
        </w:tc>
        <w:tc>
          <w:tcPr>
            <w:tcW w:w="7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339,738</w:t>
            </w:r>
          </w:p>
        </w:tc>
        <w:tc>
          <w:tcPr>
            <w:tcW w:w="80" w:type="dxa"/>
            <w:vAlign w:val="bottom"/>
            <w:shd w:val="clear" w:color="auto" w:fill="CCEEFF"/>
          </w:tcPr>
          <w:p>
            <w:pPr>
              <w:spacing w:after="0"/>
              <w:rPr>
                <w:sz w:val="22"/>
                <w:szCs w:val="22"/>
                <w:color w:val="auto"/>
              </w:rPr>
            </w:pPr>
          </w:p>
        </w:tc>
      </w:tr>
      <w:tr>
        <w:trPr>
          <w:trHeight w:val="425"/>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9.  BORROWING ARRANGEMENTS</w:t>
            </w: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92"/>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Short-term borrowings</w:t>
            </w:r>
          </w:p>
        </w:tc>
        <w:tc>
          <w:tcPr>
            <w:tcW w:w="7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The following table summarizes our short-term borrowings at year-end: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9"/>
        </w:trPr>
        <w:tc>
          <w:tcPr>
            <w:tcW w:w="16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26,550</w:t>
            </w:r>
          </w:p>
        </w:tc>
        <w:tc>
          <w:tcPr>
            <w:tcW w:w="10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FHLB advances - short-term</w:t>
            </w:r>
          </w:p>
        </w:tc>
        <w:tc>
          <w:tcPr>
            <w:tcW w:w="2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26,550</w:t>
            </w:r>
          </w:p>
        </w:tc>
        <w:tc>
          <w:tcPr>
            <w:tcW w:w="100" w:type="dxa"/>
            <w:vAlign w:val="bottom"/>
            <w:tcBorders>
              <w:bottom w:val="single" w:sz="8" w:color="CCEEFF"/>
            </w:tcBorders>
            <w:gridSpan w:val="2"/>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Federal funds purchased are short-term borrowings that generally have one-day 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$2.8 million at December 31, 2021. The available capacity of the line was $903.9 million and $512.5 million at December 31, 2021 and 2020, respectively.</w:t>
      </w:r>
    </w:p>
    <w:p>
      <w:pPr>
        <w:spacing w:after="0" w:line="1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$593.6 million and $700.8 million at December 31, 2021 and 2020, respectively. This line was not used at December 31, 2021 or 2020.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bank subsidiary also has uncollateralized lines of credit with multiple banks. The total amount of the lines was $160.0 million and $165.0 million as of December 31, 2021 and 2020, respectively. These lines were not used at December 31, 2021 or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payable and other borrowings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bank subsidiary has multiple advances from FHLB. The advances are collateralized through the line of credit with FHLB with interest payable monthly and principal due at maturity. The following table is a detail of the advances as of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Original</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Amount of</w:t>
            </w: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ind w:left="960"/>
              <w:spacing w:after="0"/>
              <w:rPr>
                <w:sz w:val="20"/>
                <w:szCs w:val="20"/>
                <w:color w:val="auto"/>
              </w:rPr>
            </w:pPr>
            <w:r>
              <w:rPr>
                <w:rFonts w:ascii="Arial" w:cs="Arial" w:eastAsia="Arial" w:hAnsi="Arial"/>
                <w:sz w:val="18"/>
                <w:szCs w:val="18"/>
                <w:b w:val="1"/>
                <w:bCs w:val="1"/>
                <w:color w:val="auto"/>
              </w:rPr>
              <w:t>Interest Rate</w:t>
            </w:r>
          </w:p>
        </w:tc>
      </w:tr>
      <w:tr>
        <w:trPr>
          <w:trHeight w:val="241"/>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Advance</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2021 Balance</w:t>
            </w: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2020 Balance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6"/>
              </w:rPr>
              <w:t>Maturity Date</w:t>
            </w:r>
          </w:p>
        </w:tc>
        <w:tc>
          <w:tcPr>
            <w:tcW w:w="2920" w:type="dxa"/>
            <w:vAlign w:val="bottom"/>
          </w:tcPr>
          <w:p>
            <w:pPr>
              <w:ind w:left="640"/>
              <w:spacing w:after="0"/>
              <w:rPr>
                <w:sz w:val="20"/>
                <w:szCs w:val="20"/>
                <w:color w:val="auto"/>
              </w:rPr>
            </w:pPr>
            <w:r>
              <w:rPr>
                <w:rFonts w:ascii="Arial" w:cs="Arial" w:eastAsia="Arial" w:hAnsi="Arial"/>
                <w:sz w:val="18"/>
                <w:szCs w:val="18"/>
                <w:b w:val="1"/>
                <w:bCs w:val="1"/>
                <w:color w:val="auto"/>
              </w:rPr>
              <w:t>at December 31, 2020</w:t>
            </w:r>
          </w:p>
        </w:tc>
      </w:tr>
      <w:tr>
        <w:trPr>
          <w:trHeight w:val="216"/>
        </w:trPr>
        <w:tc>
          <w:tcPr>
            <w:tcW w:w="2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1.50%</w:t>
            </w:r>
          </w:p>
        </w:tc>
      </w:tr>
      <w:tr>
        <w:trPr>
          <w:trHeight w:val="216"/>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2920" w:type="dxa"/>
            <w:vAlign w:val="bottom"/>
          </w:tcPr>
          <w:p>
            <w:pPr>
              <w:spacing w:after="0"/>
              <w:rPr>
                <w:sz w:val="20"/>
                <w:szCs w:val="20"/>
                <w:color w:val="auto"/>
              </w:rPr>
            </w:pPr>
            <w:r>
              <w:rPr>
                <w:rFonts w:ascii="Arial" w:cs="Arial" w:eastAsia="Arial" w:hAnsi="Arial"/>
                <w:sz w:val="18"/>
                <w:szCs w:val="18"/>
                <w:color w:val="auto"/>
              </w:rPr>
              <w:t>Variable; 0.19%</w:t>
            </w: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Variable; 0.19%</w:t>
            </w:r>
          </w:p>
        </w:tc>
      </w:tr>
      <w:tr>
        <w:trPr>
          <w:trHeight w:val="223"/>
        </w:trPr>
        <w:tc>
          <w:tcPr>
            <w:tcW w:w="29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2025</w:t>
            </w:r>
          </w:p>
        </w:tc>
        <w:tc>
          <w:tcPr>
            <w:tcW w:w="2920" w:type="dxa"/>
            <w:vAlign w:val="bottom"/>
          </w:tcPr>
          <w:p>
            <w:pPr>
              <w:spacing w:after="0"/>
              <w:rPr>
                <w:sz w:val="20"/>
                <w:szCs w:val="20"/>
                <w:color w:val="auto"/>
              </w:rPr>
            </w:pPr>
            <w:r>
              <w:rPr>
                <w:rFonts w:ascii="Arial" w:cs="Arial" w:eastAsia="Arial" w:hAnsi="Arial"/>
                <w:sz w:val="18"/>
                <w:szCs w:val="18"/>
                <w:color w:val="auto"/>
              </w:rPr>
              <w:t>Variable; 0.23%</w:t>
            </w:r>
          </w:p>
        </w:tc>
      </w:tr>
      <w:tr>
        <w:trPr>
          <w:trHeight w:val="256"/>
        </w:trPr>
        <w:tc>
          <w:tcPr>
            <w:tcW w:w="2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7"/>
              </w:rPr>
              <w:t>—</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2020, City Bank had three advances from the FHLB totaling $75.0 million. Advances are collateralized through the line of credit with FHLB with interest payable monthly and principal due at maturity. In March 2021, City Bank repaid two of the advances for a total of $50 million and then repaid the remaining advance of $25 million in April 2021. As of December 31, 2021, City Bank had no outstanding advances from the FHLB.</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2020, City Bank borrowed $75 million from FHLB, on a term of three months, for liquidity needs. The three month advance matured in July 2020 and was repaid.</w:t>
      </w:r>
    </w:p>
    <w:p>
      <w:pPr>
        <w:sectPr>
          <w:pgSz w:w="11900" w:h="16838" w:orient="portrait"/>
          <w:cols w:equalWidth="0" w:num="1">
            <w:col w:w="11240"/>
          </w:cols>
          <w:pgMar w:left="320" w:top="114" w:right="339" w:bottom="922"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922" w:gutter="0" w:footer="0" w:header="0"/>
          <w:type w:val="continuous"/>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Junior subordinated deferrable interest debentures and trust preferred securities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required by the Board of Governors of the Federal Reserve System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the debentures and TPS allow for interest to be deferred for up to five years consecutively. During this time, shareholder dividends are not allowed to be paid.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detail of the debentures and TPS at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Stated Maturity</w:t>
            </w:r>
          </w:p>
        </w:tc>
        <w:tc>
          <w:tcPr>
            <w:tcW w:w="146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Interest Rate of</w:t>
            </w:r>
          </w:p>
        </w:tc>
      </w:tr>
      <w:tr>
        <w:trPr>
          <w:trHeight w:val="206"/>
        </w:trPr>
        <w:tc>
          <w:tcPr>
            <w:tcW w:w="3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TPS and</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TPS and</w:t>
            </w:r>
          </w:p>
        </w:tc>
      </w:tr>
      <w:tr>
        <w:trPr>
          <w:trHeight w:val="251"/>
        </w:trPr>
        <w:tc>
          <w:tcPr>
            <w:tcW w:w="37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Issue Date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of TPS</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Debentures</w:t>
            </w:r>
          </w:p>
        </w:tc>
        <w:tc>
          <w:tcPr>
            <w:tcW w:w="1680" w:type="dxa"/>
            <w:vAlign w:val="bottom"/>
            <w:gridSpan w:val="2"/>
          </w:tcPr>
          <w:p>
            <w:pPr>
              <w:jc w:val="center"/>
              <w:ind w:right="100"/>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146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III</w:t>
            </w: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2004</w:t>
            </w: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10,310</w:t>
            </w:r>
          </w:p>
        </w:tc>
        <w:tc>
          <w:tcPr>
            <w:tcW w:w="200" w:type="dxa"/>
            <w:vAlign w:val="bottom"/>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3-mo. LIBOR +</w:t>
            </w:r>
          </w:p>
        </w:tc>
      </w:tr>
      <w:tr>
        <w:trPr>
          <w:trHeight w:val="230"/>
        </w:trPr>
        <w:tc>
          <w:tcPr>
            <w:tcW w:w="37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265bps; 2.77%</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5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20,000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20,619</w:t>
            </w:r>
          </w:p>
        </w:tc>
        <w:tc>
          <w:tcPr>
            <w:tcW w:w="16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2035</w:t>
            </w: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3-mo. LIBOR +</w:t>
            </w:r>
          </w:p>
        </w:tc>
      </w:tr>
      <w:tr>
        <w:trPr>
          <w:trHeight w:val="230"/>
        </w:trPr>
        <w:tc>
          <w:tcPr>
            <w:tcW w:w="3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139bps; 1.59%</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V</w:t>
            </w:r>
          </w:p>
        </w:tc>
        <w:tc>
          <w:tcPr>
            <w:tcW w:w="1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15,464</w:t>
            </w:r>
          </w:p>
        </w:tc>
        <w:tc>
          <w:tcPr>
            <w:tcW w:w="168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2037</w:t>
            </w: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3-mo. LIBOR +</w:t>
            </w:r>
          </w:p>
        </w:tc>
      </w:tr>
      <w:tr>
        <w:trPr>
          <w:trHeight w:val="237"/>
        </w:trPr>
        <w:tc>
          <w:tcPr>
            <w:tcW w:w="37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150bps; 1.70%</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redeemed five years from the issue date, the Company has no current plans to redeem; (2) Interest payable quarterly with principal due at maturity; (3) Rate as of last reset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Subordinated debt securities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December 2018, the Company issued $26.5 million in subordinated debt securities. $12.4 million of the securities have a maturity date of December 2028 and a weighted average fixed rate of 5.74% for the first five years. The remaining $14.1 million of securities have a maturity date of December 2030 and a weighted average fixed rate of 6.41% for the first seven years. After the fixed rate periods, all securities will float at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29, 2020, the Company issued $50.0 million in subordinated debt securities. Proceeds were reduced by approximately $926 thousand in debt issuance costs. The securities have a maturity date of September 2030 with a fixed rate of 4.50% for the first five years. After the expiration of the fixed rate period, the securities will reset quarterly at a variable rate equal to the then current three-month Secured Overnight Financing Rate, as published by the Federal Reserve Bank of New York, plus 438 basis points. These securities pay interest semi-annually, are unsecured, and may be called by the Company at any time after the remaining maturity is five years or less. Additionally, these securities qualify for Tier 2 capital treatment, subject to regulatory limitations.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total amount of subordinated debt securities outstanding was $76.5 million less approximately $697,000 of remaining debt issuance costs for a total balance of $75.8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EMPLOYEE BENEFITS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sponsors the South Plains Financial, Inc. Employee Stock Ownership Plan (“ESOP”). Effective May 9, 2019, the ESOP was restated and amended. The 401(k) related assets, which consisted of participants’ elective and rollover accounts, were transferred to the newly formed City Bank 401(k) Plan. The ESOP covers all employees who have completed one month of service.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ESOP may be leveraged to purchase shares of SPFI stock. Shares are released from collateral and allocated to active employees, in proportion to annual debt service. The Company recognizes any debt of the ESOP as notes payable and the shares pledged as collateral are deducted from the stockholders’ equity as unearned ESOP shares in the accompanying consolidated balance sheets. All ESOP shares were allocated as of December 31, 2021 and 2020.</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Through 2019, the Company made contributions to the ESOP as approved by the Board of Directors on an annual basis. These contributions, plus dividends received, were used to service any ESOP debt and repurchase allocated shares from participants and terminating vested participants. Company contributions to the ESOP in 2019 were $1.8 million. There were no Company contributions made to the ESOP in 2021 or 2020.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and 2020, the number of shares held by the ESOP were 2,795,762 and 2,876,419, respectively. During 2019, the Company did not repurchase any shares from ESOP participants prior to the Company’s shares being publicly traded.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accordance with applicable provisions of Code, the terms of the ESOP, for so long as SPFI was a privately held company, ESOP participants would have the right, for a specified period of time, to require SPFI to repurchase shares of its common stock that were distributed to such participants by the ESOP. This repurchase obligation terminated upon the consummation of our initial public offering and listing of our common stock on the NASDAQ Global Select Market in May 2019. However, because we were privately held at December 31, 2018, the value of ESOP- owned shares have been deducted from stockholders’ equity in our consolidated changes in stockholders’ equity statement as of December 31, 2018. For all periods following our initial public offering and continued listing of our common stock on the NASDAQ Global Select Market, the ESOP-owned shares are and will be included in stockholders’ equity. At December 31, 2018, the fair value of all ESOP-owned shares subject to this repurchase obligation totaled $58.2 million.</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provisions of the 401(k) Plan, participants may elect to contribute pre-tax salary deferrals and direct investment of those salary deferrals among investments offered in the 401(k) Plan. The Company may elect to contribute a safe harbor match equal to 100% of the first 5% of the participants’ compensation contributed. The expense for Company contributions to the 401(k) Plan was $1.8 million in 2021, $1.7 million in 2020, and $0 in 2019.</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Employee Health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has a self-insured welfare benefit plan which provides health and dental benefits. For officers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$4.5 million, $4.4 million, and $4.8 million for the years ending December 31, 2021, 2020, and 2019, respectively. In addition, benefit obligations have been accrued and include reported claims payable and claims incurred but not reported, for approximately $825 thousand and $823 thousand as of December 31, 2021 and 2020, respectively. The Company has limited its risk exposure for these benefits through a stop-loss policy with an independent third party insurer which reimburses benefits paid that exceed $100 thousand per participant per year.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Non-Qualified Plans</w:t>
      </w:r>
      <w:r>
        <w:rPr>
          <w:rFonts w:ascii="Arial" w:cs="Arial" w:eastAsia="Arial" w:hAnsi="Arial"/>
          <w:sz w:val="17"/>
          <w:szCs w:val="17"/>
          <w:i w:val="1"/>
          <w:iCs w:val="1"/>
          <w:color w:val="auto"/>
        </w:rPr>
        <w:t xml:space="preserve"> </w:t>
      </w:r>
      <w:r>
        <w:rPr>
          <w:rFonts w:ascii="Arial" w:cs="Arial" w:eastAsia="Arial" w:hAnsi="Arial"/>
          <w:sz w:val="17"/>
          <w:szCs w:val="17"/>
          <w:color w:val="auto"/>
        </w:rPr>
        <w:t>– Certain Company executives, as determined by the Company’s Board from time-to-time, were granted SARs based on grant date</w:t>
      </w:r>
      <w:r>
        <w:rPr>
          <w:rFonts w:ascii="Arial" w:cs="Arial" w:eastAsia="Arial" w:hAnsi="Arial"/>
          <w:sz w:val="17"/>
          <w:szCs w:val="17"/>
          <w:i w:val="1"/>
          <w:iCs w:val="1"/>
          <w:color w:val="auto"/>
        </w:rPr>
        <w:t xml:space="preserve"> </w:t>
      </w:r>
      <w:r>
        <w:rPr>
          <w:rFonts w:ascii="Arial" w:cs="Arial" w:eastAsia="Arial" w:hAnsi="Arial"/>
          <w:sz w:val="17"/>
          <w:szCs w:val="17"/>
          <w:color w:val="auto"/>
        </w:rPr>
        <w:t>values. The rights had varying vesting provisions. Exercise and payment options for the rights varied and were governed by the program they were issued under as well as the specific award agreement. See further discussion in Note 11 for conversion of SARs to stock options.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$12.5 million and $12.1 million was accrued at December 31, 2021 and 2020, respectively. This plan is nonqualified, noncontributory, and unfunded. The charge to income for this plan during 2021, 2020, and 2019 was approximately $1.0 million, $1.1 million and, $1.1 million,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Incentive Plan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was 3,383,373 at December 31, 2021. The maximum aggregate number of shares that may be issued under the Plan may be increased annually by up to 3% of the total issued and outstanding common shares of the Company at the beginning of each fiscal year.</w:t>
      </w:r>
    </w:p>
    <w:p>
      <w:pPr>
        <w:spacing w:after="0" w:line="18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Plan during the year ended December 31, 2021 is presented in the table below:</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Weighted-Average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3500" w:type="dxa"/>
            <w:vAlign w:val="bottom"/>
            <w:gridSpan w:val="11"/>
          </w:tcPr>
          <w:p>
            <w:pPr>
              <w:spacing w:after="0"/>
              <w:rPr>
                <w:sz w:val="20"/>
                <w:szCs w:val="20"/>
                <w:color w:val="auto"/>
              </w:rPr>
            </w:pPr>
            <w:r>
              <w:rPr>
                <w:rFonts w:ascii="Arial" w:cs="Arial" w:eastAsia="Arial" w:hAnsi="Arial"/>
                <w:sz w:val="18"/>
                <w:szCs w:val="18"/>
                <w:b w:val="1"/>
                <w:bCs w:val="1"/>
                <w:color w:val="auto"/>
                <w:w w:val="95"/>
              </w:rPr>
              <w:t>Weighted-Average  Remaining Contractual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940" w:type="dxa"/>
            <w:vAlign w:val="bottom"/>
            <w:gridSpan w:val="6"/>
          </w:tcPr>
          <w:p>
            <w:pPr>
              <w:ind w:left="140"/>
              <w:spacing w:after="0"/>
              <w:rPr>
                <w:sz w:val="20"/>
                <w:szCs w:val="20"/>
                <w:color w:val="auto"/>
              </w:rPr>
            </w:pPr>
            <w:r>
              <w:rPr>
                <w:rFonts w:ascii="Arial" w:cs="Arial" w:eastAsia="Arial" w:hAnsi="Arial"/>
                <w:sz w:val="18"/>
                <w:szCs w:val="18"/>
                <w:b w:val="1"/>
                <w:bCs w:val="1"/>
                <w:color w:val="auto"/>
              </w:rPr>
              <w:t>Exercise Price</w:t>
            </w:r>
          </w:p>
        </w:tc>
        <w:tc>
          <w:tcPr>
            <w:tcW w:w="60" w:type="dxa"/>
            <w:vAlign w:val="bottom"/>
          </w:tcPr>
          <w:p>
            <w:pPr>
              <w:spacing w:after="0"/>
              <w:rPr>
                <w:sz w:val="20"/>
                <w:szCs w:val="20"/>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1"/>
              </w:rPr>
              <w:t>Life in Years</w:t>
            </w:r>
          </w:p>
        </w:tc>
        <w:tc>
          <w:tcPr>
            <w:tcW w:w="14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5"/>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Year Ended December 31, 2021</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3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1,554,894</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20,274</w:t>
            </w: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214,452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(158,166)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(2,124)</w:t>
            </w: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(9,152)</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4"/>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1,602,028</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19,854</w:t>
            </w:r>
          </w:p>
        </w:tc>
      </w:tr>
      <w:tr>
        <w:trPr>
          <w:trHeight w:val="210"/>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1,038,018</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15,024</w:t>
            </w:r>
          </w:p>
        </w:tc>
      </w:tr>
      <w:tr>
        <w:trPr>
          <w:trHeight w:val="210"/>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1,038,018</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15,024</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6"/>
        </w:trPr>
        <w:tc>
          <w:tcPr>
            <w:tcW w:w="7220" w:type="dxa"/>
            <w:vAlign w:val="bottom"/>
            <w:gridSpan w:val="6"/>
          </w:tcPr>
          <w:p>
            <w:pPr>
              <w:spacing w:after="0"/>
              <w:rPr>
                <w:sz w:val="20"/>
                <w:szCs w:val="20"/>
                <w:color w:val="auto"/>
              </w:rPr>
            </w:pPr>
            <w:r>
              <w:rPr>
                <w:rFonts w:ascii="Arial" w:cs="Arial" w:eastAsia="Arial" w:hAnsi="Arial"/>
                <w:sz w:val="18"/>
                <w:szCs w:val="18"/>
                <w:color w:val="auto"/>
                <w:w w:val="96"/>
              </w:rPr>
              <w:t>A summary of assumptions used to calculate the fair values of the awards is presented below:</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4"/>
              </w:rPr>
              <w:t>2021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r>
      <w:tr>
        <w:trPr>
          <w:trHeight w:val="202"/>
        </w:trPr>
        <w:tc>
          <w:tcPr>
            <w:tcW w:w="5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88"/>
              </w:rPr>
              <w:t>41.20% to</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30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41.32%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27.46%  24.88% to 31.54%</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w w:val="90"/>
              </w:rPr>
              <w:t>0.70%</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6.1 to 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0.5 - 7.0</w:t>
            </w:r>
          </w:p>
        </w:tc>
        <w:tc>
          <w:tcPr>
            <w:tcW w:w="100" w:type="dxa"/>
            <w:vAlign w:val="bottom"/>
            <w:shd w:val="clear" w:color="auto" w:fill="CCEEFF"/>
          </w:tcPr>
          <w:p>
            <w:pPr>
              <w:spacing w:after="0"/>
              <w:rPr>
                <w:sz w:val="18"/>
                <w:szCs w:val="18"/>
                <w:color w:val="auto"/>
              </w:rPr>
            </w:pPr>
          </w:p>
        </w:tc>
      </w:tr>
      <w:tr>
        <w:trPr>
          <w:trHeight w:val="202"/>
        </w:trPr>
        <w:tc>
          <w:tcPr>
            <w:tcW w:w="5080" w:type="dxa"/>
            <w:vAlign w:val="bottom"/>
            <w:gridSpan w:val="2"/>
          </w:tcPr>
          <w:p>
            <w:pPr>
              <w:spacing w:after="0" w:line="201" w:lineRule="exact"/>
              <w:rPr>
                <w:sz w:val="20"/>
                <w:szCs w:val="20"/>
                <w:color w:val="auto"/>
              </w:rPr>
            </w:pPr>
            <w:r>
              <w:rPr>
                <w:rFonts w:ascii="Arial" w:cs="Arial" w:eastAsia="Arial" w:hAnsi="Arial"/>
                <w:sz w:val="18"/>
                <w:szCs w:val="18"/>
                <w:color w:val="auto"/>
              </w:rPr>
              <w:t>Risk-free interest rate</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4"/>
          </w:tcPr>
          <w:p>
            <w:pPr>
              <w:ind w:left="220"/>
              <w:spacing w:after="0" w:line="201" w:lineRule="exact"/>
              <w:rPr>
                <w:sz w:val="20"/>
                <w:szCs w:val="20"/>
                <w:color w:val="auto"/>
              </w:rPr>
            </w:pPr>
            <w:r>
              <w:rPr>
                <w:rFonts w:ascii="Arial" w:cs="Arial" w:eastAsia="Arial" w:hAnsi="Arial"/>
                <w:sz w:val="18"/>
                <w:szCs w:val="18"/>
                <w:color w:val="auto"/>
              </w:rPr>
              <w:t>0.52% to</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110"/>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w w:val="94"/>
              </w:rPr>
              <w:t>1.46% to 2.63%</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7.07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6"/>
              </w:rPr>
              <w:t>7.98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2021, December 31, 2020, and December 31, 2019 was $2.1 million, $1.1 million, and $1.4 million,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16, 2019, the Company approved the conversion of its previously issued SARs to stock options. There were 1,401,000 outstanding SARs that were converted effective as of May 6, 2019, which are included in the tables above. The fair value of the SARs was $11.5 million at the conversion date. During the modification of these awards from liabilities to equity, the Company accelerated the expiration date, between two and four years, on 750 thousand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w:t>
      </w:r>
    </w:p>
    <w:p>
      <w:pPr>
        <w:sectPr>
          <w:pgSz w:w="11900" w:h="16838" w:orient="portrait"/>
          <w:cols w:equalWidth="0" w:num="1">
            <w:col w:w="11240"/>
          </w:cols>
          <w:pgMar w:left="320" w:top="121"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38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4"/>
        </w:trPr>
        <w:tc>
          <w:tcPr>
            <w:tcW w:w="8400" w:type="dxa"/>
            <w:vAlign w:val="bottom"/>
            <w:gridSpan w:val="4"/>
          </w:tcPr>
          <w:p>
            <w:pPr>
              <w:spacing w:after="0"/>
              <w:rPr>
                <w:sz w:val="20"/>
                <w:szCs w:val="20"/>
                <w:color w:val="auto"/>
              </w:rPr>
            </w:pPr>
            <w:r>
              <w:rPr>
                <w:rFonts w:ascii="Arial" w:cs="Arial" w:eastAsia="Arial" w:hAnsi="Arial"/>
                <w:sz w:val="18"/>
                <w:szCs w:val="18"/>
                <w:i w:val="1"/>
                <w:iCs w:val="1"/>
                <w:color w:val="auto"/>
              </w:rPr>
              <w:t>Restricted Stock Awards and Units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3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400" w:type="dxa"/>
            <w:vAlign w:val="bottom"/>
            <w:gridSpan w:val="4"/>
          </w:tcPr>
          <w:p>
            <w:pPr>
              <w:spacing w:after="0"/>
              <w:rPr>
                <w:sz w:val="20"/>
                <w:szCs w:val="20"/>
                <w:color w:val="auto"/>
              </w:rPr>
            </w:pPr>
            <w:r>
              <w:rPr>
                <w:rFonts w:ascii="Arial" w:cs="Arial" w:eastAsia="Arial" w:hAnsi="Arial"/>
                <w:sz w:val="18"/>
                <w:szCs w:val="18"/>
                <w:color w:val="auto"/>
                <w:w w:val="97"/>
              </w:rPr>
              <w:t>A summary of activity in the Plan during the year ended December 31, 2021 is presented in the table below:</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1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5"/>
        </w:trPr>
        <w:tc>
          <w:tcPr>
            <w:tcW w:w="8400" w:type="dxa"/>
            <w:vAlign w:val="bottom"/>
            <w:gridSpan w:val="4"/>
          </w:tcPr>
          <w:p>
            <w:pPr>
              <w:spacing w:after="0" w:line="176" w:lineRule="exact"/>
              <w:rPr>
                <w:sz w:val="20"/>
                <w:szCs w:val="20"/>
                <w:color w:val="auto"/>
              </w:rPr>
            </w:pPr>
            <w:r>
              <w:rPr>
                <w:rFonts w:ascii="Arial" w:cs="Arial" w:eastAsia="Arial" w:hAnsi="Arial"/>
                <w:sz w:val="18"/>
                <w:szCs w:val="18"/>
                <w:color w:val="auto"/>
              </w:rPr>
              <w:t>Year Ended December 31, 2021</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19.47</w:t>
            </w:r>
          </w:p>
        </w:tc>
      </w:tr>
      <w:tr>
        <w:trPr>
          <w:trHeight w:val="216"/>
        </w:trPr>
        <w:tc>
          <w:tcPr>
            <w:tcW w:w="8400" w:type="dxa"/>
            <w:vAlign w:val="bottom"/>
            <w:gridSpan w:val="4"/>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6,370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84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r>
      <w:tr>
        <w:trPr>
          <w:trHeight w:val="223"/>
        </w:trPr>
        <w:tc>
          <w:tcPr>
            <w:tcW w:w="8400" w:type="dxa"/>
            <w:vAlign w:val="bottom"/>
            <w:gridSpan w:val="4"/>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(1,274)</w:t>
            </w: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r>
      <w:tr>
        <w:trPr>
          <w:trHeight w:val="216"/>
        </w:trPr>
        <w:tc>
          <w:tcPr>
            <w:tcW w:w="10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gridSpan w:val="4"/>
          </w:tcPr>
          <w:p>
            <w:pPr>
              <w:spacing w:after="0"/>
              <w:rPr>
                <w:sz w:val="20"/>
                <w:szCs w:val="20"/>
                <w:color w:val="auto"/>
              </w:rPr>
            </w:pPr>
            <w:r>
              <w:rPr>
                <w:rFonts w:ascii="Arial" w:cs="Arial" w:eastAsia="Arial" w:hAnsi="Arial"/>
                <w:sz w:val="18"/>
                <w:szCs w:val="18"/>
                <w:color w:val="auto"/>
              </w:rPr>
              <w:t>Outstanding at end of year</w:t>
            </w:r>
          </w:p>
        </w:tc>
        <w:tc>
          <w:tcPr>
            <w:tcW w:w="1120" w:type="dxa"/>
            <w:vAlign w:val="bottom"/>
          </w:tcPr>
          <w:p>
            <w:pPr>
              <w:jc w:val="right"/>
              <w:spacing w:after="0"/>
              <w:rPr>
                <w:sz w:val="20"/>
                <w:szCs w:val="20"/>
                <w:color w:val="auto"/>
              </w:rPr>
            </w:pPr>
            <w:r>
              <w:rPr>
                <w:rFonts w:ascii="Arial" w:cs="Arial" w:eastAsia="Arial" w:hAnsi="Arial"/>
                <w:sz w:val="18"/>
                <w:szCs w:val="18"/>
                <w:color w:val="auto"/>
              </w:rPr>
              <w:t>42,767</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19.35</w:t>
            </w:r>
          </w:p>
        </w:tc>
      </w:tr>
      <w:tr>
        <w:trPr>
          <w:trHeight w:val="21"/>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2021, December 31, 2020, and December 31, 2019 the Company recorded stock-based compensation expense related to the Plan of $1.6 million, $1.3 million and $853, thousand,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unrecognized compensation cost for the awards outstanding under the Plan at December 31, 2021 was $2.7 million and will be recognized over a weighted average remaining period of 1.47 years. The total fair value of restricted stock units vested during the years ended December 31, 2021, December 31, 2020, and December 31, 2019 was $489 thousand, $489 thousand, and $0,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12.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 components of income tax expense (benefit) was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w w:val="93"/>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6,923</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rates differ from the federal statutory rate of 21% applied to income before income taxes due to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1"/>
              </w:rPr>
              <w:t>Years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 times financial statement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Effect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Tax-exempt income</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bank owned life insurance</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14,507</w:t>
            </w: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11,250</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Year-end deferred tax assets and liabilities were due to the following:</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5,215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real estate owned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Nonaccrual loans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Mortgage servicing rights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0" w:gutter="0" w:footer="0" w:header="0"/>
        </w:sectPr>
      </w:pPr>
    </w:p>
    <w:bookmarkStart w:id="96" w:name="page97"/>
    <w:bookmarkEnd w:id="96"/>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RELATED-PARTY TRANSACTIONS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 and indirect loans to executive officers, directors, significant stockholders and their related affiliates as of December 31, 2021 and 2020 aggregated approximately $12.2 million and $8.9 million, respectively. There were no charge-offs related to these loans in 2021 or 2020 and advance and repayment activity was routine. Deposits from these related parties in the CFS were not significant.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OFF-BALANCE-SHEET ACTIVITIES, COMMITMENTS AND 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Financial instruments with off-balance-sheet risk</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is a party to financial instruments with off-balance-sheet risk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Financial instruments whose contract amounts represent credit risk outstanding at year-end follow:</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417,798</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12,418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10,481</w:t>
            </w:r>
          </w:p>
        </w:tc>
      </w:tr>
    </w:tbl>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Litigation</w:t>
      </w:r>
      <w:r>
        <w:rPr>
          <w:rFonts w:ascii="Arial" w:cs="Arial" w:eastAsia="Arial" w:hAnsi="Arial"/>
          <w:sz w:val="16"/>
          <w:szCs w:val="16"/>
          <w:i w:val="1"/>
          <w:iCs w:val="1"/>
          <w:color w:val="auto"/>
        </w:rPr>
        <w:t xml:space="preserve"> </w:t>
      </w:r>
      <w:r>
        <w:rPr>
          <w:rFonts w:ascii="Arial" w:cs="Arial" w:eastAsia="Arial" w:hAnsi="Arial"/>
          <w:sz w:val="16"/>
          <w:szCs w:val="16"/>
          <w:color w:val="auto"/>
        </w:rPr>
        <w:t>– In July 2020, a vendor claimed that City Bank had breached a contract by failing to timely pay amounts allegedly due and owing. City Bank</w:t>
      </w:r>
      <w:r>
        <w:rPr>
          <w:rFonts w:ascii="Arial" w:cs="Arial" w:eastAsia="Arial" w:hAnsi="Arial"/>
          <w:sz w:val="16"/>
          <w:szCs w:val="16"/>
          <w:i w:val="1"/>
          <w:iCs w:val="1"/>
          <w:color w:val="auto"/>
        </w:rPr>
        <w:t xml:space="preserve"> </w:t>
      </w:r>
      <w:r>
        <w:rPr>
          <w:rFonts w:ascii="Arial" w:cs="Arial" w:eastAsia="Arial" w:hAnsi="Arial"/>
          <w:sz w:val="16"/>
          <w:szCs w:val="16"/>
          <w:color w:val="auto"/>
        </w:rPr>
        <w:t>vigorously rejected any such non-payment contentions and filed suit against the vendor. With the lawsuit, City Bank sought, among other claims and relief, an injunction against the vendor. After an evidentiary hearing, the court entered a temporary injunction against the vendor expressly prohibiting it from, among other things, terminating the contract pending trial. Based upon discovery in the lawsuit, City Bank also filed a breach of contract claim against the vendor alleging that the vendor violated City Bank’s contractual exclusivity rights. The vendor has filed counterclaims, including for declaratory relief that the contracts should be declared unenforceable. In October 2021, the vendor filed a counterclaim alleging that City Bank’s attempted enforcement of its exclusivity rights contravenes the Texas Free Enterprise and Antitrust Act. The vendor purports to seek actual damages, to treble such actual damages, attorney's fees and expenses. The case remains ongoing and trial is set for October 2022. City Bank intends to continue a vigorous pursuit of its claims against the vendor. In addition, City Bank pursues a number of substantive factual and legal challenges to the vendor’s counterclaims and believes the counterclaims are without merit. At this time, the ultimate outcome is unknown and an estimated range of any loss cannot be made.</w:t>
      </w:r>
    </w:p>
    <w:p>
      <w:pPr>
        <w:spacing w:after="0" w:line="16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a defendant in legal actions arising from time to time in the normal course of business. Management believes that the ultimate liability, if any, arising from these matters will not materially affect the CFS, based on information known as of the date the CFS were available to be issued.</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u w:val="single" w:color="auto"/>
          <w:color w:val="auto"/>
        </w:rPr>
        <w:t>FHLB Letters of Credit</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has used FHLB letters of credit to pledge to certain public deposits. The balance of the FHLB letters of credit at</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was $199.0 million. These letters of credit expired in July 2021 and the Company began pledging securities to these public funds rather than renewing the letters of credit. As a result, there were no FHLB letters of credit outstanding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-433705</wp:posOffset>
            </wp:positionV>
            <wp:extent cx="604329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43295" cy="12890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Lease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leases certain office facilities and office equipment under operating leases. Rent expense for all operating leases</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approximately $2.5 million in 2021, $2.4 million in 2020, and $2.0 million in 2019. Occupancy expense was reduced by approximately $890 thousand, $856 thousand, and $891 thousand for rental income during 2021, 2020, and 2019, respectively. Future minimum lease payments due under non-cancelable operating leases as of December 31, 2021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CAPITAL AND REGULATORY MATTERS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2013, the Federal Reserve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The Company was in compliance with the fully phased in requirements at December 31, 2021.</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2021 and 2020, that the Company and its bank subsidiary met all capital adequacy requirements to which they are subject.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2021 that management believes have changed the bank subsidiary’s category.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5940" w:type="dxa"/>
            <w:vAlign w:val="bottom"/>
            <w:gridSpan w:val="8"/>
          </w:tcPr>
          <w:p>
            <w:pPr>
              <w:spacing w:after="0"/>
              <w:rPr>
                <w:sz w:val="20"/>
                <w:szCs w:val="20"/>
                <w:color w:val="auto"/>
              </w:rPr>
            </w:pPr>
            <w:r>
              <w:rPr>
                <w:rFonts w:ascii="Arial" w:cs="Arial" w:eastAsia="Arial" w:hAnsi="Arial"/>
                <w:sz w:val="18"/>
                <w:szCs w:val="18"/>
                <w:color w:val="auto"/>
                <w:w w:val="92"/>
              </w:rPr>
              <w:t>The Company and its bank subsidiary’s actual capital amounts and ratios follow:</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24"/>
                <w:szCs w:val="24"/>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1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1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10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202"/>
        </w:trPr>
        <w:tc>
          <w:tcPr>
            <w:tcW w:w="324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December 31, 2021:</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524,836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299,521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425,748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14.93%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299,465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285,205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242,469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242,424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228,164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Common Tier 1 (CET1):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199,681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199,644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185,383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413,322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154,592</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390,015</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154,503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191,859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403"/>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473,425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260,531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404,138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16.29%</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260,481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248,077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210,906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210,866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198,462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Common Tier 1 (CET1):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173,688</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173,654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161,250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10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366,639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144,347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372,947</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180" w:type="dxa"/>
            <w:vAlign w:val="bottom"/>
          </w:tcPr>
          <w:p>
            <w:pPr>
              <w:spacing w:after="0"/>
              <w:rPr>
                <w:sz w:val="20"/>
                <w:szCs w:val="20"/>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144,282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178,999</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DERIVATIVES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utilizes interest rate and cash flow swap agreements as part of its asset-liability management strategy to help manage its interest rate and cash flow risk position. The notional amount of the interest rate and cash flow swaps do not represent amounts exchanged by the parties. The amount exchanged is determined by reference to the notional amounts and the other terms of the individual interest rate and cash flow swap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changes in fair value hedges included in the Consolidated Statements of Comprehensive Income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 Contracts</w:t>
            </w:r>
          </w:p>
        </w:tc>
        <w:tc>
          <w:tcPr>
            <w:tcW w:w="120" w:type="dxa"/>
            <w:vAlign w:val="bottom"/>
          </w:tcPr>
          <w:p>
            <w:pPr>
              <w:spacing w:after="0"/>
              <w:rPr>
                <w:sz w:val="20"/>
                <w:szCs w:val="20"/>
                <w:color w:val="auto"/>
              </w:rPr>
            </w:pPr>
          </w:p>
        </w:tc>
        <w:tc>
          <w:tcPr>
            <w:tcW w:w="22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fair value on interest rate swaps hedging fixed rate</w:t>
            </w:r>
          </w:p>
        </w:tc>
        <w:tc>
          <w:tcPr>
            <w:tcW w:w="1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238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r>
      <w:tr>
        <w:trPr>
          <w:trHeight w:val="554"/>
        </w:trPr>
        <w:tc>
          <w:tcPr>
            <w:tcW w:w="4840" w:type="dxa"/>
            <w:vAlign w:val="bottom"/>
          </w:tcPr>
          <w:p>
            <w:pPr>
              <w:spacing w:after="0"/>
              <w:rPr>
                <w:sz w:val="24"/>
                <w:szCs w:val="24"/>
                <w:color w:val="auto"/>
              </w:rPr>
            </w:pPr>
          </w:p>
        </w:tc>
        <w:tc>
          <w:tcPr>
            <w:tcW w:w="2380" w:type="dxa"/>
            <w:vAlign w:val="bottom"/>
            <w:gridSpan w:val="2"/>
          </w:tcPr>
          <w:p>
            <w:pPr>
              <w:jc w:val="right"/>
              <w:ind w:right="1430"/>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8600" w:type="dxa"/>
            <w:vAlign w:val="bottom"/>
            <w:gridSpan w:val="10"/>
          </w:tcPr>
          <w:p>
            <w:pPr>
              <w:spacing w:after="0"/>
              <w:rPr>
                <w:sz w:val="20"/>
                <w:szCs w:val="20"/>
                <w:color w:val="auto"/>
              </w:rPr>
            </w:pPr>
            <w:r>
              <w:rPr>
                <w:rFonts w:ascii="Arial" w:cs="Arial" w:eastAsia="Arial" w:hAnsi="Arial"/>
                <w:sz w:val="18"/>
                <w:szCs w:val="18"/>
                <w:color w:val="auto"/>
                <w:w w:val="94"/>
              </w:rPr>
              <w:t>The following table reflects the fair value hedges included in the Consolidated Balance Sheets as of 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60"/>
              <w:spacing w:after="0" w:line="198" w:lineRule="exact"/>
              <w:rPr>
                <w:sz w:val="20"/>
                <w:szCs w:val="20"/>
                <w:color w:val="auto"/>
              </w:rPr>
            </w:pPr>
            <w:r>
              <w:rPr>
                <w:rFonts w:ascii="Arial" w:cs="Arial" w:eastAsia="Arial" w:hAnsi="Arial"/>
                <w:sz w:val="18"/>
                <w:szCs w:val="18"/>
                <w:b w:val="1"/>
                <w:bCs w:val="1"/>
                <w:color w:val="auto"/>
              </w:rPr>
              <w:t>Notional</w:t>
            </w:r>
          </w:p>
        </w:tc>
        <w:tc>
          <w:tcPr>
            <w:tcW w:w="180" w:type="dxa"/>
            <w:vAlign w:val="bottom"/>
          </w:tcPr>
          <w:p>
            <w:pPr>
              <w:spacing w:after="0"/>
              <w:rPr>
                <w:sz w:val="17"/>
                <w:szCs w:val="17"/>
                <w:color w:val="auto"/>
              </w:rPr>
            </w:pPr>
          </w:p>
        </w:tc>
        <w:tc>
          <w:tcPr>
            <w:tcW w:w="94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4"/>
              </w:rPr>
              <w:t>Notional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r>
      <w:tr>
        <w:trPr>
          <w:trHeight w:val="432"/>
        </w:trPr>
        <w:tc>
          <w:tcPr>
            <w:tcW w:w="7360" w:type="dxa"/>
            <w:vAlign w:val="bottom"/>
            <w:gridSpan w:val="7"/>
          </w:tcPr>
          <w:p>
            <w:pPr>
              <w:spacing w:after="0"/>
              <w:rPr>
                <w:sz w:val="20"/>
                <w:szCs w:val="20"/>
                <w:color w:val="auto"/>
              </w:rPr>
            </w:pPr>
            <w:r>
              <w:rPr>
                <w:rFonts w:ascii="Arial" w:cs="Arial" w:eastAsia="Arial" w:hAnsi="Arial"/>
                <w:sz w:val="18"/>
                <w:szCs w:val="18"/>
                <w:color w:val="auto"/>
                <w:w w:val="98"/>
              </w:rPr>
              <w:t>The following table reflects the cash flow hedges included in the consolidated balance sheets: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ind w:left="120"/>
              <w:spacing w:after="0" w:line="198" w:lineRule="exact"/>
              <w:rPr>
                <w:sz w:val="20"/>
                <w:szCs w:val="20"/>
                <w:color w:val="auto"/>
              </w:rPr>
            </w:pPr>
            <w:r>
              <w:rPr>
                <w:rFonts w:ascii="Arial" w:cs="Arial" w:eastAsia="Arial" w:hAnsi="Arial"/>
                <w:sz w:val="18"/>
                <w:szCs w:val="18"/>
                <w:b w:val="1"/>
                <w:bCs w:val="1"/>
                <w:color w:val="auto"/>
              </w:rPr>
              <w:t>Notional</w:t>
            </w:r>
          </w:p>
        </w:tc>
        <w:tc>
          <w:tcPr>
            <w:tcW w:w="180" w:type="dxa"/>
            <w:vAlign w:val="bottom"/>
          </w:tcPr>
          <w:p>
            <w:pPr>
              <w:spacing w:after="0"/>
              <w:rPr>
                <w:sz w:val="17"/>
                <w:szCs w:val="17"/>
                <w:color w:val="auto"/>
              </w:rPr>
            </w:pPr>
          </w:p>
        </w:tc>
        <w:tc>
          <w:tcPr>
            <w:tcW w:w="94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9"/>
              </w:rPr>
              <w:t>Notional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Cash flow swaps related to state and municipal securities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123,760</w:t>
            </w:r>
          </w:p>
        </w:tc>
        <w:tc>
          <w:tcPr>
            <w:tcW w:w="1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55,275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1,618</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banking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net gains (losses) relating to free standing derivative instruments used for risk management are summarized below as of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Forward contracts related to mortgage loans</w:t>
            </w: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for sale</w:t>
            </w:r>
          </w:p>
        </w:tc>
        <w:tc>
          <w:tcPr>
            <w:tcW w:w="3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gain (loss) on sales of loans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(3,473)</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3820" w:type="dxa"/>
            <w:vAlign w:val="bottom"/>
            <w:gridSpan w:val="2"/>
          </w:tcPr>
          <w:p>
            <w:pPr>
              <w:ind w:left="220"/>
              <w:spacing w:after="0"/>
              <w:rPr>
                <w:sz w:val="20"/>
                <w:szCs w:val="20"/>
                <w:color w:val="auto"/>
              </w:rPr>
            </w:pPr>
            <w:r>
              <w:rPr>
                <w:rFonts w:ascii="Arial" w:cs="Arial" w:eastAsia="Arial" w:hAnsi="Arial"/>
                <w:sz w:val="18"/>
                <w:szCs w:val="18"/>
                <w:color w:val="auto"/>
              </w:rPr>
              <w:t>Net gain (loss) on sales of loans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1,681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3,409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amount and fair value of mortgage banking derivatives in the Consolidated Balance Sheets as of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Pr>
          <w:p>
            <w:pPr>
              <w:spacing w:after="0"/>
              <w:rPr>
                <w:sz w:val="17"/>
                <w:szCs w:val="17"/>
                <w:color w:val="auto"/>
              </w:rPr>
            </w:pPr>
          </w:p>
        </w:tc>
        <w:tc>
          <w:tcPr>
            <w:tcW w:w="9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Pr>
          <w:p>
            <w:pPr>
              <w:spacing w:after="0"/>
              <w:rPr>
                <w:sz w:val="17"/>
                <w:szCs w:val="17"/>
                <w:color w:val="auto"/>
              </w:rPr>
            </w:pPr>
          </w:p>
        </w:tc>
        <w:tc>
          <w:tcPr>
            <w:tcW w:w="9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104,437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210,716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included in other assets</w:t>
            </w:r>
          </w:p>
        </w:tc>
        <w:tc>
          <w:tcPr>
            <w:tcW w:w="10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104,437</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210,716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93,120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203,669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tcPr>
          <w:p>
            <w:pPr>
              <w:ind w:left="340"/>
              <w:spacing w:after="0"/>
              <w:rPr>
                <w:sz w:val="20"/>
                <w:szCs w:val="20"/>
                <w:color w:val="auto"/>
              </w:rPr>
            </w:pPr>
            <w:r>
              <w:rPr>
                <w:rFonts w:ascii="Arial" w:cs="Arial" w:eastAsia="Arial" w:hAnsi="Arial"/>
                <w:sz w:val="18"/>
                <w:szCs w:val="18"/>
                <w:color w:val="auto"/>
              </w:rPr>
              <w:t>Total included in other liabilities</w:t>
            </w:r>
          </w:p>
        </w:tc>
        <w:tc>
          <w:tcPr>
            <w:tcW w:w="1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93,120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203,669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60" w:type="dxa"/>
            <w:vAlign w:val="bottom"/>
            <w:vMerge w:val="restart"/>
          </w:tcPr>
          <w:p>
            <w:pPr>
              <w:jc w:val="right"/>
              <w:ind w:right="195"/>
              <w:spacing w:after="0"/>
              <w:rPr>
                <w:sz w:val="20"/>
                <w:szCs w:val="20"/>
                <w:color w:val="auto"/>
              </w:rPr>
            </w:pPr>
            <w:r>
              <w:rPr>
                <w:rFonts w:ascii="Arial" w:cs="Arial" w:eastAsia="Arial" w:hAnsi="Arial"/>
                <w:sz w:val="14"/>
                <w:szCs w:val="14"/>
                <w:color w:val="auto"/>
              </w:rPr>
              <w:t>94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9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63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73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17. PARENT COMPANY ONLY CONDENSED FINANCIAL INFORMATION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4"/>
          </w:tcPr>
          <w:p>
            <w:pPr>
              <w:spacing w:after="0"/>
              <w:rPr>
                <w:sz w:val="20"/>
                <w:szCs w:val="20"/>
                <w:color w:val="auto"/>
              </w:rPr>
            </w:pPr>
            <w:r>
              <w:rPr>
                <w:rFonts w:ascii="Arial" w:cs="Arial" w:eastAsia="Arial" w:hAnsi="Arial"/>
                <w:sz w:val="18"/>
                <w:szCs w:val="18"/>
                <w:color w:val="auto"/>
              </w:rPr>
              <w:t>Condensed financial information of South Plains Financial, Inc.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20" w:type="dxa"/>
            <w:vAlign w:val="bottom"/>
          </w:tcPr>
          <w:p>
            <w:pPr>
              <w:jc w:val="center"/>
              <w:ind w:left="130"/>
              <w:spacing w:after="0"/>
              <w:rPr>
                <w:sz w:val="20"/>
                <w:szCs w:val="20"/>
                <w:color w:val="auto"/>
              </w:rPr>
            </w:pPr>
            <w:r>
              <w:rPr>
                <w:rFonts w:ascii="Arial" w:cs="Arial" w:eastAsia="Arial" w:hAnsi="Arial"/>
                <w:sz w:val="18"/>
                <w:szCs w:val="18"/>
                <w:b w:val="1"/>
                <w:bCs w:val="1"/>
                <w:i w:val="1"/>
                <w:iCs w:val="1"/>
                <w:color w:val="auto"/>
                <w:w w:val="95"/>
              </w:rPr>
              <w:t>CONDENSED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176"/>
        </w:trPr>
        <w:tc>
          <w:tcPr>
            <w:tcW w:w="732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96"/>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67,890</w:t>
            </w: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Investment in banking subsidiary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429,119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421,355</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Investment in other subsidiary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r>
      <w:tr>
        <w:trPr>
          <w:trHeight w:val="25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531,426</w:t>
            </w:r>
          </w:p>
        </w:tc>
        <w:tc>
          <w:tcPr>
            <w:tcW w:w="20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493,544</w:t>
            </w:r>
          </w:p>
        </w:tc>
        <w:tc>
          <w:tcPr>
            <w:tcW w:w="100" w:type="dxa"/>
            <w:vAlign w:val="bottom"/>
            <w:shd w:val="clear" w:color="auto" w:fill="CCEEFF"/>
          </w:tcPr>
          <w:p>
            <w:pPr>
              <w:spacing w:after="0"/>
              <w:rPr>
                <w:sz w:val="22"/>
                <w:szCs w:val="22"/>
                <w:color w:val="auto"/>
              </w:rPr>
            </w:pPr>
          </w:p>
        </w:tc>
      </w:tr>
      <w:tr>
        <w:trPr>
          <w:trHeight w:val="210"/>
        </w:trPr>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3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7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Debt</w:t>
            </w:r>
          </w:p>
        </w:tc>
        <w:tc>
          <w:tcPr>
            <w:tcW w:w="3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96"/>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122,168</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121,982</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w:t>
            </w: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407,427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370,048</w:t>
            </w:r>
          </w:p>
        </w:tc>
      </w:tr>
      <w:tr>
        <w:trPr>
          <w:trHeight w:val="257"/>
        </w:trPr>
        <w:tc>
          <w:tcPr>
            <w:tcW w:w="73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531,426</w:t>
            </w:r>
          </w:p>
        </w:tc>
        <w:tc>
          <w:tcPr>
            <w:tcW w:w="200" w:type="dxa"/>
            <w:vAlign w:val="bottom"/>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493,544</w:t>
            </w:r>
          </w:p>
        </w:tc>
        <w:tc>
          <w:tcPr>
            <w:tcW w:w="100" w:type="dxa"/>
            <w:vAlign w:val="bottom"/>
            <w:shd w:val="clear" w:color="auto" w:fill="CCEEFF"/>
          </w:tcPr>
          <w:p>
            <w:pPr>
              <w:spacing w:after="0"/>
              <w:rPr>
                <w:sz w:val="22"/>
                <w:szCs w:val="22"/>
                <w:color w:val="auto"/>
              </w:rPr>
            </w:pPr>
          </w:p>
        </w:tc>
      </w:tr>
      <w:tr>
        <w:trPr>
          <w:trHeight w:val="425"/>
        </w:trPr>
        <w:tc>
          <w:tcPr>
            <w:tcW w:w="6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center"/>
              <w:ind w:left="150"/>
              <w:spacing w:after="0"/>
              <w:rPr>
                <w:sz w:val="20"/>
                <w:szCs w:val="20"/>
                <w:color w:val="auto"/>
              </w:rPr>
            </w:pPr>
            <w:r>
              <w:rPr>
                <w:rFonts w:ascii="Arial" w:cs="Arial" w:eastAsia="Arial" w:hAnsi="Arial"/>
                <w:sz w:val="18"/>
                <w:szCs w:val="18"/>
                <w:b w:val="1"/>
                <w:bCs w:val="1"/>
                <w:i w:val="1"/>
                <w:iCs w:val="1"/>
                <w:color w:val="auto"/>
                <w:w w:val="96"/>
              </w:rPr>
              <w:t>CONDENSED STATEMENTS OF INCOME</w:t>
            </w:r>
          </w:p>
        </w:tc>
        <w:tc>
          <w:tcPr>
            <w:tcW w:w="2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9"/>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48,250</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ESOP Contribution</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(1,800)</w:t>
            </w: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(4,936)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(3,390)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(3,562)</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r>
      <w:tr>
        <w:trPr>
          <w:trHeight w:val="27"/>
        </w:trPr>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Income before income tax and undistributed subsidiary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15,653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(1,498)</w:t>
            </w: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color w:val="auto"/>
              </w:rPr>
              <w:t>Equity in undistributed subsidiary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28,682</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25,241</w:t>
            </w:r>
          </w:p>
        </w:tc>
      </w:tr>
      <w:tr>
        <w:trPr>
          <w:trHeight w:val="257"/>
        </w:trPr>
        <w:tc>
          <w:tcPr>
            <w:tcW w:w="7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7320" w:type="dxa"/>
            <w:vAlign w:val="bottom"/>
            <w:gridSpan w:val="4"/>
          </w:tcPr>
          <w:p>
            <w:pPr>
              <w:jc w:val="center"/>
              <w:ind w:left="3852"/>
              <w:spacing w:after="0"/>
              <w:rPr>
                <w:sz w:val="20"/>
                <w:szCs w:val="20"/>
                <w:color w:val="auto"/>
              </w:rPr>
            </w:pPr>
            <w:r>
              <w:rPr>
                <w:rFonts w:ascii="Arial" w:cs="Arial" w:eastAsia="Arial" w:hAnsi="Arial"/>
                <w:sz w:val="14"/>
                <w:szCs w:val="14"/>
                <w:color w:val="auto"/>
                <w:w w:val="89"/>
              </w:rPr>
              <w:t>95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6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3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3"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3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5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29,220</w:t>
            </w:r>
          </w:p>
        </w:tc>
        <w:tc>
          <w:tcPr>
            <w:tcW w:w="0" w:type="dxa"/>
            <w:vAlign w:val="bottom"/>
          </w:tcPr>
          <w:p>
            <w:pPr>
              <w:spacing w:after="0"/>
              <w:rPr>
                <w:sz w:val="1"/>
                <w:szCs w:val="1"/>
                <w:color w:val="auto"/>
              </w:rPr>
            </w:pPr>
          </w:p>
        </w:tc>
      </w:tr>
      <w:tr>
        <w:trPr>
          <w:trHeight w:val="216"/>
        </w:trPr>
        <w:tc>
          <w:tcPr>
            <w:tcW w:w="7320" w:type="dxa"/>
            <w:vAlign w:val="bottom"/>
            <w:gridSpan w:val="3"/>
          </w:tcPr>
          <w:p>
            <w:pPr>
              <w:ind w:left="1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Equity in undistributed subsidiary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(15,401)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(28,682)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16"/>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Change in other assets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(1,765)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other 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43,590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17,779</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Cash paid in business combination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(76,100)</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(76,100)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Proceeds from long-term 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49,070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Repayments of long-term borrowings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(7,530)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Payments to tax authorities for stock-based compensation</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Payments to repurchase common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Share based liability conversion</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dividends on common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(15,237)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45,930</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53,882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63,709</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(18,446)</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22,627</w:t>
            </w:r>
          </w:p>
        </w:tc>
        <w:tc>
          <w:tcPr>
            <w:tcW w:w="0" w:type="dxa"/>
            <w:vAlign w:val="bottom"/>
          </w:tcPr>
          <w:p>
            <w:pPr>
              <w:spacing w:after="0"/>
              <w:rPr>
                <w:sz w:val="1"/>
                <w:szCs w:val="1"/>
                <w:color w:val="auto"/>
              </w:rPr>
            </w:pPr>
          </w:p>
        </w:tc>
      </w:tr>
      <w:tr>
        <w:trPr>
          <w:trHeight w:val="27"/>
        </w:trPr>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Ending 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96,243</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67,890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18. 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color w:val="auto"/>
              </w:rPr>
              <w:t>The factors used in the earnings per share computation follow:</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17,953,624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18,054,373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16,818,697</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18,492,218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18,339,033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17,040,550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19. SEGMENT INFORMATION</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color w:val="auto"/>
              </w:rPr>
              <w:t>Financial results by reportable segment are detailed below:</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Banking</w:t>
            </w:r>
          </w:p>
        </w:tc>
        <w:tc>
          <w:tcPr>
            <w:tcW w:w="1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6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121,764</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Provision for loan loss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97,469</w:t>
            </w:r>
          </w:p>
        </w:tc>
        <w:tc>
          <w:tcPr>
            <w:tcW w:w="0" w:type="dxa"/>
            <w:vAlign w:val="bottom"/>
          </w:tcPr>
          <w:p>
            <w:pPr>
              <w:spacing w:after="0"/>
              <w:rPr>
                <w:sz w:val="1"/>
                <w:szCs w:val="1"/>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(142,111)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(5,919)</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(148,030)</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70,905</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(14,091)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56,814</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7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3,890,751</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3,901,855</w:t>
            </w: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3"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3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66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122,285</w:t>
            </w: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(25,570)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(25,570)</w:t>
            </w: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101,603</w:t>
            </w: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(135,985)</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(5,730)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(141,715)</w:t>
            </w:r>
          </w:p>
        </w:tc>
      </w:tr>
      <w:tr>
        <w:trPr>
          <w:trHeight w:val="223"/>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54,740</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(10,804)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(11,250)</w:t>
            </w:r>
          </w:p>
        </w:tc>
      </w:tr>
      <w:tr>
        <w:trPr>
          <w:trHeight w:val="257"/>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43,936</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3,584,828</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14,332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3,599,160</w:t>
            </w:r>
          </w:p>
        </w:tc>
      </w:tr>
      <w:tr>
        <w:trPr>
          <w:trHeight w:val="21"/>
        </w:trPr>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6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(2,799)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(117,160)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(4,548)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(121,708)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34,450</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(7,097)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(7,481)</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3,224,396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3,237,167</w:t>
            </w: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changes in accumulated other comprehensive income (loss) by component, net of tax: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Gains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Gains and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(Losses) 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(Losses) on</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Available for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Hedges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Sale</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6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21,339</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before reclassification</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(12,229)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(7,637)</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(12,229)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(7,637)</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2020</w:t>
            </w:r>
          </w:p>
        </w:tc>
        <w:tc>
          <w:tcPr>
            <w:tcW w:w="6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958</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958</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before reclassification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22,212</w:t>
            </w:r>
          </w:p>
        </w:tc>
      </w:tr>
      <w:tr>
        <w:trPr>
          <w:trHeight w:val="22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Amounts reclassified from other comprehensive</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(1,831)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(1,831)</w:t>
            </w:r>
          </w:p>
        </w:tc>
      </w:tr>
      <w:tr>
        <w:trPr>
          <w:trHeight w:val="223"/>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21,339</w:t>
            </w: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reclassified are shown on the Consolidated Statements of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FAIR VALUE DISCLOSURES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ectPr>
          <w:pgSz w:w="11900" w:h="16838" w:orient="portrait"/>
          <w:cols w:equalWidth="0" w:num="1">
            <w:col w:w="11240"/>
          </w:cols>
          <w:pgMar w:left="320" w:top="113"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85"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70"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5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Significant unobservable inputs for determining the fair values of assets or liabilities that reflect an entity’s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w w:val="96"/>
              </w:rPr>
              <w:t>The following table summarizes fair value measurements as of December 31:</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56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275,672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275,672</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303,089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303,089</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106,320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106,320</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26,936</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47,593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19,700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7,328</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(535)</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25"/>
        </w:trPr>
        <w:tc>
          <w:tcPr>
            <w:tcW w:w="36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56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4,753</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272,607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272,607</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373,362</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Collateralized mortgage obligations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106,715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106,715</w:t>
            </w: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33,572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33,572</w:t>
            </w: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Other securities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12,078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12,078</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80,174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9,049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6,734</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(4,357)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(4,357)</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20"/>
                <w:szCs w:val="20"/>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Loans held for sale (mandatory)</w:t>
      </w:r>
      <w:r>
        <w:rPr>
          <w:rFonts w:ascii="Arial" w:cs="Arial" w:eastAsia="Arial" w:hAnsi="Arial"/>
          <w:sz w:val="18"/>
          <w:szCs w:val="18"/>
          <w:color w:val="auto"/>
        </w:rPr>
        <w:t xml:space="preserve"> – Loans held for sale originated for mandatory delivery are reported at fair value. Fair value is determined using quoted prices for similar assets, adjusted for specific attributes of that loan.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and discount rates, which are significant unobservable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xml:space="preserve"> – Fair value of derivatives is based on valuation models using observable market data as of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Impaired loans</w:t>
      </w:r>
      <w:r>
        <w:rPr>
          <w:rFonts w:ascii="Arial" w:cs="Arial" w:eastAsia="Arial" w:hAnsi="Arial"/>
          <w:sz w:val="18"/>
          <w:szCs w:val="18"/>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Foreclosed assets</w:t>
      </w:r>
      <w:r>
        <w:rPr>
          <w:rFonts w:ascii="Arial" w:cs="Arial" w:eastAsia="Arial" w:hAnsi="Arial"/>
          <w:sz w:val="18"/>
          <w:szCs w:val="18"/>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Loans held for sale (best efforts)</w:t>
      </w:r>
      <w:r>
        <w:rPr>
          <w:rFonts w:ascii="Arial" w:cs="Arial" w:eastAsia="Arial" w:hAnsi="Arial"/>
          <w:sz w:val="18"/>
          <w:szCs w:val="18"/>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quantitative information about recurring and non-recurring Level 3 fair value measurements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2800" w:type="dxa"/>
            <w:vAlign w:val="bottom"/>
          </w:tcPr>
          <w:p>
            <w:pPr>
              <w:ind w:left="580"/>
              <w:spacing w:after="0"/>
              <w:rPr>
                <w:sz w:val="20"/>
                <w:szCs w:val="20"/>
                <w:color w:val="auto"/>
              </w:rPr>
            </w:pPr>
            <w:r>
              <w:rPr>
                <w:rFonts w:ascii="Arial" w:cs="Arial" w:eastAsia="Arial" w:hAnsi="Arial"/>
                <w:sz w:val="18"/>
                <w:szCs w:val="18"/>
                <w:b w:val="1"/>
                <w:bCs w:val="1"/>
                <w:color w:val="auto"/>
              </w:rPr>
              <w:t>Valuation Techniques</w:t>
            </w:r>
          </w:p>
        </w:tc>
        <w:tc>
          <w:tcPr>
            <w:tcW w:w="120" w:type="dxa"/>
            <w:vAlign w:val="bottom"/>
          </w:tcPr>
          <w:p>
            <w:pPr>
              <w:spacing w:after="0"/>
              <w:rPr>
                <w:sz w:val="20"/>
                <w:szCs w:val="20"/>
                <w:color w:val="auto"/>
              </w:rPr>
            </w:pPr>
          </w:p>
        </w:tc>
        <w:tc>
          <w:tcPr>
            <w:tcW w:w="2800" w:type="dxa"/>
            <w:vAlign w:val="bottom"/>
          </w:tcPr>
          <w:p>
            <w:pPr>
              <w:ind w:left="68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25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920" w:type="dxa"/>
            <w:vAlign w:val="bottom"/>
            <w:gridSpan w:val="2"/>
          </w:tcPr>
          <w:p>
            <w:pPr>
              <w:spacing w:after="0"/>
              <w:rPr>
                <w:sz w:val="20"/>
                <w:szCs w:val="20"/>
                <w:color w:val="auto"/>
              </w:rPr>
            </w:pPr>
            <w:r>
              <w:rPr>
                <w:rFonts w:ascii="Arial" w:cs="Arial" w:eastAsia="Arial" w:hAnsi="Arial"/>
                <w:sz w:val="18"/>
                <w:szCs w:val="18"/>
                <w:color w:val="auto"/>
              </w:rPr>
              <w:t>Non-recurring:</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20%-100%</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w w:val="92"/>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19,700</w:t>
            </w:r>
          </w:p>
        </w:tc>
        <w:tc>
          <w:tcPr>
            <w:tcW w:w="2800" w:type="dxa"/>
            <w:vAlign w:val="bottom"/>
          </w:tcPr>
          <w:p>
            <w:pPr>
              <w:spacing w:after="0"/>
              <w:rPr>
                <w:sz w:val="20"/>
                <w:szCs w:val="20"/>
                <w:color w:val="auto"/>
              </w:rPr>
            </w:pPr>
            <w:r>
              <w:rPr>
                <w:rFonts w:ascii="Arial" w:cs="Arial" w:eastAsia="Arial" w:hAnsi="Arial"/>
                <w:sz w:val="18"/>
                <w:szCs w:val="18"/>
                <w:color w:val="auto"/>
              </w:rPr>
              <w:t>Discounted cash flows</w:t>
            </w:r>
          </w:p>
        </w:tc>
        <w:tc>
          <w:tcPr>
            <w:tcW w:w="1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12.35%</w:t>
            </w: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9.14%</w:t>
            </w:r>
          </w:p>
        </w:tc>
      </w:t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2020</w:t>
            </w:r>
          </w:p>
        </w:tc>
        <w:tc>
          <w:tcPr>
            <w:tcW w:w="2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Non-recurring:</w:t>
            </w: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11,926</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280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tcPr>
          <w:p>
            <w:pPr>
              <w:spacing w:after="0"/>
              <w:rPr>
                <w:sz w:val="18"/>
                <w:szCs w:val="18"/>
                <w:color w:val="auto"/>
              </w:rPr>
            </w:pPr>
          </w:p>
        </w:tc>
        <w:tc>
          <w:tcPr>
            <w:tcW w:w="2800" w:type="dxa"/>
            <w:vAlign w:val="bottom"/>
          </w:tcPr>
          <w:p>
            <w:pPr>
              <w:ind w:left="40"/>
              <w:spacing w:after="0"/>
              <w:rPr>
                <w:sz w:val="20"/>
                <w:szCs w:val="20"/>
                <w:color w:val="auto"/>
              </w:rPr>
            </w:pPr>
            <w:r>
              <w:rPr>
                <w:rFonts w:ascii="Arial" w:cs="Arial" w:eastAsia="Arial" w:hAnsi="Arial"/>
                <w:sz w:val="18"/>
                <w:szCs w:val="18"/>
                <w:color w:val="auto"/>
                <w:w w:val="92"/>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Recurring: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c>
          <w:tcPr>
            <w:tcW w:w="2800" w:type="dxa"/>
            <w:vAlign w:val="bottom"/>
          </w:tcPr>
          <w:p>
            <w:pPr>
              <w:spacing w:after="0"/>
              <w:rPr>
                <w:sz w:val="20"/>
                <w:szCs w:val="20"/>
                <w:color w:val="auto"/>
              </w:rPr>
            </w:pPr>
            <w:r>
              <w:rPr>
                <w:rFonts w:ascii="Arial" w:cs="Arial" w:eastAsia="Arial" w:hAnsi="Arial"/>
                <w:sz w:val="18"/>
                <w:szCs w:val="18"/>
                <w:color w:val="auto"/>
              </w:rPr>
              <w:t>Discounted cash flows</w:t>
            </w: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Conditional prepayment rate</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18.16%</w:t>
            </w: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w:t>
            </w:r>
          </w:p>
        </w:tc>
      </w:tr>
      <w:tr>
        <w:trPr>
          <w:trHeight w:val="568"/>
        </w:trPr>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ind w:left="1420"/>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6000" w:type="dxa"/>
            <w:vAlign w:val="bottom"/>
            <w:gridSpan w:val="6"/>
          </w:tcPr>
          <w:p>
            <w:pPr>
              <w:spacing w:after="0"/>
              <w:rPr>
                <w:sz w:val="20"/>
                <w:szCs w:val="20"/>
                <w:color w:val="auto"/>
              </w:rPr>
            </w:pPr>
            <w:r>
              <w:rPr>
                <w:rFonts w:ascii="Arial" w:cs="Arial" w:eastAsia="Arial" w:hAnsi="Arial"/>
                <w:sz w:val="18"/>
                <w:szCs w:val="18"/>
                <w:color w:val="auto"/>
                <w:w w:val="91"/>
              </w:rPr>
              <w:t>The following table summarizes carrying value measurements as of December 31:</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2021</w:t>
            </w:r>
          </w:p>
        </w:tc>
        <w:tc>
          <w:tcPr>
            <w:tcW w:w="6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486,821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486,821</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2,395,479</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2,397,079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2,397,079</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71,978</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71,978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71,978</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3,341,222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3,004,091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339,797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3,343,888</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45,690</w:t>
            </w:r>
          </w:p>
        </w:tc>
      </w:tr>
      <w:tr>
        <w:trPr>
          <w:trHeight w:val="230"/>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75,775</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77,939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77,939</w:t>
            </w:r>
          </w:p>
        </w:tc>
      </w:tr>
      <w:tr>
        <w:trPr>
          <w:trHeight w:val="399"/>
        </w:trPr>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2020</w:t>
            </w:r>
          </w:p>
        </w:tc>
        <w:tc>
          <w:tcPr>
            <w:tcW w:w="6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3"/>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300,307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300,307</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2,176,030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2,179,573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2,179,573</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15,233</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70,731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70,731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70,731</w:t>
            </w: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2,974,351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2,649,830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329,609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2,979,439</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w:t>
            </w: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45,690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45,690</w:t>
            </w:r>
          </w:p>
        </w:tc>
      </w:tr>
      <w:tr>
        <w:trPr>
          <w:trHeight w:val="230"/>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75,589</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76,889</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76,889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BUSINESS COMBINATIONS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June 2020, Windmark acquired the operating assets of a crop insurance agency in Nebraska for $687 thousand. Fair value of the assets acquired in this transaction as of the closing date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4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020" w:type="dxa"/>
            <w:vAlign w:val="bottom"/>
          </w:tcPr>
          <w:p>
            <w:pPr>
              <w:ind w:left="500"/>
              <w:spacing w:after="0"/>
              <w:rPr>
                <w:sz w:val="20"/>
                <w:szCs w:val="20"/>
                <w:color w:val="auto"/>
              </w:rPr>
            </w:pPr>
            <w:r>
              <w:rPr>
                <w:rFonts w:ascii="Arial" w:cs="Arial" w:eastAsia="Arial" w:hAnsi="Arial"/>
                <w:sz w:val="18"/>
                <w:szCs w:val="18"/>
                <w:color w:val="auto"/>
              </w:rPr>
              <w:t>Goodwill recorded in acquisition</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00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23.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20, 2022, the Company declared a cash dividend of $0.11 per share of common stock to be paid on February 14, 2022 to all shareholders of record as of January 31, 2022.</w:t>
      </w:r>
    </w:p>
    <w:p>
      <w:pPr>
        <w:spacing w:after="0" w:line="38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significant changes in our internal control over financial reporting during the three months ended December 31, 2021 that have materially affected, or are reasonably likely to materially affect, our internal control over financial reporting.</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sectPr>
          <w:pgSz w:w="11900" w:h="16838" w:orient="portrait"/>
          <w:cols w:equalWidth="0" w:num="1">
            <w:col w:w="11240"/>
          </w:cols>
          <w:pgMar w:left="320" w:top="113" w:right="339" w:bottom="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0" w:gutter="0" w:footer="0" w:header="0"/>
          <w:type w:val="continuous"/>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u w:val="single" w:color="auto"/>
          <w:color w:val="auto"/>
        </w:rPr>
        <w:t>Report of Management on Internal Control over Financial Reporting</w:t>
      </w:r>
      <w:r>
        <w:rPr>
          <w:rFonts w:ascii="Arial" w:cs="Arial" w:eastAsia="Arial" w:hAnsi="Arial"/>
          <w:sz w:val="17"/>
          <w:szCs w:val="17"/>
          <w:color w:val="auto"/>
        </w:rPr>
        <w:t>. 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conducted an assessment of the effectiveness of the Company’s internal control over financial reporting as of December 31, 2021, utilizing the framework established in Internal Control – Integrated Framework 2013, issued by the Committee of Sponsoring Organizations of the Treadway Commission (“COSO”).</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this assessment, management has determined that the Company’s internal control over financial reporting as of December 31, 2021 was effective.</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 (1) transactions are recorded as necessary to permit preparation of financial statements in accordance with GAAP; (2) receipts and expenditures are being made only in accordance with authorizations of management and the directors of the Company; and (3) unauthorized acquisition, use, or disposition of the Company’s assets that could have a material effect on the Company’s financial statements are prevented or timely detected.</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Report does not include an attestation report of the Company’s independent registered public accounting firm regarding internal control over financial reporting. As an emerging growth company, management’s report was not subject to attestation by the Company’s independent registered public accounting firm in accordance with the JOBS Act.</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for the 2022 Annual Meeting of Shareholders to be filed with the Securities and Exchange Commission within 120 days after our fiscal year end (the “Proxy Statement”).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accordance with Item 406 of Regulation S-K, we have adopted a Code of Business Conduct and Ethics that applies to Company executives, directors and employees. The Code of Business Conduct and Ethics is posted on our website at </w:t>
      </w:r>
      <w:r>
        <w:rPr>
          <w:rFonts w:ascii="Arial" w:cs="Arial" w:eastAsia="Arial" w:hAnsi="Arial"/>
          <w:sz w:val="18"/>
          <w:szCs w:val="18"/>
          <w:u w:val="single" w:color="auto"/>
          <w:color w:val="auto"/>
        </w:rPr>
        <w:t>www.spfi.bank</w:t>
      </w:r>
      <w:r>
        <w:rPr>
          <w:rFonts w:ascii="Arial" w:cs="Arial" w:eastAsia="Arial" w:hAnsi="Arial"/>
          <w:sz w:val="18"/>
          <w:szCs w:val="18"/>
          <w:color w:val="auto"/>
        </w:rPr>
        <w:t xml:space="preserve"> under “Governance.” Within the time period required by the SEC, we will post on our website any amendment to the Code of Business Conduct and Ethics and any waiver applicable to our principal executive officer, principal financial officer, and principal accounting officer or controller.</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Securities and Exchange Commission within 120 days after our fiscal year end.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Securities and Exchange Commission within 120 days after our fiscal year end.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Securities and Exchange Commission within 120 days after our fiscal year end.</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Securities and Exchange Commission within 120 days after our fiscal year end.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consolidated financial statements, notes thereto and independent auditors’ report thereon, filed as part hereof, are listed in Item 8.</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required or applicable, or the required information is shown in the consolidated financial statements or the notes thereto.</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75"/>
        </w:trPr>
        <w:tc>
          <w:tcPr>
            <w:tcW w:w="3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Agreement and Plan of Merger by and between South Plains Financial, Inc., SPFI Merger Sub, Inc., City Bank, and West Texas State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Bank, dated as of July 25, 2019, (incorporated herein by reference to Exhibit 2.1 to the Current Report on Form 8-K filed with the SEC</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4"/>
              </w:rPr>
              <w:t>on July 25, 2019 (File No. 38895)) (schedules to which have been omitted pursuant to Item 601(b)(2) of Regulation S-K and will be</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provided to the SEC upon request).</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Amended and Restated Certificate of Formation of South Plains Financial, Inc. (incorporated herein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S-1 of 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Second Amended and Restated Bylaws of South Plains Financial, Inc. (incorporated herein by reference to Exhibit 3.1 to the Current</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 on Form 8-K filed with the SEC on November 1, 2021 (File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Specimen common stock certificate of South Plains Financial, Inc. (incorporated herein by reference to Exhibit 4.1 to the Registration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S-1 of 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Indenture, dated September 29, 2020, by and between South Plains Financial, Inc. and UMB Bank, National Association, as trustee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(incorporated herein by reference to Exhibit 4.1 to the Current Report on Form 8-K filed with the SEC on September 30, 2020 (File No.</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Form of Fixed to Floating Rate Subordinated Note due September 30, 2030 (included as Exhibit A-2 to the Indenture incorporated</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herein by reference as Exhibit 4.2 hereto).</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Form of Voting Agreement, dated as of July 25, 2019, by and among South Plains Financial, Inc., West Texas State Bank and the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shareholders of West Texas State Bank party thereto (incorporated herein by reference to Exhibit 10.1 to the Current Report on Form 8-</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K filed with the SEC on July 25, 2019 (File No. 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Form of Director Support Agreement, dated as of July 25, 2019, by and among South Plains Financial, Inc. and each non-employee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director of West Texas State Bank (incorporated herein by reference to Exhibit 10.2 to the Current Report on Form 8-K filed with the</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SEC on July 25, 2019 (File No. 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w:t>
            </w: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Executive Employment Agreement, dated December 18, 2019, by and between South Plains Financial, Inc., City Bank, and Curtis C.</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Griffith (incorporated herein by reference to Exhibit 10.1 to the Current Report on Form 8-K filed with the SEC on December 19, 2019</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w:t>
            </w: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Executive Employment Agreement, dated March 6, 2019, by and between South Plains Financial, Inc. and Cory T. Newsom</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(incorporated herein by reference to Exhibit 10.4 to the Registration Statement on Form S-1/A of South Plains Financial, Inc.</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w:t>
            </w: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Amendment No. 1 to Executive Employment Agreement, dated December 15, 2021, by and among City Bank, Curtis C. Griffith and</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South Plains Financial, Inc. (incorporated herein by reference to Exhibit 10.1 to the Current Report on Form 8-K filed with the SEC on</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December 21, 2021 (File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w:t>
            </w: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Amendment No. 1 to Executive Employment Agreement, dated December 15, 2021, by and among City Bank, Cory T. Newsom and</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South Plains Financial, Inc. (incorporated herein by reference to Exhibit 10.2 to the Current Report on Form 8-K filed with the SEC on</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December 21, 2021 (File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w:t>
            </w: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South Plains Financial, Inc. 2019 Equity Incentive Plan (incorporated herein by reference to Exhibit 10.1 to the Registration Statement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S-1/A of South Plains Financial, Inc. (Registration No. 333-230851) filed April 29, 2019).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5"/>
            <w:shd w:val="clear" w:color="auto" w:fill="CCEEFF"/>
          </w:tcPr>
          <w:p>
            <w:pPr>
              <w:spacing w:after="0"/>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8</w:t>
              </w:r>
            </w:hyperlink>
            <w:r>
              <w:rPr>
                <w:rFonts w:ascii="Arial" w:cs="Arial" w:eastAsia="Arial" w:hAnsi="Arial"/>
                <w:sz w:val="18"/>
                <w:szCs w:val="18"/>
                <w:color w:val="000000"/>
              </w:rPr>
              <w:t>†</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Form of Stock Option Award Agreement under the South Plains Financial, Inc. 2019 Equity Incentive Plan (incorporated herein by</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reference to Exhibit 10.2 to the Registration Statement on Form S-1/A of South Plains Financial, Inc. (Registration No. 333-230851)</w:t>
            </w:r>
          </w:p>
        </w:tc>
      </w:tr>
      <w:tr>
        <w:trPr>
          <w:trHeight w:val="230"/>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9</w:t>
              </w:r>
            </w:hyperlink>
            <w:r>
              <w:rPr>
                <w:rFonts w:ascii="Arial" w:cs="Arial" w:eastAsia="Arial" w:hAnsi="Arial"/>
                <w:sz w:val="18"/>
                <w:szCs w:val="18"/>
                <w:color w:val="000000"/>
              </w:rPr>
              <w:t>†</w:t>
            </w: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Form of Restricted Stock Unit Award Agreement under the South Plains Financial, Inc. 2019 Equity Incentive Plan (incorporated herein</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3"/>
              </w:rPr>
              <w:t>by reference to Exhibit 10.3 to the Registration Statement on Form S-1 of South Plains Financial, Inc. (Registration No. 333-230851)</w:t>
            </w:r>
          </w:p>
        </w:tc>
      </w:tr>
      <w:tr>
        <w:trPr>
          <w:trHeight w:val="230"/>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r>
              <w:rPr>
                <w:rFonts w:ascii="Arial" w:cs="Arial" w:eastAsia="Arial" w:hAnsi="Arial"/>
                <w:sz w:val="18"/>
                <w:szCs w:val="18"/>
                <w:color w:val="000000"/>
              </w:rPr>
              <w:t>†</w:t>
            </w: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Form of Indemnification Agreement (incorporated herein by reference to Exhibit 10.9 to the Registration Statement on Form S-1/A of</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r>
              <w:rPr>
                <w:rFonts w:ascii="Arial" w:cs="Arial" w:eastAsia="Arial" w:hAnsi="Arial"/>
                <w:sz w:val="18"/>
                <w:szCs w:val="18"/>
                <w:color w:val="000000"/>
              </w:rPr>
              <w:t>†</w:t>
            </w: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8"/>
              </w:rPr>
              <w:t>Deferred Compensation Plan Adoption Agreement of Cory T. Newsom (incorporated herein by reference to Exhibit 10.5 to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r>
              <w:rPr>
                <w:rFonts w:ascii="Arial" w:cs="Arial" w:eastAsia="Arial" w:hAnsi="Arial"/>
                <w:sz w:val="18"/>
                <w:szCs w:val="18"/>
                <w:color w:val="000000"/>
              </w:rPr>
              <w:t>†</w:t>
            </w: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Joint Beneficiary Designation Agreement of Cory Newsom, effective January 1, 2008 (incorporated herein by reference to Exhibit 10.6</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7"/>
              </w:rPr>
              <w:t>to the 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r>
              <w:rPr>
                <w:rFonts w:ascii="Arial" w:cs="Arial" w:eastAsia="Arial" w:hAnsi="Arial"/>
                <w:sz w:val="18"/>
                <w:szCs w:val="18"/>
                <w:color w:val="000000"/>
              </w:rPr>
              <w:t>†</w:t>
            </w: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Joint Beneficiary Designation Agreement of Cory Newsom, effective April 1, 2014 (incorporated herein by reference to Exhibit 10.7 to</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the 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Board Representation Agreement between South Plains Financial, Inc. and James C. Henry (incorporated herein by reference to Exhibit</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3"/>
              </w:rPr>
              <w:t>10.8 to the 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Form of Note Purchase Agreement, dated as of September 29, 2020, by and among South Plains Financial, Inc. and the Purchasers</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(incorporated herein by reference to Exhibit 10.1 of the Current Report on Form 8-K filed with the SEC on September 30, 2020 (File</w:t>
            </w:r>
          </w:p>
        </w:tc>
      </w:tr>
      <w:tr>
        <w:trPr>
          <w:trHeight w:val="230"/>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001-38895)).</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0"/>
              </w:rPr>
              <w:t>Form of Registration Rights Agreement, dated as of September 29, 2020, by and among South Plains Financial, Inc. and the Purchasers</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4"/>
              </w:rPr>
              <w:t>(incorporated herein by reference to Exhibit 10.2 of the Current Report on Form 8-K filed with the SEC on September 30, 2020 (File</w:t>
            </w:r>
          </w:p>
        </w:tc>
      </w:tr>
      <w:tr>
        <w:trPr>
          <w:trHeight w:val="230"/>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No. 001-38895)).</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75"/>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16.</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Letter from Weaver and Tidwell, L.L.P., dated October 26, 2021, to the U.S. Securities and Exchange Commission (incorporated herein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1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9"/>
              </w:rPr>
              <w:t>by reference to Exhibit 16.1 of the Current Report on form 8-K filed with the SEC on October 26, 2021 (File No. 001-38895)).</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560" w:type="dxa"/>
            <w:vAlign w:val="bottom"/>
            <w:shd w:val="clear" w:color="auto" w:fill="CCEEFF"/>
          </w:tcPr>
          <w:p>
            <w:pPr>
              <w:spacing w:after="0"/>
              <w:rPr>
                <w:sz w:val="17"/>
                <w:szCs w:val="17"/>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Subsidiaries of South Plains Financial, Inc.</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560" w:type="dxa"/>
            <w:vAlign w:val="bottom"/>
            <w:shd w:val="clear" w:color="auto" w:fill="CCEEFF"/>
          </w:tcPr>
          <w:p>
            <w:pPr>
              <w:spacing w:after="0"/>
              <w:rPr>
                <w:sz w:val="17"/>
                <w:szCs w:val="17"/>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Consent of Weaver and Tidwell, LLP.</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60" w:type="dxa"/>
            <w:vAlign w:val="bottom"/>
            <w:shd w:val="clear" w:color="auto" w:fill="CCEEFF"/>
          </w:tcPr>
          <w:p>
            <w:pPr>
              <w:spacing w:after="0"/>
              <w:rPr>
                <w:sz w:val="17"/>
                <w:szCs w:val="17"/>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9"/>
              </w:rPr>
              <w:t>Certification by Chief Executive Officer pursuant to Rule 13a-14(a) under the Securities Exchange Act of 1934, as amended.</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4"/>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60" w:type="dxa"/>
            <w:vAlign w:val="bottom"/>
            <w:shd w:val="clear" w:color="auto" w:fill="CCEEFF"/>
          </w:tcPr>
          <w:p>
            <w:pPr>
              <w:spacing w:after="0"/>
              <w:rPr>
                <w:sz w:val="17"/>
                <w:szCs w:val="17"/>
                <w:color w:val="auto"/>
              </w:rPr>
            </w:pPr>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Certification by Chief Financial Officer pursuant to Rule 13a-14(a) under the Securities Exchange Act of 1934, as amended.</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Section 1350 Certification of Chief Executive Officer.</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96"/>
        </w:trPr>
        <w:tc>
          <w:tcPr>
            <w:tcW w:w="1060" w:type="dxa"/>
            <w:vAlign w:val="bottom"/>
            <w:gridSpan w:val="5"/>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1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Section 1350 Certification of Chief Financial Officer.</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202"/>
        </w:trPr>
        <w:tc>
          <w:tcPr>
            <w:tcW w:w="10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101.INS*</w:t>
            </w:r>
          </w:p>
        </w:tc>
        <w:tc>
          <w:tcPr>
            <w:tcW w:w="101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1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180" w:type="dxa"/>
            <w:vAlign w:val="bottom"/>
          </w:tcPr>
          <w:p>
            <w:pPr>
              <w:spacing w:after="0"/>
              <w:rPr>
                <w:sz w:val="18"/>
                <w:szCs w:val="18"/>
                <w:color w:val="auto"/>
              </w:rPr>
            </w:pPr>
          </w:p>
        </w:tc>
      </w:tr>
      <w:tr>
        <w:trPr>
          <w:trHeight w:val="216"/>
        </w:trPr>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this Annual Report on Form 10-K.</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Annual Report on Form 10-K.</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1" w:right="339" w:bottom="15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54" w:gutter="0" w:footer="0" w:header="0"/>
          <w:type w:val="continuous"/>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7, 2022</w:t>
      </w:r>
      <w:r>
        <w:rPr>
          <w:sz w:val="20"/>
          <w:szCs w:val="20"/>
          <w:color w:val="auto"/>
        </w:rPr>
        <w:tab/>
      </w:r>
      <w:r>
        <w:rPr>
          <w:rFonts w:ascii="Arial" w:cs="Arial" w:eastAsia="Arial" w:hAnsi="Arial"/>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2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9133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913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Curtis C. Griffith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9133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Cory T. Newsom</w:t>
      </w:r>
    </w:p>
    <w:p>
      <w:pPr>
        <w:spacing w:after="0" w:line="225" w:lineRule="exact"/>
        <w:rPr>
          <w:sz w:val="20"/>
          <w:szCs w:val="20"/>
          <w:color w:val="auto"/>
        </w:rPr>
      </w:pPr>
    </w:p>
    <w:p>
      <w:pPr>
        <w:ind w:right="760"/>
        <w:spacing w:after="0" w:line="395" w:lineRule="auto"/>
        <w:rPr>
          <w:sz w:val="20"/>
          <w:szCs w:val="20"/>
          <w:color w:val="auto"/>
        </w:rPr>
      </w:pPr>
      <w:r>
        <w:rPr>
          <w:rFonts w:ascii="Arial" w:cs="Arial" w:eastAsia="Arial" w:hAnsi="Arial"/>
          <w:sz w:val="16"/>
          <w:szCs w:val="16"/>
          <w:color w:val="auto"/>
        </w:rPr>
        <w:t>/s/ Steven B. Crockett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79133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3" w:lineRule="exact"/>
        <w:rPr>
          <w:sz w:val="20"/>
          <w:szCs w:val="20"/>
          <w:color w:val="auto"/>
        </w:rPr>
      </w:pPr>
    </w:p>
    <w:p>
      <w:pPr>
        <w:ind w:right="580"/>
        <w:spacing w:after="0" w:line="395" w:lineRule="auto"/>
        <w:rPr>
          <w:sz w:val="20"/>
          <w:szCs w:val="20"/>
          <w:color w:val="auto"/>
        </w:rPr>
      </w:pPr>
      <w:r>
        <w:rPr>
          <w:rFonts w:ascii="Arial" w:cs="Arial" w:eastAsia="Arial" w:hAnsi="Arial"/>
          <w:sz w:val="16"/>
          <w:szCs w:val="16"/>
          <w:color w:val="auto"/>
        </w:rPr>
        <w:t>/s/ Richard D. Campbell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79133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Cynthia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9133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Cynthia B. Keith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913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Noe G. Valles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Kyle R. 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9133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Kyle R. Wargo</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060" w:type="dxa"/>
            <w:vAlign w:val="bottom"/>
            <w:tcBorders>
              <w:bottom w:val="single" w:sz="8" w:color="auto"/>
            </w:tcBorders>
          </w:tcPr>
          <w:p>
            <w:pPr>
              <w:ind w:left="2860"/>
              <w:spacing w:after="0"/>
              <w:rPr>
                <w:sz w:val="20"/>
                <w:szCs w:val="20"/>
                <w:color w:val="auto"/>
              </w:rPr>
            </w:pPr>
            <w:r>
              <w:rPr>
                <w:rFonts w:ascii="Arial" w:cs="Arial" w:eastAsia="Arial" w:hAnsi="Arial"/>
                <w:sz w:val="18"/>
                <w:szCs w:val="18"/>
                <w:b w:val="1"/>
                <w:bCs w:val="1"/>
                <w:color w:val="auto"/>
              </w:rPr>
              <w:t>Title</w:t>
            </w:r>
          </w:p>
        </w:tc>
        <w:tc>
          <w:tcPr>
            <w:tcW w:w="2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75"/>
        </w:trPr>
        <w:tc>
          <w:tcPr>
            <w:tcW w:w="6340" w:type="dxa"/>
            <w:vAlign w:val="bottom"/>
            <w:gridSpan w:val="2"/>
          </w:tcPr>
          <w:p>
            <w:pPr>
              <w:spacing w:after="0"/>
              <w:rPr>
                <w:sz w:val="20"/>
                <w:szCs w:val="20"/>
                <w:color w:val="auto"/>
              </w:rPr>
            </w:pPr>
            <w:r>
              <w:rPr>
                <w:rFonts w:ascii="Arial" w:cs="Arial" w:eastAsia="Arial" w:hAnsi="Arial"/>
                <w:sz w:val="18"/>
                <w:szCs w:val="18"/>
                <w:color w:val="auto"/>
              </w:rPr>
              <w:t>Director (Chairman); Chief Executive Officer (principal executive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89"/>
        </w:trPr>
        <w:tc>
          <w:tcPr>
            <w:tcW w:w="6340" w:type="dxa"/>
            <w:vAlign w:val="bottom"/>
            <w:gridSpan w:val="2"/>
          </w:tcPr>
          <w:p>
            <w:pPr>
              <w:spacing w:after="0"/>
              <w:rPr>
                <w:sz w:val="20"/>
                <w:szCs w:val="20"/>
                <w:color w:val="auto"/>
              </w:rPr>
            </w:pPr>
            <w:r>
              <w:rPr>
                <w:rFonts w:ascii="Arial" w:cs="Arial" w:eastAsia="Arial" w:hAnsi="Arial"/>
                <w:sz w:val="18"/>
                <w:szCs w:val="18"/>
                <w:color w:val="auto"/>
              </w:rPr>
              <w:t>Director and President</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88"/>
        </w:trPr>
        <w:tc>
          <w:tcPr>
            <w:tcW w:w="63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 (principal financial and accounting officer)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88"/>
        </w:trPr>
        <w:tc>
          <w:tcPr>
            <w:tcW w:w="6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88"/>
        </w:trPr>
        <w:tc>
          <w:tcPr>
            <w:tcW w:w="6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88"/>
        </w:trPr>
        <w:tc>
          <w:tcPr>
            <w:tcW w:w="6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r>
        <w:trPr>
          <w:trHeight w:val="688"/>
        </w:trPr>
        <w:tc>
          <w:tcPr>
            <w:tcW w:w="6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March 7, 2022</w:t>
            </w:r>
          </w:p>
        </w:tc>
      </w:tr>
    </w:tbl>
    <w:p>
      <w:pPr>
        <w:spacing w:after="0" w:line="200" w:lineRule="exact"/>
        <w:rPr>
          <w:sz w:val="20"/>
          <w:szCs w:val="20"/>
          <w:color w:val="auto"/>
        </w:rPr>
      </w:pPr>
    </w:p>
    <w:p>
      <w:pPr>
        <w:sectPr>
          <w:pgSz w:w="11900" w:h="16838" w:orient="portrait"/>
          <w:cols w:equalWidth="0" w:num="2">
            <w:col w:w="2340" w:space="720"/>
            <w:col w:w="8180"/>
          </w:cols>
          <w:pgMar w:left="320" w:top="121" w:right="3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South Plains Financial,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State of Incorporation</w:t>
            </w:r>
          </w:p>
        </w:tc>
      </w:tr>
      <w:tr>
        <w:trPr>
          <w:trHeight w:val="20"/>
        </w:trPr>
        <w:tc>
          <w:tcPr>
            <w:tcW w:w="98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438"/>
        </w:trPr>
        <w:tc>
          <w:tcPr>
            <w:tcW w:w="5620" w:type="dxa"/>
            <w:vAlign w:val="bottom"/>
            <w:gridSpan w:val="2"/>
          </w:tcPr>
          <w:p>
            <w:pPr>
              <w:spacing w:after="0"/>
              <w:rPr>
                <w:sz w:val="20"/>
                <w:szCs w:val="20"/>
                <w:color w:val="auto"/>
              </w:rPr>
            </w:pPr>
            <w:r>
              <w:rPr>
                <w:rFonts w:ascii="Arial" w:cs="Arial" w:eastAsia="Arial" w:hAnsi="Arial"/>
                <w:sz w:val="18"/>
                <w:szCs w:val="18"/>
                <w:color w:val="auto"/>
              </w:rPr>
              <w:t>CB Provence, LLC</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CBT Brushy Creek, LLC</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CBT Properties, LLC</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City Bank</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Ruidoso Retail, Inc.</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III</w:t>
            </w:r>
          </w:p>
        </w:tc>
        <w:tc>
          <w:tcPr>
            <w:tcW w:w="56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IV</w:t>
            </w:r>
          </w:p>
        </w:tc>
        <w:tc>
          <w:tcPr>
            <w:tcW w:w="56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V</w:t>
            </w:r>
          </w:p>
        </w:tc>
        <w:tc>
          <w:tcPr>
            <w:tcW w:w="562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Windmark Insurance Agency, Inc.</w:t>
            </w:r>
          </w:p>
        </w:tc>
        <w:tc>
          <w:tcPr>
            <w:tcW w:w="562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601"/>
        </w:trPr>
        <w:tc>
          <w:tcPr>
            <w:tcW w:w="9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Board of Directors and Audit Committee</w:t>
      </w:r>
    </w:p>
    <w:p>
      <w:pPr>
        <w:spacing w:after="0" w:line="238" w:lineRule="auto"/>
        <w:rPr>
          <w:sz w:val="20"/>
          <w:szCs w:val="20"/>
          <w:color w:val="auto"/>
        </w:rPr>
      </w:pPr>
      <w:r>
        <w:rPr>
          <w:rFonts w:ascii="Arial" w:cs="Arial" w:eastAsia="Arial" w:hAnsi="Arial"/>
          <w:sz w:val="22"/>
          <w:szCs w:val="22"/>
          <w:color w:val="auto"/>
        </w:rPr>
        <w:t>South Plains Financial, Inc.</w:t>
      </w:r>
    </w:p>
    <w:p>
      <w:pPr>
        <w:spacing w:after="0"/>
        <w:rPr>
          <w:sz w:val="20"/>
          <w:szCs w:val="20"/>
          <w:color w:val="auto"/>
        </w:rPr>
      </w:pPr>
      <w:r>
        <w:rPr>
          <w:rFonts w:ascii="Arial" w:cs="Arial" w:eastAsia="Arial" w:hAnsi="Arial"/>
          <w:sz w:val="22"/>
          <w:szCs w:val="22"/>
          <w:color w:val="auto"/>
        </w:rPr>
        <w:t>Lubbock, Texas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We consent to the incorporation by reference in South Plains Financial, Inc.’s Registration Statement (No. 333-231667) on Form S-8 and the Registration Statement (No. 333-250021) on Form S-4/A of our report dated March 7, 2022 relating to the consolidated financial statements of South Plains Financial, Inc. appearing in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b w:val="1"/>
          <w:bCs w:val="1"/>
          <w:color w:val="auto"/>
        </w:rPr>
        <w:t>Weaver and Tidwell, L.L.P.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 Plains Financial, Inc. (the “registrant”) for the year ended December 31, 2021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40" w:val="left"/>
          <w:tab w:leader="none" w:pos="7960" w:val="left"/>
        </w:tabs>
        <w:rPr>
          <w:sz w:val="20"/>
          <w:szCs w:val="20"/>
          <w:color w:val="auto"/>
        </w:rPr>
      </w:pPr>
      <w:r>
        <w:rPr>
          <w:rFonts w:ascii="Arial" w:cs="Arial" w:eastAsia="Arial" w:hAnsi="Arial"/>
          <w:sz w:val="18"/>
          <w:szCs w:val="18"/>
          <w:color w:val="auto"/>
        </w:rPr>
        <w:t>Date: March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23495</wp:posOffset>
            </wp:positionV>
            <wp:extent cx="32143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30"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 Plains Financial, Inc. (the “registrant”) for the year ended December 31, 2021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7800" w:val="left"/>
        </w:tabs>
        <w:rPr>
          <w:sz w:val="20"/>
          <w:szCs w:val="20"/>
          <w:color w:val="auto"/>
        </w:rPr>
      </w:pPr>
      <w:r>
        <w:rPr>
          <w:rFonts w:ascii="Arial" w:cs="Arial" w:eastAsia="Arial" w:hAnsi="Arial"/>
          <w:sz w:val="18"/>
          <w:szCs w:val="18"/>
          <w:color w:val="auto"/>
        </w:rPr>
        <w:t>Date: March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33438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3334385" cy="17145"/>
                    </a:xfrm>
                    <a:prstGeom prst="rect">
                      <a:avLst/>
                    </a:prstGeom>
                    <a:noFill/>
                  </pic:spPr>
                </pic:pic>
              </a:graphicData>
            </a:graphic>
          </wp:anchor>
        </w:drawing>
      </w:r>
    </w:p>
    <w:p>
      <w:pPr>
        <w:spacing w:after="0" w:line="30"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2021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60" w:type="dxa"/>
            <w:vAlign w:val="bottom"/>
          </w:tcPr>
          <w:p>
            <w:pPr>
              <w:spacing w:after="0"/>
              <w:rPr>
                <w:sz w:val="20"/>
                <w:szCs w:val="20"/>
                <w:color w:val="auto"/>
              </w:rPr>
            </w:pPr>
            <w:r>
              <w:rPr>
                <w:rFonts w:ascii="Arial" w:cs="Arial" w:eastAsia="Arial" w:hAnsi="Arial"/>
                <w:sz w:val="18"/>
                <w:szCs w:val="18"/>
                <w:color w:val="auto"/>
              </w:rPr>
              <w:t>Date: March 7, 2022</w:t>
            </w:r>
          </w:p>
        </w:tc>
        <w:tc>
          <w:tcPr>
            <w:tcW w:w="2420" w:type="dxa"/>
            <w:vAlign w:val="bottom"/>
          </w:tcPr>
          <w:p>
            <w:pPr>
              <w:ind w:left="20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5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6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5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2021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60" w:type="dxa"/>
            <w:vAlign w:val="bottom"/>
          </w:tcPr>
          <w:p>
            <w:pPr>
              <w:spacing w:after="0"/>
              <w:rPr>
                <w:sz w:val="20"/>
                <w:szCs w:val="20"/>
                <w:color w:val="auto"/>
              </w:rPr>
            </w:pPr>
            <w:r>
              <w:rPr>
                <w:rFonts w:ascii="Arial" w:cs="Arial" w:eastAsia="Arial" w:hAnsi="Arial"/>
                <w:sz w:val="18"/>
                <w:szCs w:val="18"/>
                <w:color w:val="auto"/>
              </w:rPr>
              <w:t>Date: March 7, 2022</w:t>
            </w:r>
          </w:p>
        </w:tc>
        <w:tc>
          <w:tcPr>
            <w:tcW w:w="2380" w:type="dxa"/>
            <w:vAlign w:val="bottom"/>
          </w:tcPr>
          <w:p>
            <w:pPr>
              <w:ind w:left="208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5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0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5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Roman"/>
      <w:start w:val="4"/>
    </w:lvl>
  </w:abstractNum>
  <w:abstractNum w:abstractNumId="9">
    <w:nsid w:val="436C6125"/>
    <w:multiLevelType w:val="hybridMultilevel"/>
    <w:lvl w:ilvl="0">
      <w:lvlJc w:val="left"/>
      <w:lvlText w:val="(%1)"/>
      <w:numFmt w:val="lowerRoman"/>
      <w:start w:val="2"/>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2"/>
    </w:lvl>
  </w:abstractNum>
  <w:abstractNum w:abstractNumId="19">
    <w:nsid w:val="4353D0CD"/>
    <w:multiLevelType w:val="hybridMultilevel"/>
    <w:lvl w:ilvl="0">
      <w:lvlJc w:val="left"/>
      <w:lvlText w:val="(%1)"/>
      <w:numFmt w:val="upperLetter"/>
      <w:start w:val="2"/>
    </w:lvl>
  </w:abstractNum>
  <w:abstractNum w:abstractNumId="20">
    <w:nsid w:val="B03E0C6"/>
    <w:multiLevelType w:val="hybridMultilevel"/>
    <w:lvl w:ilvl="0">
      <w:lvlJc w:val="left"/>
      <w:lvlText w:val="%1."/>
      <w:numFmt w:val="decimal"/>
      <w:start w:val="7"/>
    </w:lvl>
  </w:abstractNum>
  <w:abstractNum w:abstractNumId="21">
    <w:nsid w:val="189A769B"/>
    <w:multiLevelType w:val="hybridMultilevel"/>
    <w:lvl w:ilvl="0">
      <w:lvlJc w:val="left"/>
      <w:lvlText w:val="%1."/>
      <w:numFmt w:val="decimal"/>
      <w:start w:val="8"/>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12" Type="http://schemas.openxmlformats.org/officeDocument/2006/relationships/hyperlink" Target="https://www.sec.gov/Archives/edgar/data/1163668/000114036119013399/ex2_1.htm" TargetMode="External"/><Relationship Id="rId113" Type="http://schemas.openxmlformats.org/officeDocument/2006/relationships/hyperlink" Target="https://www.sec.gov/Archives/edgar/data/1163668/000114036119007042/s002614x4_ex3-1.htm" TargetMode="External"/><Relationship Id="rId114" Type="http://schemas.openxmlformats.org/officeDocument/2006/relationships/hyperlink" Target="https://www.sec.gov/Archives/edgar/data/0001163668/000114036121036078/brhc10030259_ex3-1.htm" TargetMode="External"/><Relationship Id="rId115" Type="http://schemas.openxmlformats.org/officeDocument/2006/relationships/hyperlink" Target="https://www.sec.gov/Archives/edgar/data/1163668/000114036119007758/s002614x6_ex4-1.htm" TargetMode="External"/><Relationship Id="rId116" Type="http://schemas.openxmlformats.org/officeDocument/2006/relationships/hyperlink" Target="https://www.sec.gov/Archives/edgar/data/1163668/000114036120021876/brhc10015606_ex4-1.htm" TargetMode="External"/><Relationship Id="rId117" Type="http://schemas.openxmlformats.org/officeDocument/2006/relationships/hyperlink" Target="https://www.sec.gov/Archives/edgar/data/1163668/000114036119013399/ex10_1.htm" TargetMode="External"/><Relationship Id="rId118" Type="http://schemas.openxmlformats.org/officeDocument/2006/relationships/hyperlink" Target="https://www.sec.gov/Archives/edgar/data/1163668/000114036119013399/ex10_2.htm" TargetMode="External"/><Relationship Id="rId119" Type="http://schemas.openxmlformats.org/officeDocument/2006/relationships/hyperlink" Target="https://www.sec.gov/Archives/edgar/data/1163668/000114036119022915/ex10_1.htm" TargetMode="External"/><Relationship Id="rId120" Type="http://schemas.openxmlformats.org/officeDocument/2006/relationships/hyperlink" Target="https://www.sec.gov/Archives/edgar/data/1163668/000114036119007758/s002614x6_ex10-4.htm" TargetMode="External"/><Relationship Id="rId121" Type="http://schemas.openxmlformats.org/officeDocument/2006/relationships/hyperlink" Target="https://www.sec.gov/Archives/edgar/data/0001163668/000114036121042617/brhc10032142_ex10-1.htm" TargetMode="External"/><Relationship Id="rId122" Type="http://schemas.openxmlformats.org/officeDocument/2006/relationships/hyperlink" Target="https://www.sec.gov/Archives/edgar/data/0001163668/000114036121042617/brhc10032142_ex10-2.htm" TargetMode="External"/><Relationship Id="rId123" Type="http://schemas.openxmlformats.org/officeDocument/2006/relationships/hyperlink" Target="https://www.sec.gov/Archives/edgar/data/1163668/000114036119007758/s002614x6_ex10-1.htm" TargetMode="External"/><Relationship Id="rId125" Type="http://schemas.openxmlformats.org/officeDocument/2006/relationships/hyperlink" Target="https://www.sec.gov/Archives/edgar/data/1163668/000114036119007758/s002614x6_ex10-2.htm" TargetMode="External"/><Relationship Id="rId126" Type="http://schemas.openxmlformats.org/officeDocument/2006/relationships/hyperlink" Target="https://www.sec.gov/Archives/edgar/data/1163668/000114036119007758/s002614x6_ex10-3.htm" TargetMode="External"/><Relationship Id="rId127" Type="http://schemas.openxmlformats.org/officeDocument/2006/relationships/hyperlink" Target="https://www.sec.gov/Archives/edgar/data/1163668/000114036119007758/s002614x6_ex10-9.htm" TargetMode="External"/><Relationship Id="rId128" Type="http://schemas.openxmlformats.org/officeDocument/2006/relationships/hyperlink" Target="https://www.sec.gov/Archives/edgar/data/1163668/000114036119007758/s002614x6_ex10-5.htm" TargetMode="External"/><Relationship Id="rId129" Type="http://schemas.openxmlformats.org/officeDocument/2006/relationships/hyperlink" Target="https://www.sec.gov/Archives/edgar/data/1163668/000114036119007758/s002614x6_ex10-6.htm" TargetMode="External"/><Relationship Id="rId130" Type="http://schemas.openxmlformats.org/officeDocument/2006/relationships/hyperlink" Target="https://www.sec.gov/Archives/edgar/data/1163668/000114036119007758/s002614x6_ex10-7.htm" TargetMode="External"/><Relationship Id="rId131" Type="http://schemas.openxmlformats.org/officeDocument/2006/relationships/hyperlink" Target="https://www.sec.gov/Archives/edgar/data/1163668/000114036119007758/s002614x6_ex10-8.htm" TargetMode="External"/><Relationship Id="rId132" Type="http://schemas.openxmlformats.org/officeDocument/2006/relationships/hyperlink" Target="https://www.sec.gov/Archives/edgar/data/1163668/000114036120021876/brhc10015606_ex10-1.htm" TargetMode="External"/><Relationship Id="rId133" Type="http://schemas.openxmlformats.org/officeDocument/2006/relationships/hyperlink" Target="https://www.sec.gov/Archives/edgar/data/1163668/000114036120021876/bhrc10015606_ex10-2.htm" TargetMode="External"/><Relationship Id="rId134" Type="http://schemas.openxmlformats.org/officeDocument/2006/relationships/hyperlink" Target="https://www.sec.gov/Archives/edgar/data/0001163668/000114036121035472/brhc10030069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2022-03-08T05:26:02Z</dcterms:created>
  <dcterms:modified xsi:type="dcterms:W3CDTF">2022-03-08T05:26:02Z</dcterms:modified>
</cp:coreProperties>
</file>