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Valles Noe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SPFI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285,512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acquired from Curtis C. Griffith, a director and executive officer of the Issuer, in a private transaction.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Noe G.</w:t>
        <w:tab/>
        <w:t>05/08/2024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Valles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289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2024-05-08T14:40:43Z</dcterms:created>
  <dcterms:modified xsi:type="dcterms:W3CDTF">2024-05-08T14:40:43Z</dcterms:modified>
</cp:coreProperties>
</file>