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184150</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220980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660" w:right="1440" w:hanging="3652"/>
        <w:spacing w:after="0" w:line="500" w:lineRule="auto"/>
        <w:tabs>
          <w:tab w:leader="none" w:pos="6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214630</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79407</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(806) 792-7101</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7, 2022, the registrant had 16,999,841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98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80" w:type="dxa"/>
            <w:vAlign w:val="bottom"/>
            <w:gridSpan w:val="6"/>
          </w:tcPr>
          <w:p>
            <w:pPr>
              <w:ind w:left="4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162"/>
        </w:trPr>
        <w:tc>
          <w:tcPr>
            <w:tcW w:w="84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PART I.</w:t>
            </w:r>
          </w:p>
        </w:tc>
        <w:tc>
          <w:tcPr>
            <w:tcW w:w="9840" w:type="dxa"/>
            <w:vAlign w:val="bottom"/>
            <w:gridSpan w:val="18"/>
            <w:shd w:val="clear" w:color="auto" w:fill="CCEEFF"/>
          </w:tcPr>
          <w:p>
            <w:pPr>
              <w:ind w:left="80"/>
              <w:spacing w:after="0" w:line="142" w:lineRule="exact"/>
              <w:rPr>
                <w:sz w:val="20"/>
                <w:szCs w:val="20"/>
                <w:color w:val="auto"/>
              </w:rPr>
            </w:pPr>
            <w:r>
              <w:rPr>
                <w:rFonts w:ascii="Arial" w:cs="Arial" w:eastAsia="Arial" w:hAnsi="Arial"/>
                <w:sz w:val="16"/>
                <w:szCs w:val="16"/>
                <w:color w:val="0000EE"/>
              </w:rPr>
              <w:t>FINANCIAL INFORMATION</w:t>
            </w:r>
          </w:p>
        </w:tc>
        <w:tc>
          <w:tcPr>
            <w:tcW w:w="56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Consolidated Financial Statements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88"/>
              </w:rPr>
              <w:t>Consolidated Balance Sheets (Unaudited)</w:t>
            </w:r>
          </w:p>
        </w:tc>
        <w:tc>
          <w:tcPr>
            <w:tcW w:w="648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80" w:type="dxa"/>
            <w:vAlign w:val="bottom"/>
            <w:gridSpan w:val="16"/>
          </w:tcPr>
          <w:p>
            <w:pPr>
              <w:spacing w:after="0" w:line="176" w:lineRule="exact"/>
              <w:rPr>
                <w:sz w:val="20"/>
                <w:szCs w:val="20"/>
                <w:color w:val="auto"/>
              </w:rPr>
            </w:pPr>
            <w:r>
              <w:rPr>
                <w:rFonts w:ascii="Arial" w:cs="Arial" w:eastAsia="Arial" w:hAnsi="Arial"/>
                <w:sz w:val="18"/>
                <w:szCs w:val="18"/>
                <w:color w:val="0000EE"/>
              </w:rPr>
              <w:t>Consolidated Statements of Comprehensive Income (Loss) (Unaudited)</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Changes in Stockholders’ Equity (Unaudited)</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176"/>
        </w:trPr>
        <w:tc>
          <w:tcPr>
            <w:tcW w:w="7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30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Consolidated Statements of Cash Flows (Unaudited)</w:t>
            </w:r>
          </w:p>
        </w:tc>
        <w:tc>
          <w:tcPr>
            <w:tcW w:w="41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9"/>
              </w:rPr>
              <w:t>Notes to Consolidated Financial Statements (Unaudited)</w:t>
            </w:r>
          </w:p>
        </w:tc>
        <w:tc>
          <w:tcPr>
            <w:tcW w:w="542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Controls and Procedures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OTHER INFORMATION</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Legal Proceedings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Risk Factors</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Defaults Upon Senior Securities</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Mine Safety Disclosures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Other Information</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Exhibits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Signatures</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398"/>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33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7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940" w:type="dxa"/>
            <w:vAlign w:val="bottom"/>
            <w:gridSpan w:val="2"/>
            <w:vMerge w:val="continue"/>
          </w:tcPr>
          <w:p>
            <w:pPr>
              <w:spacing w:after="0"/>
              <w:rPr>
                <w:sz w:val="13"/>
                <w:szCs w:val="13"/>
                <w:color w:val="auto"/>
              </w:rPr>
            </w:pPr>
          </w:p>
        </w:tc>
        <w:tc>
          <w:tcPr>
            <w:tcW w:w="27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68,425</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277,213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418,396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329,962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711,412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724,504</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26,922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76,507</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2,690,366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2,437,577</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(39,657)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(42,098)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4"/>
          </w:tcPr>
          <w:p>
            <w:pPr>
              <w:ind w:left="180"/>
              <w:spacing w:after="0"/>
              <w:rPr>
                <w:sz w:val="20"/>
                <w:szCs w:val="20"/>
                <w:color w:val="auto"/>
              </w:rPr>
            </w:pPr>
            <w:r>
              <w:rPr>
                <w:rFonts w:ascii="Arial" w:cs="Arial" w:eastAsia="Arial" w:hAnsi="Arial"/>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2,650,709</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2,395,479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56,532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57,699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72,874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71,978</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28,424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8"/>
                <w:szCs w:val="18"/>
                <w:color w:val="auto"/>
                <w:w w:val="90"/>
              </w:rPr>
              <w:t>Other assets</w:t>
            </w:r>
          </w:p>
        </w:tc>
        <w:tc>
          <w:tcPr>
            <w:tcW w:w="27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54,902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26,826</w:t>
            </w:r>
          </w:p>
        </w:tc>
        <w:tc>
          <w:tcPr>
            <w:tcW w:w="0" w:type="dxa"/>
            <w:vAlign w:val="bottom"/>
          </w:tcPr>
          <w:p>
            <w:pPr>
              <w:spacing w:after="0"/>
              <w:rPr>
                <w:sz w:val="1"/>
                <w:szCs w:val="1"/>
                <w:color w:val="auto"/>
              </w:rPr>
            </w:pPr>
          </w:p>
        </w:tc>
      </w:tr>
      <w:tr>
        <w:trPr>
          <w:trHeight w:val="256"/>
        </w:trPr>
        <w:tc>
          <w:tcPr>
            <w:tcW w:w="8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3,992,690</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gridSpan w:val="2"/>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27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1,262,072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1,071,367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Interest-bearing</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2,198,464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2,269,855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Arial" w:cs="Arial" w:eastAsia="Arial" w:hAnsi="Arial"/>
                <w:sz w:val="18"/>
                <w:szCs w:val="18"/>
                <w:color w:val="auto"/>
              </w:rPr>
              <w:t>Total deposits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3,460,536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3,341,222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68,048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Subordinated debt securities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75,914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75,775</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3,650,891</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3,494,428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4"/>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Common stock, $1.00 par value per share, 30,000,000 shares authorized; 17,064,640 and 17,760,243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outstanding at September 30,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17,065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116,565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133,215</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281,679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242,750</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(73,510)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13,702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341,799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3,992,690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3,901,855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89,458</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3,487</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34,438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114,940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100,436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6,373</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3,044</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12,786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35,102</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(1,918)</w:t>
            </w: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6,146</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41,108</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8,760</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mortgage banking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1,390</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3,659</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71,811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10,960</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3,640</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4,689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13,468</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57,109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54,876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15,458</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45,619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0.86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15,458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45,619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Unrealized gain (loss)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(39,102)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(5,964)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(126,076)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(13,835)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Change in fair value on hedged state and municipal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4,943</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Tax effect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23,183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(11,220)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(41,593)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36,975</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jc w:val="right"/>
              <w:ind w:right="8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Nine Months Ended September 30,</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18,076,364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370,048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44,000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dividends declared - $0.21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2,906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5,013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(272,822)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(5,809)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17,824,094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17,824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136,401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229,737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398,276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17,760,243</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133,215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242,750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407,427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45,619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6"/>
              </w:rPr>
              <w:t>Cash dividends declared - $0.34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(5,973)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(87,212)</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8"/>
              </w:rPr>
              <w:t>Impact of adoption of Topic 842 related to</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leases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16,255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11,126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(729,613)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(18,197)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(18,926)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17,064,640</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17,065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116,565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281,679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(73,510)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341,799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18,014,398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216,164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392,815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15,190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dividends declared - $0.09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(4,111)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(190,304)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17,824,094</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229,737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17,417,094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15,458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15,458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dividends declared - $0.12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(26,678)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(26,678)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2"/>
              </w:rPr>
              <w:t>11,431 shares for cashless exercise and net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of 3,997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(366,127)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(9,352)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17,064,640</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17,065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116,565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281,679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(73,510)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341,799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44,000</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(1,918)</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Other gains, net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(17,924)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(41,108)</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659,061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1,243,380</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(594,246)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(1,189,693)</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Deferred income tax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on 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valuation of mortgage servicing rights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Net change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interest receivable and other assets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r>
      <w:tr>
        <w:trPr>
          <w:trHeight w:val="223"/>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26,702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r>
      <w:tr>
        <w:trPr>
          <w:trHeight w:val="223"/>
        </w:trPr>
        <w:tc>
          <w:tcPr>
            <w:tcW w:w="8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118,945</w:t>
            </w:r>
          </w:p>
        </w:tc>
        <w:tc>
          <w:tcPr>
            <w:tcW w:w="2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Activity in securities available for sale: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(176,713)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(61,548)</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Maturities, prepayments, and calls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60,772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94,978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(252,828)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(209,047)</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(3,294)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(2,319)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foreclosed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(369,934)</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change in deposits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119,314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237,894</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(26,550)</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Payments to tax authorities for stock-based compensation</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made on notes payable and other borrowings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Cash dividends on common stock</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(5,973)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(3,784)</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to repurchase common stock</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(18,926)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(6,082)</w:t>
            </w:r>
          </w:p>
        </w:tc>
      </w:tr>
      <w:tr>
        <w:trPr>
          <w:trHeight w:val="223"/>
        </w:trPr>
        <w:tc>
          <w:tcPr>
            <w:tcW w:w="868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94,130</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126,372</w:t>
            </w:r>
          </w:p>
        </w:tc>
        <w:tc>
          <w:tcPr>
            <w:tcW w:w="100" w:type="dxa"/>
            <w:vAlign w:val="bottom"/>
            <w:tcBorders>
              <w:top w:val="single" w:sz="8" w:color="CCEEFF"/>
            </w:tcBorders>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(156,859)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27,293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486,821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329,962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327,600</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paid on deposits and borrowed funds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10,774</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8,842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schedule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Loans transferred to foreclosed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11"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8"/>
          <w:szCs w:val="18"/>
          <w:i w:val="1"/>
          <w:iCs w:val="1"/>
          <w:u w:val="single" w:color="auto"/>
          <w:color w:val="auto"/>
        </w:rPr>
        <w:t>Nature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South Plains Financial, Inc. (“SPFI”) is a Texas corporation and registered bank holding company that conducts its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Windmark Insurance Agency, Inc. (“Windmark”)</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 Provence,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CBT Properties,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Wholly-Owned, Equity Method Subsidiaries:</w:t>
            </w:r>
          </w:p>
        </w:tc>
        <w:tc>
          <w:tcPr>
            <w:tcW w:w="6460" w:type="dxa"/>
            <w:vAlign w:val="bottom"/>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Basis of Presentation and Consolidation</w:t>
      </w:r>
      <w:r>
        <w:rPr>
          <w:rFonts w:ascii="Arial" w:cs="Arial" w:eastAsia="Arial" w:hAnsi="Arial"/>
          <w:sz w:val="17"/>
          <w:szCs w:val="17"/>
          <w:i w:val="1"/>
          <w:iCs w:val="1"/>
          <w:color w:val="auto"/>
        </w:rPr>
        <w:t xml:space="preserve"> </w:t>
      </w:r>
      <w:r>
        <w:rPr>
          <w:rFonts w:ascii="Arial" w:cs="Arial" w:eastAsia="Arial" w:hAnsi="Arial"/>
          <w:sz w:val="17"/>
          <w:szCs w:val="17"/>
          <w:color w:val="auto"/>
        </w:rPr>
        <w:t>– The consolidated financial statements in this Quarterly Report on Form 10-Q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2022 (this “Form 10-Q”) include the accounts of SPFI and its wholly-owned consolidated subsidiaries (collectively referred to as the “Company”) identified above. All significant intercompany balances and transactions have been eliminated in consolidation.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2021. Operating results for the interim periods disclosed herein are not necessarily indicative of the results that may be expected for a full year or any future period.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derivatives, mortgage servicing rights, the valuation of foreclosed assets, and fair values of financial instruments can also involve significant management estimates.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Investment securities may be classified into trading, held to maturity (“HTM”) or available for sale (“AFS”) portfolios. Securities that are held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Allowance for Loan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allowance for loan losses is established by management as an estimate to cover probable loan losses through a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collectability of the loans in the Company’s loan portfolio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Acquired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the Company acquires in connection with business combinations are recorded at fair value with no carryover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Any loans the Company determines have evidence of deterioration of credit quality since origination, and it is probable, at acquisition, that all contractually required payments will not be collected, are considered to be purchase credit impaired loans. 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Financial Accounting Standards Board (“FASB”) Accounting Standards Codification (“ASC”) 310-30, </w:t>
      </w:r>
      <w:r>
        <w:rPr>
          <w:rFonts w:ascii="Arial" w:cs="Arial" w:eastAsia="Arial" w:hAnsi="Arial"/>
          <w:sz w:val="16"/>
          <w:szCs w:val="16"/>
          <w:i w:val="1"/>
          <w:iCs w:val="1"/>
          <w:color w:val="auto"/>
        </w:rPr>
        <w:t xml:space="preserve">Loans and Debt Securities Acquired with Deteriorated Credit Quality. </w:t>
      </w:r>
      <w:r>
        <w:rPr>
          <w:rFonts w:ascii="Arial" w:cs="Arial" w:eastAsia="Arial" w:hAnsi="Arial"/>
          <w:sz w:val="16"/>
          <w:szCs w:val="16"/>
          <w:color w:val="auto"/>
        </w:rPr>
        <w:t>The nonaccretable discount includes estimated future credit losses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Loans acquired through business combinations that do not meet the specific criteria of ASC 310-30 are accounted for under ASC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Nonrefundable Fees and Other Costs</w:t>
      </w:r>
      <w:r>
        <w:rPr>
          <w:rFonts w:ascii="Arial" w:cs="Arial" w:eastAsia="Arial" w:hAnsi="Arial"/>
          <w:sz w:val="18"/>
          <w:szCs w:val="18"/>
          <w:color w:val="auto"/>
        </w:rPr>
        <w:t>. These loans are initially recorded at fair value, and include credit and interest rate marks associated with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Mortgage Servicing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When mortgage loans are sold with servicing retained, servicing rights are initially recorded at fair value with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combined financial statements. The fair values of servicing rights are subject to significant fluctuations as a result of changes in estimated and actual prepayment speeds and default rates and losses.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Goodwill and Other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Goodwill resulting from business combinations is generally determined as the excess of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goodwill impairment recorded for the nine months ended September 30, 2022 and the year ended December 31, 2021.</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other intangible assets consist of customer relationship and employment agreement intangible assets and are amortized over their estimated useful lives of 5 years using the straight-line method.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Banking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 Commitments to fund mortgage loans (interest rate locks) to be sold into the secondary market, forward commitments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consolidated financial statements.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 Company’s intentions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(loss)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Leases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the second quarter of 2022, the Company adopted Accounting Standards Update (“ASU”) No. 2016-02 — Leases (Topic 842), effective as</w:t>
      </w:r>
      <w:r>
        <w:rPr>
          <w:rFonts w:ascii="Arial" w:cs="Arial" w:eastAsia="Arial" w:hAnsi="Arial"/>
          <w:sz w:val="17"/>
          <w:szCs w:val="17"/>
          <w:i w:val="1"/>
          <w:iCs w:val="1"/>
          <w:color w:val="auto"/>
        </w:rPr>
        <w:t xml:space="preserve"> </w:t>
      </w:r>
      <w:r>
        <w:rPr>
          <w:rFonts w:ascii="Arial" w:cs="Arial" w:eastAsia="Arial" w:hAnsi="Arial"/>
          <w:sz w:val="17"/>
          <w:szCs w:val="17"/>
          <w:color w:val="auto"/>
        </w:rPr>
        <w:t>of January 1, 2022, using the alternative transition method under the option to apply the lease standard at its effective date without adjusting the prior period comparative financial statements. The Company elected the package of practical expedients to not reassess: (i) whether any existing contracts are or contain a lease, (ii) the lease classification of any existing leases, and (iii) initial direct costs related to existing leases. The Company also elected to apply additional practical expedients to include both the lease and nonlease components of all leases as a single component and account for it as a lease and to use hindsight for leases existing at the adoption date. The Company recorded a $9.4 million right-of-use (“ROU”) asset, offset by a $10.3 million lease liability, and a $717 thousand, net of tax, cumulative effect adjustment debit to retained earnings.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determines if an arrangement is a lease at inception. Operating leases with a term of greater than one year are included in other assets and other liabilities on the Company’s Consolidated Balance Sheets. Finance leases, if any, are included in premises and equipment and other liabilities on the Company’s Consolidated Balance Sheets. The Company has lease agreements with lease and nonlease components, which are generally accounted for as a single lease component. The Company has made an accounting policy election not to recognize short-term lease assets and liabilities (less than a 12-month term) or equipment leases (deemed not significant) on its Consolidated Balance Sheets; instead, the Company recognizes the lease expense for these leases on a straight-line basis over the life of the lease.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its obligation to make lease payments arising from the lease. Operating lease ROU assets and liabilities are recognized on the lease commencement date based on the present value of lease payments over the lease term. As most of the Company’s leases do not provide an implicit rate, the Company uses an estimated incremental collateralized borrowing rate at lease inception, on a collateralized basis, over a similar term, when determining the present value of lease payments.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 significant judgments or assumptions were involved in developing the estimated operating lease liabilities as the Company’s operating lease liabilities largely represent the future rental expenses associated with operating leases, and the incremental borrowing rates are based on publicly available interest rates. The operating lease ROU asset also includes any lease payments made and excludes lease incentives. The Company’s lease terms may include options to extend or terminate the lease. These options to extend or terminate are assessed on a lease-by-lease basis, and the ROU assets and lease liabilities are adjusted when it is reasonably certain that an option will be exercised. Rental expense for lease payments is recognized on a straight-line basis over the lease term and is included in occupancy and equipment, net within our Consolidated Statements of Comprehensive Income (Loss).</w:t>
      </w:r>
    </w:p>
    <w:p>
      <w:pPr>
        <w:sectPr>
          <w:pgSz w:w="11900" w:h="16838" w:orient="portrait"/>
          <w:cols w:equalWidth="0" w:num="1">
            <w:col w:w="11240"/>
          </w:cols>
          <w:pgMar w:left="320" w:top="122"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and subleases certain facilities and office space to outside parties; however, these leases are not significant.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sponsors an equity incentive plan under which options to acquire shares of the Company’s common stock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 Basic earnings per share is net income divided by the weighted average number of common shares outstanding during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includes the dilutive effect of additional potential shares issuable under stock options. Earnings and dividends per share are restated for all stock splits and stock dividends through the date of issuance of the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two reportable segments: banking and insurance. The accounting policies of the segments are the same as those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Reclassifications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amounts from the 2021 consolidated financial statements have been reclassified to conform to the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FASB ASC constitutes GAAP for nongovernmental entities. Updates to ASC are prescribed in ASUs, which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authoritative until incorporated into the ASC.</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ASU 2021-01, Reference Rate Reform (Topic 848). </w:t>
      </w:r>
      <w:r>
        <w:rPr>
          <w:rFonts w:ascii="Arial" w:cs="Arial" w:eastAsia="Arial" w:hAnsi="Arial"/>
          <w:sz w:val="16"/>
          <w:szCs w:val="16"/>
          <w:color w:val="auto"/>
        </w:rPr>
        <w:t>In January 2021, the FASB issued ASU 2021-01 to clarify the scope of Topic 848 so that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ASU 2020-04, Reference Rate Reform (Topic 848): Facilitation of the Effects of Reference Rate Reform on Financial Reporting. </w:t>
      </w:r>
      <w:r>
        <w:rPr>
          <w:rFonts w:ascii="Arial" w:cs="Arial" w:eastAsia="Arial" w:hAnsi="Arial"/>
          <w:sz w:val="17"/>
          <w:szCs w:val="17"/>
          <w:color w:val="auto"/>
        </w:rPr>
        <w:t>In March 2020,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ASU 2019-12, Income Taxes, Simplifying the Accounting for Income Taxes (Topic 740). </w:t>
      </w:r>
      <w:r>
        <w:rPr>
          <w:rFonts w:ascii="Arial" w:cs="Arial" w:eastAsia="Arial" w:hAnsi="Arial"/>
          <w:sz w:val="18"/>
          <w:szCs w:val="18"/>
          <w:color w:val="auto"/>
        </w:rPr>
        <w:t>In December 2019, the FASB issued ASU 2019-12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The FASB issued guidance to replace the incurred loss model with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has contracted with a third-party vendor to assist in the implementation of CECL. The model has been developed and validation is underway. The Company expects to adopt CECL effective January 1, 2023.</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evaluated subsequent events and transactions from September 30, 2022 through the date this Form 10-Q was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 for potential recognition or disclosure as required by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14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8"/>
              </w:rPr>
              <w:t>September 30, 2022</w:t>
            </w:r>
          </w:p>
        </w:tc>
        <w:tc>
          <w:tcPr>
            <w:tcW w:w="4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220,153</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445,312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(71,340)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373,972</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86,120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85,810</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22,166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(2,066)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20,100</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11,377</w:t>
            </w:r>
          </w:p>
        </w:tc>
      </w:tr>
      <w:tr>
        <w:trPr>
          <w:trHeight w:val="27"/>
        </w:trPr>
        <w:tc>
          <w:tcPr>
            <w:tcW w:w="146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825,879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(114,481)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711,412</w:t>
            </w:r>
          </w:p>
        </w:tc>
      </w:tr>
      <w:tr>
        <w:trPr>
          <w:trHeight w:val="21"/>
        </w:trPr>
        <w:tc>
          <w:tcPr>
            <w:tcW w:w="1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2021</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Available for sale:</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275,672</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302,973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(4,114)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303,089</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106,320</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26,046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26,936</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12,487</w:t>
            </w:r>
          </w:p>
        </w:tc>
      </w:tr>
      <w:tr>
        <w:trPr>
          <w:trHeight w:val="27"/>
        </w:trPr>
        <w:tc>
          <w:tcPr>
            <w:tcW w:w="14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712,895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724,504</w:t>
            </w:r>
          </w:p>
        </w:tc>
      </w:tr>
      <w:tr>
        <w:trPr>
          <w:trHeight w:val="20"/>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securities at September 30, 2022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8,499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242,144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202,543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553,598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825,879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711,412</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September 30, 2022 and December 31, 2021, there were no holdings of securities of any one issuer, other than the U.S. government, its agencies, or its sponsored enterprises, in an amount greater than 10% of stockholders’ equity.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approximately $449.9 million and $474.5 million at September 30, 2022 and December 31, 2021, respectively, were pledged to collateralize public deposits and for other purposes as required or permitted by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segregates securities with unrealized losses at the periods indicated, by the duration they have been in a loss position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6"/>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2022</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40,142</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283,240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44,093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90,731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27,247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373,971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71,340</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85,810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02"/>
        </w:trPr>
        <w:tc>
          <w:tcPr>
            <w:tcW w:w="3280" w:type="dxa"/>
            <w:vAlign w:val="bottom"/>
            <w:gridSpan w:val="3"/>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20,100</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2,066</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606,529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84,463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101,953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708,482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114,481</w:t>
            </w:r>
          </w:p>
        </w:tc>
      </w:tr>
      <w:tr>
        <w:trPr>
          <w:trHeight w:val="21"/>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56,398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64,764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121,162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4,114</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r>
        <w:trPr>
          <w:trHeight w:val="202"/>
        </w:trPr>
        <w:tc>
          <w:tcPr>
            <w:tcW w:w="3280" w:type="dxa"/>
            <w:vAlign w:val="bottom"/>
            <w:gridSpan w:val="3"/>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185,597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64,764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250,361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were 174 securities with an unrealized loss at September 30, 2022, generally due to increases in market rates. Management does not believe that these losses are other than temporary as there is no intent to sell any of these securities before recovery and it is not probable the Company will be required to sell any of these securities before recovery, and credit loss, if any, is not material. These unrealized losses are largely due to significant increases in market interest rates experienced during the first nine months of 2022 over the yields available at the time the underlying securities were purchased, which was attributed to the Federal Open Market Committee (“FOMC”) of the Board of Governors of the Federal Reserve System (the “Federal Reserve”) repeatedly raising their target benchmark interest rate in the first nine months of 2022, resulting in subsequent prime rate increases of 300 basis points between March and September of 2022. The fair value is expected to recover as the securities approach their maturity date or if market yields for such investments decline in future periods. Management does not believe any of the securities are impaired due to reasons of credit quality. Accordingly, as of September 30, 2022, management believes the impairments detailed in the table above are temporary and no impairment loss has been realized in the Company’s combined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3. LOANS HELD FOR 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6"/>
              </w:rPr>
              <w:t>Loans held for investment are summarized by category as of the periods presented below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368,204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378,725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460,024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387,690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309,110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240,719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161,286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146,862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2,690,366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2,437,577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(39,657)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(42,098)</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2,650,709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 ability to operate</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ectPr>
          <w:pgSz w:w="11900" w:h="16838" w:orient="portrait"/>
          <w:cols w:equalWidth="0" w:num="1">
            <w:col w:w="11240"/>
          </w:cols>
          <w:pgMar w:left="320" w:top="122" w:right="339" w:bottom="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 commercial loans.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Loans to consumers include 1-4 family residential loans, auto loans, and other loans for recreational vehicles or other purposes.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allowance for loan losses was $39.7 million at September 30, 2022, compared to $42.1 million at December 31, 2021. The ratio of allowance for loan losses to loans held for investment was 1.47% at September 30, 2022 and 1.73% at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activity in the allowance for loan losses for the periods indicated (dollars in thousands). Allocation of a portion of the allowance to one category of loans does not preclude its availability to absorb losses in other categories.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5"/>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For the three months ended September 30, 2022</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12,611</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3,705</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10,425</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3,892</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r>
      <w:tr>
        <w:trPr>
          <w:trHeight w:val="257"/>
        </w:trPr>
        <w:tc>
          <w:tcPr>
            <w:tcW w:w="3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For the three months ended September 30, 2021</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Commercial real estate</w:t>
            </w:r>
          </w:p>
        </w:tc>
        <w:tc>
          <w:tcPr>
            <w:tcW w:w="1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17,288</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18,248</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8,171</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5,201</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r>
      <w:tr>
        <w:trPr>
          <w:trHeight w:val="27"/>
        </w:trPr>
        <w:tc>
          <w:tcPr>
            <w:tcW w:w="3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42,963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42,768</w:t>
            </w: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Provision for</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5"/>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For the nine months ended September 30, 2022</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12,611</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3,705</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10,425</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3,892</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r>
      <w:tr>
        <w:trPr>
          <w:trHeight w:val="256"/>
        </w:trPr>
        <w:tc>
          <w:tcPr>
            <w:tcW w:w="3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For the nine months ended September 30, 2021</w:t>
            </w:r>
          </w:p>
        </w:tc>
        <w:tc>
          <w:tcPr>
            <w:tcW w:w="12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18,962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18,248</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8,171</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5,201</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r>
      <w:tr>
        <w:trPr>
          <w:trHeight w:val="27"/>
        </w:trPr>
        <w:tc>
          <w:tcPr>
            <w:tcW w:w="3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45,553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42,768</w:t>
            </w:r>
          </w:p>
        </w:tc>
      </w:tr>
      <w:tr>
        <w:trPr>
          <w:trHeight w:val="21"/>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Company’s investment in loans disaggregated based on the method of evaluating impairment at the dates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Individually</w:t>
            </w: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Evaluated</w:t>
            </w:r>
          </w:p>
        </w:tc>
        <w:tc>
          <w:tcPr>
            <w:tcW w:w="8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Evaluated</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c>
          <w:tcPr>
            <w:tcW w:w="0" w:type="dxa"/>
            <w:vAlign w:val="bottom"/>
          </w:tcPr>
          <w:p>
            <w:pPr>
              <w:spacing w:after="0"/>
              <w:rPr>
                <w:sz w:val="1"/>
                <w:szCs w:val="1"/>
                <w:color w:val="auto"/>
              </w:rPr>
            </w:pPr>
          </w:p>
        </w:tc>
      </w:tr>
      <w:tr>
        <w:trPr>
          <w:trHeight w:val="176"/>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20"/>
              <w:spacing w:after="0"/>
              <w:rPr>
                <w:sz w:val="20"/>
                <w:szCs w:val="20"/>
                <w:color w:val="auto"/>
              </w:rPr>
            </w:pPr>
            <w:r>
              <w:rPr>
                <w:rFonts w:ascii="Arial" w:cs="Arial" w:eastAsia="Arial" w:hAnsi="Arial"/>
                <w:sz w:val="4"/>
                <w:szCs w:val="4"/>
                <w:color w:val="auto"/>
                <w:w w:val="87"/>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869,231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12,611</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368,204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473,740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10,317</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424,052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309,110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161,286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4"/>
                <w:szCs w:val="4"/>
                <w:color w:val="auto"/>
                <w:w w:val="87"/>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2,686,147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ind w:right="20"/>
              <w:spacing w:after="0"/>
              <w:rPr>
                <w:sz w:val="20"/>
                <w:szCs w:val="20"/>
                <w:color w:val="auto"/>
              </w:rPr>
            </w:pPr>
            <w:r>
              <w:rPr>
                <w:rFonts w:ascii="Arial" w:cs="Arial" w:eastAsia="Arial" w:hAnsi="Arial"/>
                <w:sz w:val="4"/>
                <w:szCs w:val="4"/>
                <w:color w:val="auto"/>
                <w:w w:val="87"/>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754,343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16,661</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378,725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454,946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386,098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68,113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ind w:right="20"/>
              <w:spacing w:after="0"/>
              <w:rPr>
                <w:sz w:val="20"/>
                <w:szCs w:val="20"/>
                <w:color w:val="auto"/>
              </w:rPr>
            </w:pPr>
            <w:r>
              <w:rPr>
                <w:rFonts w:ascii="Arial" w:cs="Arial" w:eastAsia="Arial" w:hAnsi="Arial"/>
                <w:sz w:val="4"/>
                <w:szCs w:val="4"/>
                <w:color w:val="auto"/>
                <w:w w:val="87"/>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2,429,806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40,754</w:t>
            </w:r>
          </w:p>
        </w:tc>
        <w:tc>
          <w:tcPr>
            <w:tcW w:w="0" w:type="dxa"/>
            <w:vAlign w:val="bottom"/>
          </w:tcPr>
          <w:p>
            <w:pPr>
              <w:spacing w:after="0"/>
              <w:rPr>
                <w:sz w:val="1"/>
                <w:szCs w:val="1"/>
                <w:color w:val="auto"/>
              </w:rPr>
            </w:pPr>
          </w:p>
        </w:tc>
      </w:tr>
      <w:tr>
        <w:trPr>
          <w:trHeight w:val="20"/>
        </w:trPr>
        <w:tc>
          <w:tcPr>
            <w:tcW w:w="6020" w:type="dxa"/>
            <w:vAlign w:val="bottom"/>
            <w:gridSpan w:val="9"/>
            <w:vMerge w:val="restart"/>
          </w:tcPr>
          <w:p>
            <w:pPr>
              <w:spacing w:after="0"/>
              <w:rPr>
                <w:sz w:val="20"/>
                <w:szCs w:val="20"/>
                <w:color w:val="auto"/>
              </w:rPr>
            </w:pPr>
            <w:r>
              <w:rPr>
                <w:rFonts w:ascii="Arial" w:cs="Arial" w:eastAsia="Arial" w:hAnsi="Arial"/>
                <w:sz w:val="18"/>
                <w:szCs w:val="18"/>
                <w:color w:val="auto"/>
                <w:w w:val="96"/>
              </w:rPr>
              <w:t>Impaired loan information at the dates indicated follows (dollars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020" w:type="dxa"/>
            <w:vAlign w:val="bottom"/>
            <w:gridSpan w:val="9"/>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Related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2022</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3,935</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impaired loans $250 thousand and greater were specifically evaluated for impairment. Interest income recognized using a cash-basis method on impaired loans for the nine months ended September 30, 2022 and the year ended December 31, 2021 was not significant. Additional funds committed to be advanced on impaired loans are not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Past Due</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More Past 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2022</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2021</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5,236</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8,993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9,518</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internal classifications of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5"/>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2022</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27,907</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869,231</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367,346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368,204</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28,812</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477,209</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9,410</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424,802</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308,730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309,110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80,323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80,524</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160,309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977</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161,286</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2,621,821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68,545</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2,690,366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4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713,852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41,592</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755,444</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378,725</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450,790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1,676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7,558</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460,024</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379,458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8,232</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387,690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240,719</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67,822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68,113</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146,862</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2,371,284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64,617</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2,437,577</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 4013 of the Coronavirus Aid, Relief, and Economic Security Act (the “CARES Act”), banks may elect to deem that loan modifications do not result in a classification as a TDR if they are (1) related to the COVID-19 pandemic; (2) executed on a loan that was not more than 30 days past due as of December 31, 2019; and (3) executed between March 1, 2020, and the earlier of (A) 60 days after the date of termination of the national emergency or</w:t>
      </w:r>
    </w:p>
    <w:p>
      <w:pPr>
        <w:spacing w:after="0" w:line="2" w:lineRule="exact"/>
        <w:rPr>
          <w:sz w:val="20"/>
          <w:szCs w:val="20"/>
          <w:color w:val="auto"/>
        </w:rPr>
      </w:pPr>
    </w:p>
    <w:p>
      <w:pPr>
        <w:jc w:val="both"/>
        <w:ind w:firstLine="8"/>
        <w:spacing w:after="0" w:line="255" w:lineRule="auto"/>
        <w:tabs>
          <w:tab w:leader="none" w:pos="299"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December 31, 2020. Under section 540 of the Consolidated Appropriations Act, 2021 (the “Act”), section 4013 of the CARES Act was amended to extend the period for loan modifications to the earlier of (1) January 1, 2022, or (2) 60 days after the date of termination of the national emergency. The Company elected to adopt the provisions of the CARES Act and the Act.</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other short-term modifications made on a good faith basis in response to the COVID-19 pandemic to borrowers who were current prior to any relief are not TDRs under ASC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the Company implemented a short-term deferral modification program that complies with ASC 310-40 and the Joint Interagency Regulatory Guidance. As of September 30, 2022 and December 31, 2021, the Company had no loans under an active modification that comply with ASC 310-40 and the Joint Interagency Regulatory Guidance.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and section 501 of the Act. As of September 30, 2022, the Company had no remaining loans subject to these deferral and modification agreements. As of December 31, 2021 the Company had 3 loans totaling approximately $15.9 million subject to these deferral and modification agreements, representing 0.65% of outstanding loans held for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modified as a TDR during the nine months ended September 30, 2022 and the year ended December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continues to closely monitor for credit changes resulting from the ongoing COVID-19 pandemic (or any current or future variants thereof), the rising interest rate environment, and the persistent high inflation levels in the United States and our market areas.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$19.5 million at September 30, 2022 and December 31, 2021.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intangible assets, which consist of CDI, customer lists, and employment agreements at the dates indicated are summarized below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Amortized intangible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(3,198)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(2,469)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3,481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2,972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(1,733)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(1,287)</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1,239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88"/>
              </w:rPr>
              <w:t>4,720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5,895</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MORTGAGE SERVICING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2,694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8,018</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adjustment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28,424</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18,122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18,122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 others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1,953,095</w:t>
            </w:r>
          </w:p>
        </w:tc>
        <w:tc>
          <w:tcPr>
            <w:tcW w:w="160" w:type="dxa"/>
            <w:vAlign w:val="bottom"/>
            <w:shd w:val="clear" w:color="auto" w:fill="CCEEFF"/>
          </w:tcPr>
          <w:p>
            <w:pPr>
              <w:spacing w:after="0"/>
              <w:rPr>
                <w:sz w:val="18"/>
                <w:szCs w:val="18"/>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Mortgage servicing rights assets as a percentage of serviced mortgage loans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key assumptions used in measuring the fair value of the Company's mortgage servicing rights as of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520" w:type="dxa"/>
            <w:vAlign w:val="bottom"/>
          </w:tcPr>
          <w:p>
            <w:pPr>
              <w:spacing w:after="0"/>
              <w:rPr>
                <w:sz w:val="20"/>
                <w:szCs w:val="20"/>
                <w:color w:val="auto"/>
              </w:rPr>
            </w:pP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constant prepayment rate</w:t>
            </w:r>
          </w:p>
        </w:tc>
        <w:tc>
          <w:tcPr>
            <w:tcW w:w="1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7.34%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460" w:type="dxa"/>
            <w:vAlign w:val="bottom"/>
            <w:gridSpan w:val="2"/>
          </w:tcPr>
          <w:p>
            <w:pPr>
              <w:ind w:left="860"/>
              <w:spacing w:after="0"/>
              <w:rPr>
                <w:sz w:val="20"/>
                <w:szCs w:val="20"/>
                <w:color w:val="auto"/>
              </w:rPr>
            </w:pPr>
            <w:r>
              <w:rPr>
                <w:rFonts w:ascii="Arial" w:cs="Arial" w:eastAsia="Arial" w:hAnsi="Arial"/>
                <w:sz w:val="18"/>
                <w:szCs w:val="18"/>
                <w:color w:val="auto"/>
              </w:rPr>
              <w:t>9.14%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in years</w:t>
            </w:r>
          </w:p>
        </w:tc>
        <w:tc>
          <w:tcPr>
            <w:tcW w:w="1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Debt Securities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December 2018, the Company issued $26.5 million in subordinated debt securities. $12.4 million of the subordinated debt securities have a maturity date of December 2028 and a weighted average fixed rate of 5.74% for the first five years. The remaining $14.1 million of subordinated debt securities have a maturity date of December 2030 and a weighted average fixed rate of 6.41% for the first seven years. After the fixed rate periods, the subordinated debt securities issued in December 2018 will float at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prime rate, with a floor of 4.5% and a ceiling of 7.5%. These subordinated debt securities pay interest quarterly, are unsecured, and may be called by the Company at any time after the remaining maturity is five years or less. Additionally, these subordinated debt securities are intended to qualify for Tier 2 capital treatment, subject to regulatory limitations.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29, 2020, the Company issued $50.0 million in subordinated debt securities. Proceeds from the issuance of these subordinated debt securities were reduced by approximately $926 thousand in debt issuance costs. The subordinated debt securities issued in September 2020 have a maturity date of September 2030 with a fixed rate of 4.50% for the first five years. After the expiration of the fixed rate period, the subordinated debt securities will reset quarterly at a variable rate equal to the then current three-month Secured Overnight Financing Rate, as published by the Federal Reserve Bank of New York, plus 438 basis points. These subordinated debt securities pay interest semi-annually, are unsecured, and may be called by the Company at any time after the remaining maturity is five years or less. Additionally, these subordinated debt securities are intended to qualify for Tier 2 capital treatment, subject to regulatory limitations.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2022, the total amount of the Company’s subordinated debt securities outstanding was $76.5 million less approximately $604 thousand of remaining debt issuance costs for a total balance of $75.9 million. As of December 31, 2021, the total amount of subordinated debt securities outstanding was $76.5 million less approximately $697 thousand of remaining debt issuance costs for a total balance of $75.8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and December 31, 2021, City Bank had no outstanding advances from the Federal Home Loan Bank of Dallas (“FHLB”).</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for the period indicated is presented in the table below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6"/>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Nine Months Ended September 30, 2022</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1,602,028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19,453</w:t>
            </w:r>
          </w:p>
        </w:tc>
      </w:tr>
      <w:tr>
        <w:trPr>
          <w:trHeight w:val="216"/>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45,203</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29.40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(35,676)</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r>
      <w:tr>
        <w:trPr>
          <w:trHeight w:val="216"/>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(7,449)</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19.30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23"/>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29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1,600,789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18,850</w:t>
            </w:r>
          </w:p>
        </w:tc>
      </w:tr>
      <w:tr>
        <w:trPr>
          <w:trHeight w:val="210"/>
        </w:trPr>
        <w:tc>
          <w:tcPr>
            <w:tcW w:w="29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1,186,948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15,834</w:t>
            </w:r>
          </w:p>
        </w:tc>
      </w:tr>
      <w:tr>
        <w:trPr>
          <w:trHeight w:val="209"/>
        </w:trPr>
        <w:tc>
          <w:tcPr>
            <w:tcW w:w="29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1,186,948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15,834</w:t>
            </w:r>
          </w:p>
        </w:tc>
      </w:tr>
      <w:tr>
        <w:trPr>
          <w:trHeight w:val="562"/>
        </w:trPr>
        <w:tc>
          <w:tcPr>
            <w:tcW w:w="294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9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780" w:type="dxa"/>
            <w:vAlign w:val="bottom"/>
            <w:gridSpan w:val="5"/>
          </w:tcPr>
          <w:p>
            <w:pPr>
              <w:spacing w:after="0"/>
              <w:rPr>
                <w:sz w:val="20"/>
                <w:szCs w:val="20"/>
                <w:color w:val="auto"/>
              </w:rPr>
            </w:pPr>
            <w:r>
              <w:rPr>
                <w:rFonts w:ascii="Arial" w:cs="Arial" w:eastAsia="Arial" w:hAnsi="Arial"/>
                <w:sz w:val="18"/>
                <w:szCs w:val="18"/>
                <w:color w:val="auto"/>
                <w:w w:val="96"/>
              </w:rPr>
              <w:t>A summary of assumptions used to calculate the fair values of the awards granted during the periods noted is presented below:</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10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10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40.20% to 40.29%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41.20% to 41.32%</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to 6.3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6.1 to 6.2</w:t>
            </w: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1.56% to 1.95%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0.52% to 0.83%</w:t>
            </w: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intrinsic value of options exercised during the nine months ended September 30, 2022 and September 30, 2021 was $516 thousand and $17 thousand,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Awards and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for the period indicated is presented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9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9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6"/>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Nine Months Ended September 30, 2022</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r>
      <w:tr>
        <w:trPr>
          <w:trHeight w:val="216"/>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74,891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r>
      <w:tr>
        <w:trPr>
          <w:trHeight w:val="216"/>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r>
      <w:tr>
        <w:trPr>
          <w:trHeight w:val="223"/>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(4,688)</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r>
      <w:tr>
        <w:trPr>
          <w:trHeight w:val="216"/>
        </w:trPr>
        <w:tc>
          <w:tcPr>
            <w:tcW w:w="29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87,255</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26.82</w:t>
            </w:r>
          </w:p>
        </w:tc>
      </w:tr>
      <w:tr>
        <w:trPr>
          <w:trHeight w:val="21"/>
        </w:trPr>
        <w:tc>
          <w:tcPr>
            <w:tcW w:w="29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unrecognized compensation cost for the awards outstanding under the Plan at September 30, 2022 was $3.3 million and will be recognized over a weighted average remaining period of 1.57 years. The total fair value of restricted stock units vested during each of the nine months ended September 30, 2022 and September 30, 2021 was $511 thousand and $489 thousand,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OFF-BALANCE-SHEET ACTIVITIES, COMMITMENTS AND CONTINGENCIES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542,338</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12,418</w:t>
            </w:r>
          </w:p>
        </w:tc>
      </w:tr>
    </w:tbl>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ectPr>
          <w:pgSz w:w="11900" w:h="16838" w:orient="portrait"/>
          <w:cols w:equalWidth="0" w:num="1">
            <w:col w:w="11240"/>
          </w:cols>
          <w:pgMar w:left="320" w:top="114"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 In July 2020, a vendor claimed that City Bank had breached a contract by failing to timely pay amounts allegedly due and owing. City Bank</w:t>
      </w:r>
      <w:r>
        <w:rPr>
          <w:rFonts w:ascii="Arial" w:cs="Arial" w:eastAsia="Arial" w:hAnsi="Arial"/>
          <w:sz w:val="17"/>
          <w:szCs w:val="17"/>
          <w:i w:val="1"/>
          <w:iCs w:val="1"/>
          <w:color w:val="auto"/>
        </w:rPr>
        <w:t xml:space="preserve"> </w:t>
      </w:r>
      <w:r>
        <w:rPr>
          <w:rFonts w:ascii="Arial" w:cs="Arial" w:eastAsia="Arial" w:hAnsi="Arial"/>
          <w:sz w:val="17"/>
          <w:szCs w:val="17"/>
          <w:color w:val="auto"/>
        </w:rPr>
        <w:t>vigorously rejected any such non-payment contentions and filed suit against the vendor. With the lawsuit, City Bank sought, among other claims and relief, an injunction against the vendor. After an evidentiary hearing, the court entered a temporary injunction against the vendor expressly prohibiting it from, among other things, terminating the contract pending trial. Based upon discovery in the lawsuit, City Bank also filed a breach of contract claim against the vendor alleging that the vendor violated City Bank’s contractual exclusivity rights. The vendor has filed counterclaims, including for declaratory relief that the contracts should be declared unenforceable. In October 2021, the vendor filed a counterclaim alleging that City Bank’s attempted enforcement of its exclusivity rights contravenes the Texas Free Enterprise and Antitrust Act. On or about September 23, 2022, the parties entered into a Settlement Agreement and Mutual Release, pursuant to which the parties agreed to the settlement and release of all claims and counterclaims in the lawsuit. Thereafter, the parties filed a joint motion to dismiss with prejudice and the court formally dismissed the case by order dated October 7, 2022. A gain contingency was recorded at settlement and that consideration was received on October 3,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defendant in legal actions arising from time to time in the normal course of business. Management believes that the ultimate liability, if any, arising from these matters will not materially affect the combined financial statements, based on information known as of the date of the combined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may use FHLB letters of credit to pledge to certain public deposits. There were no 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at September 30, 2022 or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September 30, 2022, the Company had no finance leases.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The balance sheet components of the Company's leases at the date indicated are as follows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10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 (included in Other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00" w:type="dxa"/>
            <w:vAlign w:val="bottom"/>
            <w:shd w:val="clear" w:color="auto" w:fill="CCEEFF"/>
          </w:tcPr>
          <w:p>
            <w:pPr>
              <w:spacing w:after="0"/>
              <w:rPr>
                <w:sz w:val="18"/>
                <w:szCs w:val="18"/>
                <w:color w:val="auto"/>
              </w:rPr>
            </w:pPr>
          </w:p>
        </w:tc>
      </w:t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Operating lease liabilities (included in Accrued expenses and other liabilities)</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9,234</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generally enter into leases which contain variable payments, other than due to the passage of time. Operating lease costs, including short-term lease costs were $761 thousand and $2.2 million, respectively, for the three and nine months ended September 30, 2022. Operating lease costs were $648 thousand and $1.8 million, respectively, for the three and nine months ended September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5"/>
              </w:rPr>
              <w:t>Supplemental cash flow information related to leases for the periods presented is as follows (dollars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86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used in operating leases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obligations: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operating leases the Company’s weighted average remaining lease terms in years and weighted average discount rate was 9.85 and 4.65%, respectively, as of September 30,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Maturities of operating lease liabilities at September 30, 2022, under lease agreements that had commenced as of or subsequent to January 1, 2022, are presented below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(2,574)</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had no significant additional operating leases that have not yet commenced.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AND REGULATORY MATTERS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Federal Reserve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September 30, 2022 and December 31, 2021, that the Company and its bank subsidiary met all capital adequacy requirements to which they are subject.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2022,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September 30, 2022 that management believes have changed the bank subsidiary’s category.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bank subsidiary’s actual capital amounts and ratios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4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8"/>
              </w:rPr>
              <w:t>September 30, 2022</w:t>
            </w:r>
          </w:p>
        </w:tc>
        <w:tc>
          <w:tcPr>
            <w:tcW w:w="17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3240" w:type="dxa"/>
            <w:vAlign w:val="bottom"/>
            <w:gridSpan w:val="3"/>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551,832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352,000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448,194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351,890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335,134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284,952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408,357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284,863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268,107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gridSpan w:val="3"/>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391,081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234,667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408,357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234,593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217,837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160,247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408,357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160,122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198,941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24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524,836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299,521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425,748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299,465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285,205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242,469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242,424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90"/>
        </w:trPr>
        <w:tc>
          <w:tcPr>
            <w:tcW w:w="1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21" w:right="3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to Risk Weighted</w:t>
            </w:r>
          </w:p>
        </w:tc>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Consolidated</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368,322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12.91%</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199,681</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7.00%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390,015</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13.67%</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199,644</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185,383</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6.50%</w:t>
            </w:r>
          </w:p>
        </w:tc>
      </w:tr>
      <w:tr>
        <w:trPr>
          <w:trHeight w:val="216"/>
        </w:trPr>
        <w:tc>
          <w:tcPr>
            <w:tcW w:w="3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Consolidated</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413,322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10.77%</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154,592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4.00%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390,015</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10.16%</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154,503</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191,859</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5.00%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changes in fair value hedges included in the Consolidated Statements of Comprehensive Income (Loss) as of the periods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 Contracts</w:t>
            </w:r>
          </w:p>
        </w:tc>
        <w:tc>
          <w:tcPr>
            <w:tcW w:w="120" w:type="dxa"/>
            <w:vAlign w:val="bottom"/>
          </w:tcPr>
          <w:p>
            <w:pPr>
              <w:spacing w:after="0"/>
              <w:rPr>
                <w:sz w:val="19"/>
                <w:szCs w:val="19"/>
                <w:color w:val="auto"/>
              </w:rPr>
            </w:pPr>
          </w:p>
        </w:tc>
        <w:tc>
          <w:tcPr>
            <w:tcW w:w="428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 fair value hedges</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717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(347)</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Fair value hedge ineffectiveness</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Other noninterest expense</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399"/>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1"/>
              </w:rPr>
              <w:t>Nine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 Contracts</w:t>
            </w:r>
          </w:p>
        </w:tc>
        <w:tc>
          <w:tcPr>
            <w:tcW w:w="120" w:type="dxa"/>
            <w:vAlign w:val="bottom"/>
          </w:tcPr>
          <w:p>
            <w:pPr>
              <w:spacing w:after="0"/>
              <w:rPr>
                <w:sz w:val="19"/>
                <w:szCs w:val="19"/>
                <w:color w:val="auto"/>
              </w:rPr>
            </w:pPr>
          </w:p>
        </w:tc>
        <w:tc>
          <w:tcPr>
            <w:tcW w:w="428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 fair value hedges</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376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(694)</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Fair value hedge ineffectiveness</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Other noninterest expense</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246</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4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4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Interest rate swaps related to state and municipal securities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Interest rate swaps related to state and municipal securities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123,760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21,121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123,760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5,686</w:t>
            </w:r>
          </w:p>
        </w:tc>
      </w:tr>
      <w:tr>
        <w:trPr>
          <w:trHeight w:val="554"/>
        </w:trPr>
        <w:tc>
          <w:tcPr>
            <w:tcW w:w="4980" w:type="dxa"/>
            <w:vAlign w:val="bottom"/>
          </w:tcPr>
          <w:p>
            <w:pPr>
              <w:spacing w:after="0"/>
              <w:rPr>
                <w:sz w:val="24"/>
                <w:szCs w:val="24"/>
                <w:color w:val="auto"/>
              </w:rPr>
            </w:pPr>
          </w:p>
        </w:tc>
        <w:tc>
          <w:tcPr>
            <w:tcW w:w="1000" w:type="dxa"/>
            <w:vAlign w:val="bottom"/>
          </w:tcPr>
          <w:p>
            <w:pPr>
              <w:jc w:val="right"/>
              <w:ind w:right="196"/>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banking derivatives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gains (losses) relating to free standing derivative instruments used for risk management are summarized below as of the periods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1"/>
              </w:rPr>
              <w:t>Forward contracts related to mortgage loans held for sale</w:t>
            </w:r>
          </w:p>
        </w:tc>
        <w:tc>
          <w:tcPr>
            <w:tcW w:w="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4360" w:type="dxa"/>
            <w:vAlign w:val="bottom"/>
            <w:gridSpan w:val="2"/>
          </w:tcPr>
          <w:p>
            <w:pPr>
              <w:ind w:left="80"/>
              <w:spacing w:after="0"/>
              <w:rPr>
                <w:sz w:val="20"/>
                <w:szCs w:val="20"/>
                <w:color w:val="auto"/>
              </w:rPr>
            </w:pPr>
            <w:r>
              <w:rPr>
                <w:rFonts w:ascii="Arial" w:cs="Arial" w:eastAsia="Arial" w:hAnsi="Arial"/>
                <w:sz w:val="18"/>
                <w:szCs w:val="18"/>
                <w:color w:val="auto"/>
              </w:rPr>
              <w:t>Net gain (loss) on sales of loans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399"/>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Nine Months Ended</w:t>
            </w:r>
          </w:p>
        </w:tc>
      </w:tr>
      <w:tr>
        <w:trPr>
          <w:trHeight w:val="241"/>
        </w:trPr>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1"/>
              </w:rPr>
              <w:t>Forward contracts related to mortgage loans held for sale</w:t>
            </w:r>
          </w:p>
        </w:tc>
        <w:tc>
          <w:tcPr>
            <w:tcW w:w="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4360" w:type="dxa"/>
            <w:vAlign w:val="bottom"/>
            <w:gridSpan w:val="2"/>
          </w:tcPr>
          <w:p>
            <w:pPr>
              <w:ind w:left="80"/>
              <w:spacing w:after="0"/>
              <w:rPr>
                <w:sz w:val="20"/>
                <w:szCs w:val="20"/>
                <w:color w:val="auto"/>
              </w:rPr>
            </w:pPr>
            <w:r>
              <w:rPr>
                <w:rFonts w:ascii="Arial" w:cs="Arial" w:eastAsia="Arial" w:hAnsi="Arial"/>
                <w:sz w:val="18"/>
                <w:szCs w:val="18"/>
                <w:color w:val="auto"/>
              </w:rPr>
              <w:t>Net gain (loss) on sales of loans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(1,662)</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amount and fair value of mortgage banking derivatives in the Consolidated Balance Sheets at the dates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2,191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104,437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 included in 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58,572</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104,437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55,103</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93,120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included in other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55,103</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had received cash collateral of $19.1 million to offset asset derivative positions on its interest rate swaps at September 30, 2022. This amount is reported in other liabilities in the Consolidated Balance Sheets. The Company had advanced $1.1 million to offset liability derivative positions on its interest rate swaps at September 30, 2022. Additionally, the Company had advanced $440 thousand on its mortgage forward contracts at September 30, 2022. The advanced cash collateral amounts are reported in cash and due from banks in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17,286,531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17,931,174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17,496,217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18,012,963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607,808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503,525</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17,901,899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18,463,697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18,104,025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18,516,488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0.89</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by reportable segment as of the periods indicated are detailed below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Three Months Ended September 30, 2022</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3020" w:type="dxa"/>
            <w:vAlign w:val="bottom"/>
            <w:tcBorders>
              <w:top w:val="single" w:sz="8" w:color="auto"/>
            </w:tcBorders>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20,937</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(34,460)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(2,941)</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(37,401)</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(3,577)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(3,962)</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Three Months Ended September 30, 2021</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3020" w:type="dxa"/>
            <w:vAlign w:val="bottom"/>
            <w:tcBorders>
              <w:top w:val="single" w:sz="8" w:color="auto"/>
            </w:tcBorders>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(35,613)</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(2,450)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(38,063)</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(3,495)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(3,716)</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Nine Months Ended September 30, 2022</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94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63,469</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(105,612)</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(5,769)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(111,381)</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55,123</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(11,071)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(11,490)</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Nine Months Ended September 30, 2021</w:t>
            </w: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94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74,541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(107,233)</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(4,665)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(111,898)</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53,536</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(10,645)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(10,876)</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42,891</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DISCLOSURES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860" w:right="20" w:hanging="488"/>
        <w:spacing w:after="0" w:line="25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 w:lineRule="exact"/>
        <w:rPr>
          <w:rFonts w:ascii="Arial" w:cs="Arial" w:eastAsia="Arial" w:hAnsi="Arial"/>
          <w:sz w:val="18"/>
          <w:szCs w:val="18"/>
          <w:color w:val="auto"/>
        </w:rPr>
      </w:pPr>
    </w:p>
    <w:p>
      <w:pPr>
        <w:jc w:val="both"/>
        <w:ind w:left="860" w:hanging="488"/>
        <w:spacing w:after="0" w:line="281"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2" w:lineRule="exact"/>
        <w:rPr>
          <w:rFonts w:ascii="Arial" w:cs="Arial" w:eastAsia="Arial" w:hAnsi="Arial"/>
          <w:sz w:val="16"/>
          <w:szCs w:val="16"/>
          <w:color w:val="auto"/>
        </w:rPr>
      </w:pPr>
    </w:p>
    <w:p>
      <w:pPr>
        <w:ind w:left="860" w:hanging="488"/>
        <w:spacing w:after="0" w:line="26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Significant unobservable inputs for determining the fair values of assets or liabilities that reflect an entity’s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assumptions that market participants would use in pricing the assets or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fair value measurements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14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8"/>
              </w:rPr>
              <w:t>September 30, 2022</w:t>
            </w:r>
          </w:p>
        </w:tc>
        <w:tc>
          <w:tcPr>
            <w:tcW w:w="45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220,153</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373,972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373,972</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85,810</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20,100</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11,377</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17,213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17,213</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23,830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23,830</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275,672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275,672</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303,089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303,089</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106,320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106,320</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26,936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26,936</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12,487</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47,593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47,593</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19,700</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7,328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7,328</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6,427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6,427</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and discount rates, which are significant unobservable inputs.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quantitative information about recurring and non-recurring Level 3 fair value measurements at the dates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5"/>
              </w:rPr>
              <w:t>Techniques</w:t>
            </w:r>
          </w:p>
        </w:tc>
        <w:tc>
          <w:tcPr>
            <w:tcW w:w="1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6"/>
        </w:trPr>
        <w:tc>
          <w:tcPr>
            <w:tcW w:w="14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8"/>
              </w:rPr>
              <w:t>September 30, 2022</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2380" w:type="dxa"/>
            <w:vAlign w:val="bottom"/>
            <w:gridSpan w:val="3"/>
          </w:tcPr>
          <w:p>
            <w:pPr>
              <w:spacing w:after="0"/>
              <w:rPr>
                <w:sz w:val="20"/>
                <w:szCs w:val="20"/>
                <w:color w:val="auto"/>
              </w:rPr>
            </w:pPr>
            <w:r>
              <w:rPr>
                <w:rFonts w:ascii="Arial" w:cs="Arial" w:eastAsia="Arial" w:hAnsi="Arial"/>
                <w:sz w:val="18"/>
                <w:szCs w:val="18"/>
                <w:color w:val="auto"/>
              </w:rPr>
              <w:t>Non-recurring:</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4,102</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20%-100%</w:t>
            </w: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Recurring: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28,424</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7.34%</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Discount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9.14%</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23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Non-recurring: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6,427</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20%-100%</w:t>
            </w: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Recurring: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19,700</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12.35%</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and related carrying amounts, of the Company’s financial instruments that are not previously disclosed in the recurring fair value section are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September 30, 2022</w:t>
            </w:r>
          </w:p>
        </w:tc>
        <w:tc>
          <w:tcPr>
            <w:tcW w:w="3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329,962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329,962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329,962</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2,650,709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2,623,042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2,623,042</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9,709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12,408</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12,408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12,408</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3,460,536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3,459,611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3,459,611</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1,747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34,598</w:t>
            </w:r>
          </w:p>
        </w:tc>
      </w:tr>
      <w:tr>
        <w:trPr>
          <w:trHeight w:val="230"/>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75,914</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71,962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71,962</w:t>
            </w:r>
          </w:p>
        </w:tc>
      </w:tr>
      <w:tr>
        <w:trPr>
          <w:trHeight w:val="399"/>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2"/>
        </w:trPr>
        <w:tc>
          <w:tcPr>
            <w:tcW w:w="4620" w:type="dxa"/>
            <w:vAlign w:val="bottom"/>
            <w:gridSpan w:val="3"/>
          </w:tcPr>
          <w:p>
            <w:pPr>
              <w:spacing w:after="0"/>
              <w:rPr>
                <w:sz w:val="20"/>
                <w:szCs w:val="20"/>
                <w:color w:val="auto"/>
              </w:rPr>
            </w:pPr>
            <w:r>
              <w:rPr>
                <w:rFonts w:ascii="Arial" w:cs="Arial" w:eastAsia="Arial" w:hAnsi="Arial"/>
                <w:sz w:val="18"/>
                <w:szCs w:val="18"/>
                <w:color w:val="auto"/>
              </w:rPr>
              <w:t>December 31, 2021</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assets:</w:t>
            </w:r>
          </w:p>
        </w:tc>
        <w:tc>
          <w:tcPr>
            <w:tcW w:w="32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486,821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486,821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486,821</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2,395,479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2,397,079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2,397,079</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29,500</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13,900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3,341,222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3,004,091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3,343,888</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1,914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45,690</w:t>
            </w:r>
          </w:p>
        </w:tc>
      </w:tr>
      <w:tr>
        <w:trPr>
          <w:trHeight w:val="230"/>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75,775</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77,939</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77,939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19, 2022, the Company declared a cash dividend of $0.12 per share of common stock to be paid on November 15, 2022 to all shareholders of record as of October 31, 2022.</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2021 (the “2021 Annual Report on Form 10-K”) filed with the Securities and Exchange Commission (the “SEC”) pursuant to Rule 424(b) of the Securities Act of 1933, as amended (the “Securities Act”), on March 8, 2022.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70" w:lineRule="exact"/>
        <w:rPr>
          <w:sz w:val="20"/>
          <w:szCs w:val="20"/>
          <w:color w:val="auto"/>
        </w:rPr>
      </w:pPr>
    </w:p>
    <w:p>
      <w:pPr>
        <w:ind w:left="980" w:hanging="32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jc w:val="both"/>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duration and severity of the ongoing COVID-19 pandemic, or any current or future variants thereof, and the response of governmental authorities to the COVID-19 pandemic and our participation in COVID-19-related government programs such as the Paycheck Protection Program (the “PPP”) administered by the Small Business Administration (the “SBA”) and created under the Coronavirus Aid, Relief, and Economic Security Act (the “CARES Act”);</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 inflationary outlook in the United States and our market areas, and its impact on market interest rates, the economy and credit quality;</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9"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associated with our commercial loan portfolio, including the uncertain economic consequences of the ongoing COVID-19 pandemic, or any current or future variants thereof, or any deterioration in value of the general business assets that secure such loans;</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changes in the prices, values and sales volumes of commercial and residential real estate securing our real estate loans;</w:t>
      </w:r>
    </w:p>
    <w:p>
      <w:pPr>
        <w:spacing w:after="0" w:line="20"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9" w:lineRule="exact"/>
        <w:rPr>
          <w:rFonts w:ascii="Arial" w:cs="Arial" w:eastAsia="Arial" w:hAnsi="Arial"/>
          <w:sz w:val="18"/>
          <w:szCs w:val="18"/>
          <w:color w:val="auto"/>
        </w:rPr>
      </w:pPr>
    </w:p>
    <w:p>
      <w:pPr>
        <w:ind w:left="980" w:right="2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interest rate fluctuations, which could have an adverse effect on our profitability;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market interest rates, which could negatively impact bond market values and result in a lower net book value;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manage the current rising market interest rate environment, our credit risk and the level of future non-performing assets and charge-offs;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our ability to navigate the uncertain impacts of quantitative tightening and current and future governmental monetary and fiscal policies, including the policies of the Board of Governors of the Federal Reserve System (“Federal Reserve”) and as a result of initiatives of the Biden administration.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Form 10-Q and the risk factors set forth in our 2021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maintains an Internet web site at </w:t>
      </w:r>
      <w:r>
        <w:rPr>
          <w:rFonts w:ascii="Arial" w:cs="Arial" w:eastAsia="Arial" w:hAnsi="Arial"/>
          <w:sz w:val="18"/>
          <w:szCs w:val="18"/>
          <w:i w:val="1"/>
          <w:iCs w:val="1"/>
          <w:u w:val="single" w:color="auto"/>
          <w:color w:val="auto"/>
        </w:rPr>
        <w:t>www.spfi.bank</w:t>
      </w:r>
      <w:r>
        <w:rPr>
          <w:rFonts w:ascii="Arial" w:cs="Arial" w:eastAsia="Arial" w:hAnsi="Arial"/>
          <w:sz w:val="18"/>
          <w:szCs w:val="18"/>
          <w:color w:val="auto"/>
        </w:rPr>
        <w:t xml:space="preserve">. The Company makes available, free of charge, on its web site (under </w:t>
      </w:r>
      <w:r>
        <w:rPr>
          <w:rFonts w:ascii="Arial" w:cs="Arial" w:eastAsia="Arial" w:hAnsi="Arial"/>
          <w:sz w:val="18"/>
          <w:szCs w:val="18"/>
          <w:i w:val="1"/>
          <w:iCs w:val="1"/>
          <w:u w:val="single" w:color="auto"/>
          <w:color w:val="auto"/>
        </w:rPr>
        <w:t>www.spfi.bank/financials-filings/sec-filings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Company’s annual reports on Form 10-K, quarterly reports on Form 10-Q, current reports on Form 8-K,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Arial" w:cs="Arial" w:eastAsia="Arial" w:hAnsi="Arial"/>
          <w:sz w:val="18"/>
          <w:szCs w:val="18"/>
          <w:i w:val="1"/>
          <w:iCs w:val="1"/>
          <w:u w:val="single" w:color="auto"/>
          <w:color w:val="auto"/>
        </w:rPr>
        <w:t>www.spfi.bank/corporate-governance/documents-charters</w:t>
      </w:r>
      <w:r>
        <w:rPr>
          <w:rFonts w:ascii="Arial" w:cs="Arial" w:eastAsia="Arial" w:hAnsi="Arial"/>
          <w:sz w:val="18"/>
          <w:szCs w:val="18"/>
          <w:i w:val="1"/>
          <w:iCs w:val="1"/>
          <w:color w:val="auto"/>
        </w:rPr>
        <w:t xml:space="preserve"> </w:t>
      </w:r>
      <w:r>
        <w:rPr>
          <w:rFonts w:ascii="Arial" w:cs="Arial" w:eastAsia="Arial" w:hAnsi="Arial"/>
          <w:sz w:val="18"/>
          <w:szCs w:val="18"/>
          <w:color w:val="auto"/>
        </w:rPr>
        <w:t>) links to the Company’s Code of Conduct and the charters for its board committees.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 that contains reports, proxy and information statements, and other information regarding issuers that file electronically with the SEC.</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routinely posts important information for investors on its web site (under </w:t>
      </w:r>
      <w:r>
        <w:rPr>
          <w:rFonts w:ascii="Arial" w:cs="Arial" w:eastAsia="Arial" w:hAnsi="Arial"/>
          <w:sz w:val="17"/>
          <w:szCs w:val="17"/>
          <w:i w:val="1"/>
          <w:iCs w:val="1"/>
          <w:u w:val="single" w:color="auto"/>
          <w:color w:val="auto"/>
        </w:rPr>
        <w:t>www.spfi.bank</w:t>
      </w:r>
      <w:r>
        <w:rPr>
          <w:rFonts w:ascii="Arial" w:cs="Arial" w:eastAsia="Arial" w:hAnsi="Arial"/>
          <w:sz w:val="17"/>
          <w:szCs w:val="17"/>
          <w:color w:val="auto"/>
        </w:rPr>
        <w:t xml:space="preserve"> and, more specifically, under the News &amp; Events tab at </w:t>
      </w:r>
      <w:r>
        <w:rPr>
          <w:rFonts w:ascii="Arial" w:cs="Arial" w:eastAsia="Arial" w:hAnsi="Arial"/>
          <w:sz w:val="17"/>
          <w:szCs w:val="17"/>
          <w:i w:val="1"/>
          <w:iCs w:val="1"/>
          <w:u w:val="single" w:color="auto"/>
          <w:color w:val="auto"/>
        </w:rPr>
        <w:t>www.spfi.bank/news-events/press-releases</w:t>
      </w:r>
      <w:r>
        <w:rPr>
          <w:rFonts w:ascii="Arial" w:cs="Arial" w:eastAsia="Arial" w:hAnsi="Arial"/>
          <w:sz w:val="17"/>
          <w:szCs w:val="17"/>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contained on, or that may be accessed through, the Company’s web site is not incorporated by reference into, and is not a part of, this Form 10-Q.</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Update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has caused significant disruptions in the U.S. economy. At this time, we cannot predict the impact or how long the economy or our impacted clients will be disrupted by the ongoing COVID-19 pandemic and any current or future variants of COVID-19.</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Throughout the COVID-19 pandemic, the Bank has been proactive with its borrowers in those sectors most affected by the COVID-19 pandemic and has offered loan modifications to borrowers who are or may be unable to meet their contractual payment obligations because of the effects of COVID-19. As part of the Bank’s efforts to support its customers and protect the Bank, the Bank offered varying forms of loan modifications including 90-day payment deferrals, 6-month interest only terms, or in certain select cases periods of longer than 6 months of interest only, to provide borrowers relief. As of September 30, 2022, there were no remaining active loan modifications attributed to COVID-19.</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Paycheck Protection Program (“PPP”) was created by the Coronavirus Aid, Relief, and Economic Security Act (the “CARES Act”) and implemented by the U.S. Small Business Administration (the “SBA”) in March 2020. Funding for the PPP expired on May 31, 2021. The PPP allowed entities to apply for a 1.00% interest rate loan with payments generally deferred until the date the lender receives the applicable forgiveness amount from the SBA. The Bank originated approximately 3,200 for a total of $309.2 million of PPP loans. As of September 30, 2022, the Company had approximately $2.0 million of PPP loans outstanding. The Company expects that the remaining PPP loans will be forgiven by the SBA or otherwise repaid over the next several quarters.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unable to fully assess or predict the extent of the effects of the COVID-19 pandemic, or any current or future variant of COVID-19, on our operations as the ultimate impact will depend on factors that are currently unknown and/or beyond our control. Please refer to Part II, Item 1A, “Risk Factors” in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net income of $15.5 million, or $0.86 per diluted common share, for the three months ended September 30, 2022, compared to net income of $15.2 million, or $0.82 per diluted common share for the three months ended September 30, 2021. Return on average equity (annualized) was 17.37% and return on average assets (annualized) was 1.53% for the three months ended September 30, 2022, compared to 15.24% and 1.61%, respectively, for the three months ended September 30,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net income of $45.6 million, or $2.52 per diluted common share for the nine months ended September 30, 2022, compared to net income of $44.0 million, or $2.38 per diluted common share for the nine months ended September 30, 2021. Return on average equity (annualized) was 16.25% and return on average assets (annualized) was 1.53% for the nine months ended September 30, 2022, compared to 15.32% and 1.57%, respectively, for the nine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2,666,429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34,176</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2,365,010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28,947</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4.86%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24.03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86,645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1,872</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531,620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2,309</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215,508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1,428</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221,026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1,468</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293,636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284,369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0.21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3,798,049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41,409</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3,488,670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34,747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208,135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259,641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4,006,184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3,748,311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1,873,786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3,514</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0.74%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1,820,677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330,161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75,914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1,012</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75,728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2,326,230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6,006</w:t>
            </w:r>
          </w:p>
        </w:tc>
        <w:tc>
          <w:tcPr>
            <w:tcW w:w="1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2,273,684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1,035,910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78,139</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43,171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353,011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395,546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liabilities and stockholders’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4,006,184</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3,748,311</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35,403</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31,487</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3.30%</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ind w:left="780"/>
              <w:spacing w:after="0"/>
              <w:rPr>
                <w:sz w:val="20"/>
                <w:szCs w:val="20"/>
                <w:color w:val="auto"/>
              </w:rPr>
            </w:pPr>
            <w:r>
              <w:rPr>
                <w:rFonts w:ascii="Arial" w:cs="Arial" w:eastAsia="Arial" w:hAnsi="Arial"/>
                <w:sz w:val="18"/>
                <w:szCs w:val="18"/>
                <w:color w:val="auto"/>
                <w:w w:val="90"/>
              </w:rPr>
              <w:t>3.38%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3.58%</w:t>
            </w:r>
          </w:p>
        </w:tc>
        <w:tc>
          <w:tcPr>
            <w:tcW w:w="0" w:type="dxa"/>
            <w:vAlign w:val="bottom"/>
          </w:tcPr>
          <w:p>
            <w:pPr>
              <w:spacing w:after="0"/>
              <w:rPr>
                <w:sz w:val="1"/>
                <w:szCs w:val="1"/>
                <w:color w:val="auto"/>
              </w:rPr>
            </w:pPr>
          </w:p>
        </w:tc>
      </w:tr>
      <w:tr>
        <w:trPr>
          <w:trHeight w:val="562"/>
        </w:trPr>
        <w:tc>
          <w:tcPr>
            <w:tcW w:w="3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3"/>
              </w:rPr>
              <w:t>Nine Months Ended September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2,548,174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97,321</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2,246,650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82,314</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4.90%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13.30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141,040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7,147</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540,380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7,118</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216,951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4,315</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219,242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4,414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363,659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328,412</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0.15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3,740,362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115,848</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3,475,724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101,366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236,296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261,449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3,976,658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3,737,173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30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1,905,000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5,782</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0.41%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1,834,113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3,259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0.24%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326,862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10,725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26,188</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75,852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3,037</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75,682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3,044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2,361,935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12,786</w:t>
            </w: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2,319,963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10,121</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0.58%</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991,331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64,639</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41,996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375,301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383,883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3,976,658</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3,737,173</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0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103,062</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91,245</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3.42%</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ind w:left="780"/>
              <w:spacing w:after="0"/>
              <w:rPr>
                <w:sz w:val="20"/>
                <w:szCs w:val="20"/>
                <w:color w:val="auto"/>
              </w:rPr>
            </w:pPr>
            <w:r>
              <w:rPr>
                <w:rFonts w:ascii="Arial" w:cs="Arial" w:eastAsia="Arial" w:hAnsi="Arial"/>
                <w:sz w:val="18"/>
                <w:szCs w:val="18"/>
                <w:color w:val="auto"/>
                <w:w w:val="90"/>
              </w:rPr>
              <w:t>3.32%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3.51%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Three Months Ended September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2022 over 2021</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2"/>
              </w:rPr>
              <w:t>(Dollars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4,400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113" w:right="3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2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w:t>
            </w:r>
          </w:p>
        </w:tc>
      </w:tr>
      <w:tr>
        <w:trPr>
          <w:trHeight w:val="216"/>
        </w:trPr>
        <w:tc>
          <w:tcPr>
            <w:tcW w:w="4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3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w:t>
            </w:r>
          </w:p>
        </w:tc>
      </w:tr>
      <w:tr>
        <w:trPr>
          <w:trHeight w:val="562"/>
        </w:trPr>
        <w:tc>
          <w:tcPr>
            <w:tcW w:w="4460" w:type="dxa"/>
            <w:vAlign w:val="bottom"/>
            <w:tcBorders>
              <w:top w:val="single" w:sz="8" w:color="CCEEFF"/>
            </w:tcBorders>
          </w:tcPr>
          <w:p>
            <w:pPr>
              <w:spacing w:after="0"/>
              <w:rPr>
                <w:sz w:val="24"/>
                <w:szCs w:val="24"/>
                <w:color w:val="auto"/>
              </w:rPr>
            </w:pPr>
          </w:p>
        </w:tc>
        <w:tc>
          <w:tcPr>
            <w:tcW w:w="2860" w:type="dxa"/>
            <w:vAlign w:val="bottom"/>
            <w:tcBorders>
              <w:top w:val="single" w:sz="8" w:color="CCEEFF"/>
            </w:tcBorders>
          </w:tcPr>
          <w:p>
            <w:pPr>
              <w:jc w:val="right"/>
              <w:ind w:right="1539"/>
              <w:spacing w:after="0"/>
              <w:rPr>
                <w:sz w:val="20"/>
                <w:szCs w:val="20"/>
                <w:color w:val="auto"/>
              </w:rPr>
            </w:pPr>
            <w:r>
              <w:rPr>
                <w:rFonts w:ascii="Arial" w:cs="Arial" w:eastAsia="Arial" w:hAnsi="Arial"/>
                <w:sz w:val="14"/>
                <w:szCs w:val="14"/>
                <w:color w:val="auto"/>
              </w:rPr>
              <w:t>34</w:t>
            </w: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446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p>
    <w:p>
      <w:pPr>
        <w:sectPr>
          <w:pgSz w:w="11900" w:h="16838" w:orient="portrait"/>
          <w:cols w:equalWidth="0" w:num="1">
            <w:col w:w="11240"/>
          </w:cols>
          <w:pgMar w:left="320" w:top="1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2022 over 2021</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2"/>
              </w:rPr>
              <w:t>(Dollars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15,007</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8,918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income for the three months ended September 30, 2022 was $35.1 million, compared to $31.2 million for the three months ended September 30, 2021, an increase of $3.9 million, or 12.6%. The increase in net interest income was primarily due to increased interest income on loans, securities, and other interest-earning assets increase in interest income, partially offset by increased interest expense on deposits. Market interest rates continued to rise during the period, which is attributed to the Federal Open Market Committee (“FOMC”) of the Board of Governors of the Federal Reserve System (the “Federal Reserve”) raising their target benchmark interest rate in the third quarter of 2022, resulting in subsequent prime rate increases of 150 basis points, after increases of 150 basis points between March and June of 2022.</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income for the three months ended September 30, 2022 was $41.1 million, compared to $34.4 million for the three months ended September 30, 2021, an increase of $6.7 million, or 19.4%. This increase was comprised of increases of $3.6 million in loan interest income and $3.1 million in interest income from securities and other interest-earning assets. The increase in loan interest income was primarily due to an increase of $219.5 million in average loans outstanding and the rising interest rate environment. The increase in interest income on securities and other interest-earning assets was primarily due to securities purchases and rising market interest rates. During the third quarter of 2022, the Company recognized $277 thousand in deferred PPP-related SBA fees. At September 30, 2022, the Company had $124 thousand of deferred PPP fees that have not been accreted to income, the majority of which are expected to be recognized as PPP loans continue to be forgiven by the SBA over the next several quarters.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three months ended September 30, 2022 increased $2.7 million, or 84.2%, compared to the three months ended September 30, 2021. The increase was principally due to growth in the average balances of interest-bearing deposits of $53.1 million during the third quarter of 2022 and an increase of 45 basis points on interest rates paid on these deposits as market interest rates continue to rise.</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three months ended September 30, 2022, net interest margin and net interest spread were 3.70% and 3.30%, respectively, compared to 3.58% and 3.38% for the same three-month period in 2021, which reflects the changes in interest income and interest expense discussed above.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for the nine months ended September 30, 2022 was $102.2 million, compared to $90.3 million for the nine months ended September 30, 2021, an increase of $11.8 million, or 13.1%. The increase in net interest income was primarily due to increased interest income on loans, securities, and other interest-earning assets increase in interest income, partially offset by increased interest expense on deposits. There was continued rising market interest rates during the period, which is attributed to the Federal Reserve, as noted above.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income for the nine months ended September 30, 2022 was $114.9 million, compared to $100.4 million for the nine months ended September 30, 2021, an increase of $14.5 million, or 14.4%. This increase was primarily attributable to an increase of $180.0 million in average loans outstanding, an increase of 16 basis points in the yield on loans, and $4.4 million of interest income received related to four credits for the recovery of interest on previously charged-off credits, purchase discount principal recovery, and prepayment penalties during the second quarter of 2022, partially offset by an decrease of $5.2 million in PPP-related SBA interest and fees recognized as PPP loans were forgiven by the SBA or repaid.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nine months ended September 30, 2022 increased $2.7 million, or 26.3%, compared to the nine months ended September 30, 2021. The increase was the primarily the result of growth in the average balances of interest-bearing deposits of $78.7 million during the period and an increase of 45 basis points on interest rates paid on these deposits as market interest rates continue to rise.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nine months ended September 30, 2022, net interest margin and net interest spread were 3.68% and 3.42%, respectively, compared to 3.51% and 3.32%, respectively, for the same nine-month period in 2021, which reflects the changes in interest income and interest expense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Credit risk is inherent in the business of making loans. We establish an allowance for loan losses through charges to earnings, which are shown in the consolidated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a negative provision for loan losses of $782 thousand for the three months ended September 30, 2022, compared to no provision being recorded for the three months ended September 30, 2021. There was a loan loss recovery of $822 thousand of a direct energy credit during the third quarter of 2022. The Company continued to experience improving credit metrics in the loan portfolio during the third quarter of 2022, specifically in the hotel segment, offset with organic loan growth, which resulted in the negative provision expense in the third quarter of 2022.</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recorded a negative provision for loan losses for the nine months ended September 30, 2022 of $2.9 million, compared to a negative provision of $1.9 million for the nine months ended September 30, 2021. The decrease in the provision for loan losses for the nine months ended September 30, 2022 compared to the nine months ended in 2021 is primarily due to improving credit metrics in the loan portfolio, specifically in the hotel segment, direct energy segment, and other Permian Basin-related credits, and a decline in the amount of loans that were actively under a COVID-19 pandemic-related modification. Nevertheless, there is continued uncertainty in the forecasted economic conditions due to the rising interest rate environment and persistent high inflation levels, and provisions for loan losses may be necessary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(Decrease)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3,794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Bank card services and interchange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14,802</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(8,514)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47,329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20,937</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25,791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(4,854)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63,469</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74,541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(11,072)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legal settlements, wire transfer and other miscellaneous services.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Noninterest income for the three months ended September 30, 2022 was $20.9 million, compared to $25.8 million for the three months ended September 30, 2021, a decrease of $4.9 million, or 18.8%. Income from mortgage banking activities decreased $8.5 million, or 57.5%, to $6.3 million for the three months ended September 30, 2022 from $14.8 million for the three months ended September 30, 2021. This decrease in mortgage banking revenues was mainly the result of refinance activity slowing as mortgage rates have risen and overall mortgage activity has returned to a more historical level, as mortgage loan originations declined $222.2 million, or 59.4%. This decrease in noninterest income was partially offset by an increase of $1.1 million in income from insurance activities due to premium growth and $2.1 million of income related to legal settlements in the third quarter of 2022.</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Noninterest income for the nine months ended September 30, 2022 was $63.5 million, compared to $74.5 million for the nine months ended September 30, 2021, a decrease of $11.1 million, or 14.9%. Income from mortgage banking activities decreased $18.7 million, or 39.6%, to $28.6 million for the nine months ended September 30, 2022 from $47.3 million for the nine months ended September 30, 2021. This decrease was primarily a result of a decrease of $595.5 million, or 50.1%, in mortgage loan originations, partially offset by an increase of $5.0 million in the fair value adjustment and an increase of $993 thousand in servicing income for the Company’s mortgage servicing rights portfolio. Other noninterest income increased during the nine months ended September 30, 2022 primarily due to increased income from investments in a Small Business Investment Company (“SBIC”) of $2.3 million, $2.1 million in legal settlements, and growth in income from insurance activities and bank card services and interchange fees, partially offset by a decrease of $419 thousand in fiduciary income.</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Management is continuing to monitor and assess the industry changes related to the consumer overdraft fees, and changes already made or any future changes could negatively impact overdraft fee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(Decrease)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22,927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4,689</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13,468</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37,401</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Noninterest expense for the three months ended September 30, 2022 was $37.4 million compared to $38.1 million for the three months ended September 30, 2021, a decrease of $0.7 million, or 1.7%. Salaries and employee benefits decreased $1.2 million, or 4.9%, from $24.1 million for the three months ended September 30, 2021 to $22.9 million for the three months ended September 30, 2022. This decrease in salaries and employee benefits expense was primarily driven by lower mortgage commissions due to the reduction in mortgage loan originations, partially offset by additional commercial lenders hired as part of a planned initiative. Professional services increased $1.1 million during the third quarter of 2022 primarily as the result of legal expenses as result of vendor dispute legal proceedings. Other variable mortgage-based expenses also declined during the period.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Noninterest expense for the nine months ended September 30, 2022 was $111.4 million, compared to $111.9 million for the nine months ended September 30, 2021, a decrease of $0.5 million, or 0.5%. Salaries and employee benefits decreased $4.2 million, or 5.8%, from $71.8 million for the nine months ended September 30, 2021 to $67.6 million for the nine months ended September 30, 2022. This decrease in salaries and employee benefits expense was primarily driven by lower mortgage commissions and other variable mortgage-based expenses due to the reduction in mortgage loan originations, partially offset by additional commercial lenders hired as part of a planned initiative. There was an increase in professional services expense of $3.3 million during the nine months ended September 30, 2022, primarily related to an increase of $2.6 million in legal fees as a result of vendor dispute legal proceedings and other legal matters.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assets increased $90.8 million, or 2.3%, to $3.99 billion at September 30, 2022, compared to $3.90 billion at December 31, 2021. Our gross loans held for investment increased $252.8 million, or 10.4%, to $2.69 billion at September 30, 2022, compared to $2.44 billion at December 31, 2021. Our securities portfolio decreased $13.1 million, or 1.8%, to $711.4 million at September 30, 2022, compared to $724.5 million at December 31, 2021. Total deposits increased $119.3 million, or 3.6%, to $3.46 billion at September 30, 2022, compared to $3.34 billion at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held for investment increased $252.8 million, or 10.4%, to $2.69 billion at September 30, 2022, compared to $2.44 billion at December 31, 2021. This increase in our loans was primarily the result of organic net loan growth of $291.0 million, partially offset by a decrease due to SBA forgiveness and repayments of $38.2 million in PPP loans during the first nine months of 2022. The organic loan growth remained relationship-focused and occurred primarily in commercial real estate loans, residential mortgage loans, and consumer auto loans, partially offset by a decrease in hotel loans.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contractual maturities of our loans held for investment portfolio at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Due after Five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One Year or</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2"/>
              </w:rPr>
              <w:t>Less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Fifteen Years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Fifteen 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116,194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426,898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869,231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98,706</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159,969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63,261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46,268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368,204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61,356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155,582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477,209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31,870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74,860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424,802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161,110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144,937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309,111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47,487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80,524</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139,837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17,849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161,285</w:t>
            </w: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455,914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1,028,567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512,973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2,690,366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distribution between fixed and adjustable interest rate loans for maturities greater than one year as of September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Fixed</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Adjustable</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426,148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69,927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199,571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265,334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161,204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306,047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19,832</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1,161,998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1,072,454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September 30, 2022, there was $1.34 billion in adjustable rate loans, with $699.2 million of these loans that mature or reprice in the next twelve months. Of these loans that mature or reprice in the next twelve months, $486.2 million will reprice immediately upon changes in the underlying index rate, with the remaining $213.0 million being subject to floors above the current index or a future repricing date.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prime rate is the predominate index used by the Bank.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68.4% of our loans were secured by real property as of September 30, 2022, compared to 69.4% as of December 31, 2021.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37.9% of loans held for investment as of September 30, 2022 and represented 36.7% of loans held for investment as of December 31, 2021. Further, these loans are geographically diversified, primarily throughout the State of Texas as well as Eastern New Mexico.</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Commercial Real Estate</w:t>
      </w:r>
      <w:r>
        <w:rPr>
          <w:rFonts w:ascii="Arial" w:cs="Arial" w:eastAsia="Arial" w:hAnsi="Arial"/>
          <w:sz w:val="16"/>
          <w:szCs w:val="16"/>
          <w:color w:val="auto"/>
        </w:rPr>
        <w:t>. Our commercial real estate portfolio includes loans for commercial property that is owned by real estate investors,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real estate loans increased $113.8 million, or 15.1%, to $869.2 million as of September 30, 2022 from $755.4 million as of December 31, 2021. The increase was primarily driven by an increase of $69.8 million in commercial and residential land development loans and an increase of $64.2 million in retail loans, partially offset by a decrease of $20.4 million in hotel loans.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Commercial – General and Specialized</w:t>
      </w:r>
      <w:r>
        <w:rPr>
          <w:rFonts w:ascii="Arial" w:cs="Arial" w:eastAsia="Arial" w:hAnsi="Arial"/>
          <w:sz w:val="17"/>
          <w:szCs w:val="17"/>
          <w:color w:val="auto"/>
        </w:rPr>
        <w:t>. Commercial loans are underwritten after evaluating and understanding the borrower’s ability to operate profitably.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general loans increased $17.2 million, or 3.7%, to $477.2 million as of September 30, 2022 from $460.0 million as of December 31, 2021. The increase in commercial general loans was primarily due to organic loan growth in restaurant &amp; retail loans and construction company loans, partially offset by a decrease in PPP loans of $38.2 million.</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Commercial specialized loans decreased $10.5 million, or 2.8%, to $368.2 million as of September 30, 2022 from $378.7 million as of December 31, 2021. This decrease was primarily due to an early payoff of an approximately $46 million of one energy sector loan and net repayments of $8.9 million in seasonal agricultural production loans, partially offset by organic loan growth of $40.4 million in finance, investment, and insurance loans.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 consumer loans. Our loan policy</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Consumer and other loans increased $117.9 million, or 16.9%, to $814.4 million as of September 30, 2022, from $696.5 million as of December 31, 2021. The increase in these loans was primarily a result of a $68.4 million increase in consumer auto loans as a result of increased demand for autos, along with adding several high-quality auto dealerships, and a $37.1 million increase in residential mortgage loans. As of September 30, 2022, our consumer loan portfolio was comprised of $424.8 million in 1-4 family residential loans, $309.1 million in auto loans, and $80.5 million in other consumer loans.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ectPr>
          <w:pgSz w:w="11900" w:h="16838" w:orient="portrait"/>
          <w:cols w:equalWidth="0" w:num="1">
            <w:col w:w="11240"/>
          </w:cols>
          <w:pgMar w:left="320" w:top="122"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loans increased $14.4 million, or 9.8%, to $161.3 million as of September 30, 2022 from $146.9 million as of December 31, 2021. The increase resulted from continued higher demand for residential construction as a result of home shortages in many of our markets.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212529"/>
        </w:rPr>
        <w:t>Paycheck Protection Program</w:t>
      </w:r>
      <w:r>
        <w:rPr>
          <w:rFonts w:ascii="Arial" w:cs="Arial" w:eastAsia="Arial" w:hAnsi="Arial"/>
          <w:sz w:val="16"/>
          <w:szCs w:val="16"/>
          <w:color w:val="212529"/>
        </w:rPr>
        <w:t>. Beginning in April 2020 and until funding expired on May 31, 2021, we originated loans to qualified small businesses</w:t>
      </w:r>
      <w:r>
        <w:rPr>
          <w:rFonts w:ascii="Arial" w:cs="Arial" w:eastAsia="Arial" w:hAnsi="Arial"/>
          <w:sz w:val="16"/>
          <w:szCs w:val="16"/>
          <w:i w:val="1"/>
          <w:iCs w:val="1"/>
          <w:color w:val="212529"/>
        </w:rPr>
        <w:t xml:space="preserve"> </w:t>
      </w:r>
      <w:r>
        <w:rPr>
          <w:rFonts w:ascii="Arial" w:cs="Arial" w:eastAsia="Arial" w:hAnsi="Arial"/>
          <w:sz w:val="16"/>
          <w:szCs w:val="16"/>
          <w:color w:val="212529"/>
        </w:rPr>
        <w:t>under the PPP administered by the SBA under the provisions of the CARES Act. Loans covered by the PPP may be eligible for loan forgiveness for certain costs incurred related to payroll, group health care benefit costs and qualifying mortgage, rent and utility payments. The remaining loan balance after forgiveness of any amounts is still fully guaranteed by the SBA. Terms of the PPP loans include the following (i) maximum amount limited to the lesser of $10 million or an amount calculated using a payroll-based formula, (ii) maximum loan term of five years, (iii) interest rate of 1.00%, (iv) no collateral or personal guarantees are required, (v) no payments are required for six months following the loan disbursement date and (vi) loan forgiveness up to the full principal amount of the loan and any accrued interest, subject to certain requirements including that no more than 25% of the loan forgiveness amount may be attributable to non-payroll costs. In return for processing and booking the loan, the SBA paid the lender a processing fee tiered by the size of the loan (5% for loans of not more than $350 thousand; 3% for loans more than $350 thousand and less than $2 million; and 1% for loans of at least $2 million). At September 30, 2022, outstanding PPP loans totaled approximately $2.0 million and are included in commercial general loans.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commitments we have made as of the dates presented.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542,338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12,418</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753,910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assessed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allowance for loan losses was $39.7 million at September 30, 2022, compared to $42.1 million at December 31, 2021, a decrease of $2.4 million, or 5.8%. The decrease is primarily a result of a negative provision for loan losses of $2.9 million being recorded during the first nine months of 2022 based on general improvement in the Company’s credit metrics, a decline in the amount of loans that were actively under a modification, and a decrease in nonperforming loans, partially offset by the growth in the loan portfolio. Nevertheless, concerns regarding forecasted economic conditions continue to worsen due to the rising interest rate environment and persistent high inflation levels in the United States, and provisions for loan losses may be necessary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an analysis of the allowance for loan losses and other data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charge-offs (recoveries) during the period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r>
      <w:tr>
        <w:trPr>
          <w:trHeight w:val="216"/>
        </w:trPr>
        <w:tc>
          <w:tcPr>
            <w:tcW w:w="5740" w:type="dxa"/>
            <w:vAlign w:val="bottom"/>
          </w:tcPr>
          <w:p>
            <w:pPr>
              <w:ind w:left="34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r>
      <w:tr>
        <w:trPr>
          <w:trHeight w:val="223"/>
        </w:trPr>
        <w:tc>
          <w:tcPr>
            <w:tcW w:w="57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5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charge-offs (recoveries) during the period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average loans outstanding during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2,671,183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2,451,655</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2,567,683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2,387,690</w:t>
            </w: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w w:val="94"/>
              </w:rPr>
              <w:t>Total ratio of net charge-offs (recoveries) to average loans during the period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(annualized)</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414"/>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(Dollars in thousands)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loans held for investment outstanding</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2,690,366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2,437,577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Nonaccrual loans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4,945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9,518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39,657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42,098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Ratio of allowance to total loans held for investment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Ratio of allowance to nonaccrual loans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801.96%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442.30%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Ratio of nonaccrual loans to total loans held for investment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r>
    </w:tbl>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charge-offs (recoveries) totaled $(654) thousand and were (0.10)% (annualized) of average loans outstanding for the three months ended September 30, 2022, compared to $195 thousand and 0.03% (annualized) for the three months ended September 30, 2021. Net charge-offs totaled $(426) thousand and were (0.02)% (annualized) of average loans outstanding for the nine months ended September 30, 2022, compared to $867 thousand and 0.05% (annualized) for the nine months ended September 30, 2021. There was a $400 thousand recovery on a commercial tenant relationship in the second quarter of 2022 and an $822 thousand recovery on an energy relationship in the third quarter of 2022 that affected both of the period comparisons. The allowance for loan losses as a percentage of loans held for investment was 1.47% at September 30, 2022 and 1.73% at December 31, 2021.</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4,363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3,892</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3,653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r>
      <w:tr>
        <w:trPr>
          <w:trHeight w:val="237"/>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Nonperforming loans include nonaccrual loans and loans past due 90 days or more. Nonperforming assets consist of nonperforming loans plus OREO.</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2022, our total nonaccrual loans were $4.9 million, or 0.18% of total loans held for investment, as compared to $9.5 million, or 0.39% of total loans held for investment, at December 31, 2021. These loans were reviewed for impairment and specific valuation allowances were established as necessary and included in the allowance for loan losses as of September 30, 2022 to cover any probable loss. There were eleven loans totaling $4.3 million that were removed from nonaccrual status during the second and third quarters of 2022. This was a result of principal paydowns, improved cash flow, and continued sustained payment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were $7.8 million at September 30, 2022 and $10.6 million at December 31,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ectPr>
          <w:pgSz w:w="11900" w:h="16838" w:orient="portrait"/>
          <w:cols w:equalWidth="0" w:num="1">
            <w:col w:w="11240"/>
          </w:cols>
          <w:pgMar w:left="320" w:top="114"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loans restructured as TDRs during the first nine months of 2022 or 2021. TDRs are excluded from our nonperforming loans unless they otherwise meet the definition of nonaccrual loans or past due 90 days or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Securities available-for-sale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securities portfolio decreased $13.1 million, or 1.8%, to $711.4 million at September 30, 2022, compared to $724.5 million at December 31, 2021. The increase was primarily due to $176.7 million in purchases, partially offset by $60.8 million in maturities, prepayments, and calls and a $126.1 million decline in the unrealized gain at September 30, 2022 as compared to December 31, 2021.</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securities have fair values less than amortized cost and, therefore, contain unrealized losses. During the three months ended September 30, 2022, the fair value of the Company’s available for sale securities declined by $39.1 million, as a result of the significant increase in market interest rates during first nine months of 2022, which was attributed to the FOMC repeatedly raising their target benchmark interest rate in the first nine months of 2022, resulting in subsequent prime rate increases of 300 basis points between March and September of 2022. At September 30, 2022,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89"/>
              </w:rPr>
              <w:t>As of September 30, 2022</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840"/>
              <w:spacing w:after="0" w:line="198" w:lineRule="exact"/>
              <w:rPr>
                <w:sz w:val="20"/>
                <w:szCs w:val="20"/>
                <w:color w:val="auto"/>
              </w:rPr>
            </w:pPr>
            <w:r>
              <w:rPr>
                <w:rFonts w:ascii="Arial" w:cs="Arial" w:eastAsia="Arial" w:hAnsi="Arial"/>
                <w:sz w:val="18"/>
                <w:szCs w:val="18"/>
                <w:b w:val="1"/>
                <w:bCs w:val="1"/>
                <w:color w:val="auto"/>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Due after Five Years</w:t>
            </w:r>
          </w:p>
        </w:tc>
        <w:tc>
          <w:tcPr>
            <w:tcW w:w="180" w:type="dxa"/>
            <w:vAlign w:val="bottom"/>
          </w:tcPr>
          <w:p>
            <w:pPr>
              <w:spacing w:after="0"/>
              <w:rPr>
                <w:sz w:val="17"/>
                <w:szCs w:val="17"/>
                <w:color w:val="auto"/>
              </w:rPr>
            </w:pPr>
          </w:p>
        </w:tc>
        <w:tc>
          <w:tcPr>
            <w:tcW w:w="1820" w:type="dxa"/>
            <w:vAlign w:val="bottom"/>
            <w:gridSpan w:val="3"/>
          </w:tcPr>
          <w:p>
            <w:pPr>
              <w:jc w:val="right"/>
              <w:ind w:right="55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Through Ten Years</w:t>
            </w:r>
          </w:p>
        </w:tc>
        <w:tc>
          <w:tcPr>
            <w:tcW w:w="180" w:type="dxa"/>
            <w:vAlign w:val="bottom"/>
          </w:tcPr>
          <w:p>
            <w:pPr>
              <w:spacing w:after="0"/>
              <w:rPr>
                <w:sz w:val="20"/>
                <w:szCs w:val="20"/>
                <w:color w:val="auto"/>
              </w:rPr>
            </w:pPr>
          </w:p>
        </w:tc>
        <w:tc>
          <w:tcPr>
            <w:tcW w:w="19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Amortized</w:t>
            </w: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7,532</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242,144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3,008</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54,125</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388,174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obligations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86,120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00"/>
              <w:spacing w:after="0"/>
              <w:rPr>
                <w:sz w:val="20"/>
                <w:szCs w:val="20"/>
                <w:color w:val="auto"/>
              </w:rPr>
            </w:pPr>
            <w:r>
              <w:rPr>
                <w:rFonts w:ascii="Arial" w:cs="Arial" w:eastAsia="Arial" w:hAnsi="Arial"/>
                <w:sz w:val="18"/>
                <w:szCs w:val="18"/>
                <w:color w:val="auto"/>
              </w:rPr>
              <w:t>amortizing securities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1,758</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20,408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1,906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11,712</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161,535</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3.09%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650,726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gridSpan w:val="2"/>
          </w:tcPr>
          <w:p>
            <w:pPr>
              <w:jc w:val="right"/>
              <w:ind w:right="750"/>
              <w:spacing w:after="0"/>
              <w:rPr>
                <w:sz w:val="20"/>
                <w:szCs w:val="20"/>
                <w:color w:val="auto"/>
              </w:rPr>
            </w:pPr>
            <w:r>
              <w:rPr>
                <w:rFonts w:ascii="Arial" w:cs="Arial" w:eastAsia="Arial" w:hAnsi="Arial"/>
                <w:sz w:val="14"/>
                <w:szCs w:val="14"/>
                <w:color w:val="auto"/>
              </w:rPr>
              <w:t>43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1"/>
              </w:rPr>
              <w:t>As of December 31, 2021</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840"/>
              <w:spacing w:after="0" w:line="198" w:lineRule="exact"/>
              <w:rPr>
                <w:sz w:val="20"/>
                <w:szCs w:val="20"/>
                <w:color w:val="auto"/>
              </w:rPr>
            </w:pPr>
            <w:r>
              <w:rPr>
                <w:rFonts w:ascii="Arial" w:cs="Arial" w:eastAsia="Arial" w:hAnsi="Arial"/>
                <w:sz w:val="18"/>
                <w:szCs w:val="18"/>
                <w:b w:val="1"/>
                <w:bCs w:val="1"/>
                <w:color w:val="auto"/>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Due after Five Years</w:t>
            </w:r>
          </w:p>
        </w:tc>
        <w:tc>
          <w:tcPr>
            <w:tcW w:w="180" w:type="dxa"/>
            <w:vAlign w:val="bottom"/>
          </w:tcPr>
          <w:p>
            <w:pPr>
              <w:spacing w:after="0"/>
              <w:rPr>
                <w:sz w:val="17"/>
                <w:szCs w:val="17"/>
                <w:color w:val="auto"/>
              </w:rPr>
            </w:pPr>
          </w:p>
        </w:tc>
        <w:tc>
          <w:tcPr>
            <w:tcW w:w="1820" w:type="dxa"/>
            <w:vAlign w:val="bottom"/>
            <w:gridSpan w:val="3"/>
          </w:tcPr>
          <w:p>
            <w:pPr>
              <w:jc w:val="right"/>
              <w:ind w:right="55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Through Ten Years</w:t>
            </w:r>
          </w:p>
        </w:tc>
        <w:tc>
          <w:tcPr>
            <w:tcW w:w="180" w:type="dxa"/>
            <w:vAlign w:val="bottom"/>
          </w:tcPr>
          <w:p>
            <w:pPr>
              <w:spacing w:after="0"/>
              <w:rPr>
                <w:sz w:val="20"/>
                <w:szCs w:val="20"/>
                <w:color w:val="auto"/>
              </w:rPr>
            </w:pPr>
          </w:p>
        </w:tc>
        <w:tc>
          <w:tcPr>
            <w:tcW w:w="19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10,502</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245,139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1,476</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59,116</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242,381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obligations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106,733</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300"/>
              <w:spacing w:after="0"/>
              <w:rPr>
                <w:sz w:val="20"/>
                <w:szCs w:val="20"/>
                <w:color w:val="auto"/>
              </w:rPr>
            </w:pPr>
            <w:r>
              <w:rPr>
                <w:rFonts w:ascii="Arial" w:cs="Arial" w:eastAsia="Arial" w:hAnsi="Arial"/>
                <w:sz w:val="18"/>
                <w:szCs w:val="18"/>
                <w:color w:val="auto"/>
              </w:rPr>
              <w:t>amortizing securities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2,328</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23,718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gridSpan w:val="2"/>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9,039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190,679</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1.43%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511,238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deposits at September 30, 2022 were $3.46 billion, representing an increase of $119.3 million, or 3.6%, compared to $3.34 billion at December 31, 2021. The increase in total deposits since December 31, 2021 is primarily due to organic growth and customers maintaining higher balances. As of September 30, 2022, 36.5% of total deposits were comprised of noninterest-bearing demand accounts, 54.1% of interest-bearing non-maturity accounts and 9.4% of time deposits.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1,262,072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1,071,367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353,871</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395,322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1,518,485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1,534,795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326,108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339,738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3,460,536</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3,341,222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deposit balances and weighted average rates paid on deposits, on an annualized basis, for the periods indicated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60" w:type="dxa"/>
            <w:vAlign w:val="bottom"/>
            <w:gridSpan w:val="6"/>
          </w:tcPr>
          <w:p>
            <w:pPr>
              <w:ind w:left="60"/>
              <w:spacing w:after="0"/>
              <w:rPr>
                <w:sz w:val="20"/>
                <w:szCs w:val="20"/>
                <w:color w:val="auto"/>
              </w:rPr>
            </w:pPr>
            <w:r>
              <w:rPr>
                <w:rFonts w:ascii="Arial" w:cs="Arial" w:eastAsia="Arial" w:hAnsi="Arial"/>
                <w:sz w:val="18"/>
                <w:szCs w:val="18"/>
                <w:b w:val="1"/>
                <w:bCs w:val="1"/>
                <w:color w:val="auto"/>
                <w:w w:val="90"/>
              </w:rPr>
              <w:t>Three Months Ended September 30,</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5"/>
              </w:rPr>
              <w:t>Average</w:t>
            </w:r>
          </w:p>
        </w:tc>
        <w:tc>
          <w:tcPr>
            <w:tcW w:w="220" w:type="dxa"/>
            <w:vAlign w:val="bottom"/>
          </w:tcPr>
          <w:p>
            <w:pPr>
              <w:spacing w:after="0"/>
              <w:rPr>
                <w:sz w:val="17"/>
                <w:szCs w:val="17"/>
                <w:color w:val="auto"/>
              </w:rPr>
            </w:pPr>
          </w:p>
        </w:tc>
        <w:tc>
          <w:tcPr>
            <w:tcW w:w="110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Weighted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17"/>
                <w:szCs w:val="17"/>
                <w:color w:val="auto"/>
              </w:rPr>
            </w:pPr>
          </w:p>
        </w:tc>
        <w:tc>
          <w:tcPr>
            <w:tcW w:w="110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Average Rate</w:t>
            </w: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Average Rate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1,248,804</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1,035,910</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and interest-bearing demand accounts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345,048</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356,868</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Savings accounts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153,848</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134,436</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1,374,890</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1,329,373</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3"/>
        </w:trPr>
        <w:tc>
          <w:tcPr>
            <w:tcW w:w="446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330,133</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330,161</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deposits</w:t>
            </w:r>
          </w:p>
        </w:tc>
        <w:tc>
          <w:tcPr>
            <w:tcW w:w="1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2,203,919</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2,150,838</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446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3,452,723</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3,186,748</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color w:val="auto"/>
              </w:rPr>
              <w:t>44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4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gridSpan w:val="6"/>
          </w:tcPr>
          <w:p>
            <w:pPr>
              <w:ind w:left="120"/>
              <w:spacing w:after="0"/>
              <w:rPr>
                <w:sz w:val="20"/>
                <w:szCs w:val="20"/>
                <w:color w:val="auto"/>
              </w:rPr>
            </w:pPr>
            <w:r>
              <w:rPr>
                <w:rFonts w:ascii="Arial" w:cs="Arial" w:eastAsia="Arial" w:hAnsi="Arial"/>
                <w:sz w:val="18"/>
                <w:szCs w:val="18"/>
                <w:b w:val="1"/>
                <w:bCs w:val="1"/>
                <w:color w:val="auto"/>
                <w:w w:val="91"/>
              </w:rPr>
              <w:t>Nine Months Ended September 30,</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5"/>
              </w:rPr>
              <w:t>Average</w:t>
            </w:r>
          </w:p>
        </w:tc>
        <w:tc>
          <w:tcPr>
            <w:tcW w:w="220" w:type="dxa"/>
            <w:vAlign w:val="bottom"/>
          </w:tcPr>
          <w:p>
            <w:pPr>
              <w:spacing w:after="0"/>
              <w:rPr>
                <w:sz w:val="17"/>
                <w:szCs w:val="17"/>
                <w:color w:val="auto"/>
              </w:rPr>
            </w:pPr>
          </w:p>
        </w:tc>
        <w:tc>
          <w:tcPr>
            <w:tcW w:w="110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Weighted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7"/>
                <w:szCs w:val="17"/>
                <w:color w:val="auto"/>
              </w:rPr>
            </w:pPr>
          </w:p>
        </w:tc>
        <w:tc>
          <w:tcPr>
            <w:tcW w:w="110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Average Rate</w:t>
            </w: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Average Rate</w:t>
            </w: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1,174,783</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991,331</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357,547</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349,646</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150,133</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129,004</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0.08%</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1,397,321</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1,355,463</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r>
      <w:tr>
        <w:trPr>
          <w:trHeight w:val="223"/>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334,686</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326,862</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1.27%</w:t>
            </w:r>
          </w:p>
        </w:tc>
      </w:tr>
      <w:tr>
        <w:trPr>
          <w:trHeight w:val="223"/>
        </w:trPr>
        <w:tc>
          <w:tcPr>
            <w:tcW w:w="5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2,239,687</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2,160,975</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r>
      <w:tr>
        <w:trPr>
          <w:trHeight w:val="216"/>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3,414,470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3,152,306</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0.27%</w:t>
            </w:r>
          </w:p>
        </w:tc>
      </w:tr>
      <w:tr>
        <w:trPr>
          <w:trHeight w:val="21"/>
        </w:trPr>
        <w:tc>
          <w:tcPr>
            <w:tcW w:w="10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uninsured certificates of deposits or other time deposits as of September 30, 2022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Three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Six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00" w:type="dxa"/>
            <w:vAlign w:val="bottom"/>
            <w:gridSpan w:val="2"/>
          </w:tcPr>
          <w:p>
            <w:pPr>
              <w:jc w:val="right"/>
              <w:ind w:right="3010"/>
              <w:spacing w:after="0"/>
              <w:rPr>
                <w:sz w:val="20"/>
                <w:szCs w:val="20"/>
                <w:color w:val="auto"/>
              </w:rPr>
            </w:pPr>
            <w:r>
              <w:rPr>
                <w:rFonts w:ascii="Arial" w:cs="Arial" w:eastAsia="Arial" w:hAnsi="Arial"/>
                <w:sz w:val="18"/>
                <w:szCs w:val="18"/>
                <w:b w:val="1"/>
                <w:bCs w:val="1"/>
                <w:color w:val="auto"/>
                <w:w w:val="88"/>
              </w:rPr>
              <w:t>(Dollars in thousands)</w:t>
            </w: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Six Months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12 Months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12 Months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amount of uninsured deposits as of September 30, 2022 was $1.15 billion.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deposits, we utilize advances from the FHLB and other borrowings as a supplementary funding source to finance our operations.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both short and long-term, on a blanket floating lien status collateralized by first mortgage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loans as well as FHLB stock. At September 30, 2022 and December 31, 2021, we had total remaining borrowing capacity from the FHLB of $902.7 million and $903.9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long-term FHLB borrowings as of and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As of/For the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840" w:type="dxa"/>
            <w:vAlign w:val="bottom"/>
          </w:tcPr>
          <w:p>
            <w:pPr>
              <w:spacing w:after="0"/>
              <w:rPr>
                <w:sz w:val="20"/>
                <w:szCs w:val="20"/>
                <w:color w:val="auto"/>
              </w:rPr>
            </w:pPr>
          </w:p>
        </w:tc>
        <w:tc>
          <w:tcPr>
            <w:tcW w:w="21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8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2021</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0.00%</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0.00%</w:t>
            </w: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26,188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0.00%</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0.00%</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used FHLB letters of credit to pledge to certain public deposits. These letters of credit expired in July 2021 and the Company began pledging securities to these public funds rather than renewing the letters of credit. As a result, there were no FHLB letters of credit outstanding at September 30,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“FRB”). The amount of the line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on a monthly basis by the FRB. The line is collateralized by a blanket floating lien on all agriculture, commercial and consumer loans. The amount of the line was $646.5 million and $593.6 million at September 30, 2022 and December 31, 2021, respectively. This line of credit was not used during the three or nine months ended September 30, 2022 or the same periods in 2021.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 management. The total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lines was $160.0 million as of September 30, 2022 and December 31, 2021, respectively. The lines of credit were not used during the three or nine months ended September 30, 2022 or the three or nine months ended September 30,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Subordinated Debt Securities</w:t>
      </w:r>
      <w:r>
        <w:rPr>
          <w:rFonts w:ascii="Arial" w:cs="Arial" w:eastAsia="Arial" w:hAnsi="Arial"/>
          <w:sz w:val="18"/>
          <w:szCs w:val="18"/>
          <w:color w:val="auto"/>
        </w:rPr>
        <w:t>. The Company has subordinated debt securities that are intended to qualify for tier 2 capital treatment, subject to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As of September 30, 2022, the total amount of subordinated debt securities outstanding was $76.5 million less approximately $604 thousand of remaining debt issuance costs for a total balance of $75.9 million.</w:t>
      </w:r>
    </w:p>
    <w:p>
      <w:pPr>
        <w:sectPr>
          <w:pgSz w:w="11900" w:h="16838" w:orient="portrait"/>
          <w:cols w:equalWidth="0" w:num="1">
            <w:col w:w="11240"/>
          </w:cols>
          <w:pgMar w:left="320" w:top="114"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Junior Subordinated Deferrable Interest Debentures and Trust Preferred Securities</w:t>
      </w:r>
      <w:r>
        <w:rPr>
          <w:rFonts w:ascii="Arial" w:cs="Arial" w:eastAsia="Arial" w:hAnsi="Arial"/>
          <w:sz w:val="18"/>
          <w:szCs w:val="18"/>
          <w:color w:val="auto"/>
        </w:rPr>
        <w:t>. Between March 2004 and June 2007, the Company formed three</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September 30, 2022 and December 31, 2021.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 below indicates certain information, as of September 30, 2022,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Stated</w:t>
            </w:r>
          </w:p>
        </w:tc>
        <w:tc>
          <w:tcPr>
            <w:tcW w:w="22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Maturity Date of</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Amount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Trust Preferred</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06"/>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ind w:left="620"/>
              <w:spacing w:after="0"/>
              <w:rPr>
                <w:sz w:val="20"/>
                <w:szCs w:val="20"/>
                <w:color w:val="auto"/>
              </w:rPr>
            </w:pPr>
            <w:r>
              <w:rPr>
                <w:rFonts w:ascii="Arial" w:cs="Arial" w:eastAsia="Arial" w:hAnsi="Arial"/>
                <w:sz w:val="18"/>
                <w:szCs w:val="18"/>
                <w:b w:val="1"/>
                <w:bCs w:val="1"/>
                <w:color w:val="auto"/>
              </w:rPr>
              <w:t>Issue</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Trust Preferred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Securities and</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5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Trust</w:t>
            </w:r>
          </w:p>
        </w:tc>
        <w:tc>
          <w:tcPr>
            <w:tcW w:w="100" w:type="dxa"/>
            <w:vAlign w:val="bottom"/>
          </w:tcPr>
          <w:p>
            <w:pPr>
              <w:spacing w:after="0"/>
              <w:rPr>
                <w:sz w:val="21"/>
                <w:szCs w:val="21"/>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Securities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Debentures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(1)</w:t>
            </w:r>
          </w:p>
        </w:tc>
        <w:tc>
          <w:tcPr>
            <w:tcW w:w="100" w:type="dxa"/>
            <w:vAlign w:val="bottom"/>
          </w:tcPr>
          <w:p>
            <w:pPr>
              <w:spacing w:after="0"/>
              <w:rPr>
                <w:sz w:val="21"/>
                <w:szCs w:val="21"/>
                <w:color w:val="auto"/>
              </w:rPr>
            </w:pPr>
          </w:p>
        </w:tc>
        <w:tc>
          <w:tcPr>
            <w:tcW w:w="22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(2)(3)</w:t>
            </w: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w w:val="89"/>
              </w:rPr>
              <w:t>(Dollars in thousands)</w:t>
            </w:r>
          </w:p>
        </w:tc>
        <w:tc>
          <w:tcPr>
            <w:tcW w:w="2200" w:type="dxa"/>
            <w:vAlign w:val="bottom"/>
          </w:tcPr>
          <w:p>
            <w:pPr>
              <w:spacing w:after="0"/>
              <w:rPr>
                <w:sz w:val="18"/>
                <w:szCs w:val="18"/>
                <w:color w:val="auto"/>
              </w:rPr>
            </w:pPr>
          </w:p>
        </w:tc>
      </w:tr>
      <w:tr>
        <w:trPr>
          <w:trHeight w:val="202"/>
        </w:trPr>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3-mo. LIBOR + 265 bps;</w:t>
            </w: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8"/>
              </w:rPr>
              <w:t>South Plains Financial Capital Trust III</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10,310</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02"/>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jc w:val="right"/>
              <w:spacing w:after="0" w:line="201" w:lineRule="exact"/>
              <w:rPr>
                <w:sz w:val="20"/>
                <w:szCs w:val="20"/>
                <w:color w:val="auto"/>
              </w:rPr>
            </w:pPr>
            <w:r>
              <w:rPr>
                <w:rFonts w:ascii="Arial" w:cs="Arial" w:eastAsia="Arial" w:hAnsi="Arial"/>
                <w:sz w:val="18"/>
                <w:szCs w:val="18"/>
                <w:color w:val="auto"/>
              </w:rPr>
              <w:t>3-mo. LIBOR + 139 bps;</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w w:val="98"/>
              </w:rPr>
              <w:t>South Plains Financial Capital Trust IV</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20,619</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2035</w:t>
            </w:r>
          </w:p>
        </w:tc>
        <w:tc>
          <w:tcPr>
            <w:tcW w:w="22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02"/>
        </w:trPr>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3-mo. LIBOR + 150 bps;</w:t>
            </w:r>
          </w:p>
        </w:tc>
      </w:tr>
      <w:tr>
        <w:trPr>
          <w:trHeight w:val="237"/>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South Plains Financial Capital Trust V</w:t>
            </w:r>
          </w:p>
        </w:tc>
        <w:tc>
          <w:tcPr>
            <w:tcW w:w="17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15,464</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46,393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as of last reset date, prior to September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if the projected future net interest income levels would be acceptable. The Company attempts to stay within acceptable net interest income levels.</w:t>
      </w:r>
    </w:p>
    <w:p>
      <w:pPr>
        <w:spacing w:after="0" w:line="1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stockholders’ equity decreased to $341.8 million as of September 30, 2022, compared to $407.4 million as of December 31, 2021, a decrease of $65.6 million, or 16.1%. The decrease from December 31, 2021 was primarily the result of a decrease in accumulated other comprehensive income (“AOCI”) of $87.2 million, net of tax, repurchases of common stock of $18.9 million and $6.0 million of dividends paid, partially offset by $45.6 million in net earnings, for the nine months ended September 30, 2022 . The decrease in AOCI was attributed to the decline in fair value of our available for sale securities and fair value hedges, net of tax, as a result of the rising interest rate environment.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2022, both we and the Bank met all the capital adequacy requirements to which we and the Bank were subject. At September 30, 2022, we and the Bank were “well capitalized” under the regulatory framework for prompt corrective action. Management believes that no conditions or events have occurred since September 30, 2022 that would materially adversely change such capital classifications. From time to time, we may need to raise additional capital to support our and the Bank’s further growth and to maintain our “well capitalized” status.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and the Bank’s regulatory capital ratios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ind w:left="30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24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551,832</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16.46%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524,836</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18.40%</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436,081</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13.01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391,081</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436,081</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448,194</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425,748</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14.93%</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408,357</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408,357</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408,357</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 Leverage Ratio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repurchased stock in accordance with its stock repurchase program during the three and nine months ended September 30, 2022 and 2021. For the three months ended September 30, 2022, we repurchased 366,127 shares of common stock for a total of $9.7 million. For the nine months ended September 30, 2022, we repurchased 729,613 shares of common stock for a total of $18.9 million. These shares were retired immediately upon repurchase and not included in treasury stock. See Part II, Item 2, “Unregistered Sales of Equity Securities and Use of Proceeds,” of this Form 10-Q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exposure to interest rate risk is managed by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simulated change in net interest income over a 12-month horizon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3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900" w:type="dxa"/>
            <w:vAlign w:val="bottom"/>
            <w:gridSpan w:val="2"/>
          </w:tcPr>
          <w:p>
            <w:pPr>
              <w:jc w:val="center"/>
              <w:ind w:left="3294"/>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Percent Change in</w:t>
            </w:r>
          </w:p>
        </w:tc>
        <w:tc>
          <w:tcPr>
            <w:tcW w:w="220" w:type="dxa"/>
            <w:vAlign w:val="bottom"/>
          </w:tcPr>
          <w:p>
            <w:pPr>
              <w:spacing w:after="0"/>
              <w:rPr>
                <w:sz w:val="17"/>
                <w:szCs w:val="17"/>
                <w:color w:val="auto"/>
              </w:rPr>
            </w:pPr>
          </w:p>
        </w:tc>
      </w:tr>
      <w:tr>
        <w:trPr>
          <w:trHeight w:val="221"/>
        </w:trPr>
        <w:tc>
          <w:tcPr>
            <w:tcW w:w="3000" w:type="dxa"/>
            <w:vAlign w:val="bottom"/>
          </w:tcPr>
          <w:p>
            <w:pPr>
              <w:spacing w:after="0"/>
              <w:rPr>
                <w:sz w:val="20"/>
                <w:szCs w:val="20"/>
                <w:color w:val="auto"/>
              </w:rPr>
            </w:pPr>
            <w:r>
              <w:rPr>
                <w:rFonts w:ascii="Arial" w:cs="Arial" w:eastAsia="Arial" w:hAnsi="Arial"/>
                <w:sz w:val="18"/>
                <w:szCs w:val="18"/>
                <w:b w:val="1"/>
                <w:bCs w:val="1"/>
                <w:color w:val="auto"/>
                <w:w w:val="88"/>
              </w:rPr>
              <w:t>Change in Interest Rates (Basis Points)</w:t>
            </w:r>
          </w:p>
        </w:tc>
        <w:tc>
          <w:tcPr>
            <w:tcW w:w="12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Net Interest Income</w:t>
            </w:r>
          </w:p>
        </w:tc>
        <w:tc>
          <w:tcPr>
            <w:tcW w:w="240" w:type="dxa"/>
            <w:vAlign w:val="bottom"/>
          </w:tcPr>
          <w:p>
            <w:pPr>
              <w:spacing w:after="0"/>
              <w:rPr>
                <w:sz w:val="19"/>
                <w:szCs w:val="19"/>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Net Interest Income</w:t>
            </w:r>
          </w:p>
        </w:tc>
      </w:tr>
      <w:tr>
        <w:trPr>
          <w:trHeight w:val="20"/>
        </w:trPr>
        <w:tc>
          <w:tcPr>
            <w:tcW w:w="300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12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+200</w:t>
            </w:r>
          </w:p>
        </w:tc>
        <w:tc>
          <w:tcPr>
            <w:tcW w:w="1280" w:type="dxa"/>
            <w:vAlign w:val="bottom"/>
          </w:tcPr>
          <w:p>
            <w:pPr>
              <w:spacing w:after="0"/>
              <w:rPr>
                <w:sz w:val="18"/>
                <w:szCs w:val="18"/>
                <w:color w:val="auto"/>
              </w:rPr>
            </w:pPr>
          </w:p>
        </w:tc>
        <w:tc>
          <w:tcPr>
            <w:tcW w:w="5160" w:type="dxa"/>
            <w:vAlign w:val="bottom"/>
            <w:gridSpan w:val="4"/>
          </w:tcPr>
          <w:p>
            <w:pPr>
              <w:jc w:val="right"/>
              <w:ind w:right="120"/>
              <w:spacing w:after="0"/>
              <w:rPr>
                <w:sz w:val="20"/>
                <w:szCs w:val="20"/>
                <w:color w:val="auto"/>
              </w:rPr>
            </w:pPr>
            <w:r>
              <w:rPr>
                <w:rFonts w:ascii="Arial" w:cs="Arial" w:eastAsia="Arial" w:hAnsi="Arial"/>
                <w:sz w:val="18"/>
                <w:szCs w:val="18"/>
                <w:color w:val="auto"/>
              </w:rPr>
              <w:t>1.29%</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4.53%</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280" w:type="dxa"/>
            <w:vAlign w:val="bottom"/>
            <w:shd w:val="clear" w:color="auto" w:fill="CCEEFF"/>
          </w:tcPr>
          <w:p>
            <w:pPr>
              <w:spacing w:after="0"/>
              <w:rPr>
                <w:sz w:val="18"/>
                <w:szCs w:val="18"/>
                <w:color w:val="auto"/>
              </w:rPr>
            </w:pPr>
          </w:p>
        </w:tc>
        <w:tc>
          <w:tcPr>
            <w:tcW w:w="5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-100</w:t>
            </w:r>
          </w:p>
        </w:tc>
        <w:tc>
          <w:tcPr>
            <w:tcW w:w="1280" w:type="dxa"/>
            <w:vAlign w:val="bottom"/>
          </w:tcPr>
          <w:p>
            <w:pPr>
              <w:spacing w:after="0"/>
              <w:rPr>
                <w:sz w:val="20"/>
                <w:szCs w:val="20"/>
                <w:color w:val="auto"/>
              </w:rPr>
            </w:pPr>
          </w:p>
        </w:tc>
        <w:tc>
          <w:tcPr>
            <w:tcW w:w="5160" w:type="dxa"/>
            <w:vAlign w:val="bottom"/>
            <w:gridSpan w:val="4"/>
          </w:tcPr>
          <w:p>
            <w:pPr>
              <w:jc w:val="right"/>
              <w:ind w:right="60"/>
              <w:spacing w:after="0"/>
              <w:rPr>
                <w:sz w:val="20"/>
                <w:szCs w:val="20"/>
                <w:color w:val="auto"/>
              </w:rPr>
            </w:pPr>
            <w:r>
              <w:rPr>
                <w:rFonts w:ascii="Arial" w:cs="Arial" w:eastAsia="Arial" w:hAnsi="Arial"/>
                <w:sz w:val="18"/>
                <w:szCs w:val="18"/>
                <w:color w:val="auto"/>
              </w:rPr>
              <w:t>(1.96)%</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(1.05)%</w:t>
            </w:r>
          </w:p>
        </w:tc>
      </w:tr>
      <w:tr>
        <w:trPr>
          <w:trHeight w:val="554"/>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60" w:type="dxa"/>
            <w:vAlign w:val="bottom"/>
          </w:tcPr>
          <w:p>
            <w:pPr>
              <w:jc w:val="right"/>
              <w:ind w:right="1854"/>
              <w:spacing w:after="0"/>
              <w:rPr>
                <w:sz w:val="20"/>
                <w:szCs w:val="20"/>
                <w:color w:val="auto"/>
              </w:rPr>
            </w:pPr>
            <w:r>
              <w:rPr>
                <w:rFonts w:ascii="Arial" w:cs="Arial" w:eastAsia="Arial" w:hAnsi="Arial"/>
                <w:sz w:val="14"/>
                <w:szCs w:val="14"/>
                <w:color w:val="auto"/>
              </w:rPr>
              <w:t>48</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Tangible Book Value Per Common Share</w:t>
      </w:r>
      <w:r>
        <w:rPr>
          <w:rFonts w:ascii="Arial" w:cs="Arial" w:eastAsia="Arial" w:hAnsi="Arial"/>
          <w:sz w:val="17"/>
          <w:szCs w:val="17"/>
          <w:color w:val="auto"/>
        </w:rPr>
        <w:t>. Tangible book value per share is a non-GAAP measure generally used by investors, financial analysts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Tangible Common Equity to Tangible Assets</w:t>
      </w:r>
      <w:r>
        <w:rPr>
          <w:rFonts w:ascii="Arial" w:cs="Arial" w:eastAsia="Arial" w:hAnsi="Arial"/>
          <w:sz w:val="17"/>
          <w:szCs w:val="17"/>
          <w:color w:val="auto"/>
        </w:rPr>
        <w:t>. Tangible common equity to tangible assets is a non-GAAP measure generally used by investors,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jc w:val="right"/>
              <w:ind w:right="370"/>
              <w:spacing w:after="0"/>
              <w:rPr>
                <w:sz w:val="20"/>
                <w:szCs w:val="20"/>
                <w:color w:val="auto"/>
              </w:rPr>
            </w:pPr>
            <w:r>
              <w:rPr>
                <w:rFonts w:ascii="Arial" w:cs="Arial" w:eastAsia="Arial" w:hAnsi="Arial"/>
                <w:sz w:val="16"/>
                <w:szCs w:val="16"/>
                <w:b w:val="1"/>
                <w:bCs w:val="1"/>
                <w:color w:val="auto"/>
                <w:w w:val="71"/>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407,427</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(24,228)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(25,403)</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Tangible common equity</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317,571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382,024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3,901,855</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(24,228)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(25,403)</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Tangible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3,968,462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3,876,452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17,064,640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17,760,243</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Tangible common equity to tangible assets</w:t>
            </w:r>
          </w:p>
        </w:tc>
        <w:tc>
          <w:tcPr>
            <w:tcW w:w="1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Book value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w:t>
            </w: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Tangible book value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21.51</w:t>
            </w:r>
          </w:p>
        </w:tc>
      </w:tr>
    </w:tbl>
    <w:p>
      <w:pPr>
        <w:spacing w:after="0" w:line="200" w:lineRule="exact"/>
        <w:rPr>
          <w:sz w:val="20"/>
          <w:szCs w:val="20"/>
          <w:color w:val="auto"/>
        </w:rPr>
      </w:pPr>
    </w:p>
    <w:p>
      <w:pPr>
        <w:sectPr>
          <w:pgSz w:w="11900" w:h="16838" w:orient="portrait"/>
          <w:cols w:equalWidth="0" w:num="1">
            <w:col w:w="11240"/>
          </w:cols>
          <w:pgMar w:left="320" w:top="122" w:right="339" w:bottom="571"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571"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September 30, 2022.</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Investment securities may be classified into trading, held-to-maturity, or available-for-sale portfolios. Securities that are held principally for</w:t>
      </w:r>
      <w:r>
        <w:rPr>
          <w:rFonts w:ascii="Arial" w:cs="Arial" w:eastAsia="Arial" w:hAnsi="Arial"/>
          <w:sz w:val="16"/>
          <w:szCs w:val="16"/>
          <w:i w:val="1"/>
          <w:iCs w:val="1"/>
          <w:color w:val="auto"/>
        </w:rPr>
        <w:t xml:space="preserve"> </w:t>
      </w:r>
      <w:r>
        <w:rPr>
          <w:rFonts w:ascii="Arial" w:cs="Arial" w:eastAsia="Arial" w:hAnsi="Arial"/>
          <w:sz w:val="16"/>
          <w:szCs w:val="16"/>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 provision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 delivery are carried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Mortgage Servicing Rights Asset. </w:t>
      </w:r>
      <w:r>
        <w:rPr>
          <w:rFonts w:ascii="Arial" w:cs="Arial" w:eastAsia="Arial" w:hAnsi="Arial"/>
          <w:sz w:val="17"/>
          <w:szCs w:val="17"/>
          <w:color w:val="auto"/>
        </w:rPr>
        <w:t>When mortgage loans are sold with servicing retained, servicing rights are initially recorded at fair value with the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Goodwill resulting from business combinations is generally determined as the excess of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that occurred during the three months ended September 30, 2022 that have materially affected, or are reasonably likely to materially affect, the Company’s internal control over financial reporting.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its subsidiaries are subject to various legal actions, as described in our Annual Report on Form 10-K for the year ended December 31, 2021 (the “2021 Annual Report on Form 10-K”) filed with the SEC on March 8, 2022.</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previously disclosed, in response to a Notice of Termination received from Kasasa, Ltd. f/k/a Moneyvue Financial, Inc., Bankvue Financial, Inc., and BancVue, Ltd. (“Kasasa”) purporting to terminate a Software License and Maintenance Agreement (the “Software License Agreement”), Trademark License Agreement (the “Trademark License Agreement”), and Addendum to Software License Agreement (“Addendum”) between the Company’s wholly-owned banking subsidiary City Bank (the “Bank”) and Kasasa, the Bank filed suit against Kasasa in Travis County, Texas, styled City Bank v. Kasasa, Ltd., Cause No. D-1-GN-20-003630, 53rd Judicial District, Travis County, Texas.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about September 23, 2022, the parties entered into a Settlement Agreement and Mutual Release (the “Settlement Agreement”), pursuant to which the parties agreed to the settlement and release of all claims related to the Software License Agreement, Trademark License Agreement, and Addendum, including all claims and counterclaims in the lawsuit. Thereafter, the parties filed a joint motion to dismiss with prejudice and the court formally dismissed the case by order dated October 7,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above or in our 2021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2021 Annual Report on Form 10-K. There have been no material changes in the risk factors disclosed by the Company in the 2021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29, 2021, the Company’s board of directors approved a stock repurchase program, effective November 6, 2021, pursuant to which the Company may, from time to time, purchase up to $10.0 million of its outstanding shares of common stock (the “Repurchase Program”). The Repurchase Program had an expiration date of November 6, 2022. On May 18, 2022, the Company’s board of directors approved a stock repurchase program pursuant to which the Company may, from time to time, purchase up to $15.0 million of its outstanding shares of common stock (the “New Repurchase Program”). The New Repurchase Program became effective on the date which the Repurchase Program expired due to depletion of funds previously allocated to it. The shares may be repurchased from time to time in privately negotiated transactions or the open market, including pursuant to a Rule 10b5-1 trading plan adopted by the Company, and in accordance with applicable regulations of the SEC. The Company is not obligated to purchase any shares of its common stock under the New Repurchase Program, and the timing and exact amount of any repurchases will depend on various factors, including the performance of the Company’s stock price, general market and other conditions, applicable legal requirements and other factors. The New Repurchase Program may be terminated or amended by the Company’s board of directors at any time prior to the expiration date, which is May 21,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 repurchase activity for the three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Maximum Dollar Amount</w:t>
            </w:r>
          </w:p>
        </w:tc>
      </w:tr>
      <w:tr>
        <w:trPr>
          <w:trHeight w:val="216"/>
        </w:trPr>
        <w:tc>
          <w:tcPr>
            <w:tcW w:w="4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Dollar Amount</w:t>
            </w:r>
          </w:p>
        </w:tc>
        <w:tc>
          <w:tcPr>
            <w:tcW w:w="80" w:type="dxa"/>
            <w:vAlign w:val="bottom"/>
          </w:tcPr>
          <w:p>
            <w:pPr>
              <w:spacing w:after="0"/>
              <w:rPr>
                <w:sz w:val="18"/>
                <w:szCs w:val="18"/>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2"/>
              </w:rPr>
              <w:t>Total Shares</w:t>
            </w:r>
          </w:p>
        </w:tc>
        <w:tc>
          <w:tcPr>
            <w:tcW w:w="1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Pursuant to</w:t>
            </w:r>
          </w:p>
        </w:tc>
        <w:tc>
          <w:tcPr>
            <w:tcW w:w="80" w:type="dxa"/>
            <w:vAlign w:val="bottom"/>
          </w:tcPr>
          <w:p>
            <w:pPr>
              <w:spacing w:after="0"/>
              <w:rPr>
                <w:sz w:val="18"/>
                <w:szCs w:val="18"/>
                <w:color w:val="auto"/>
              </w:rPr>
            </w:pPr>
          </w:p>
        </w:tc>
        <w:tc>
          <w:tcPr>
            <w:tcW w:w="2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Repurchase Pursuant to</w:t>
            </w:r>
          </w:p>
        </w:tc>
      </w:tr>
      <w:tr>
        <w:trPr>
          <w:trHeight w:val="241"/>
        </w:trPr>
        <w:tc>
          <w:tcPr>
            <w:tcW w:w="4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9"/>
              </w:rPr>
              <w:t>Repurchased</w:t>
            </w:r>
          </w:p>
        </w:tc>
        <w:tc>
          <w:tcPr>
            <w:tcW w:w="1520" w:type="dxa"/>
            <w:vAlign w:val="bottom"/>
            <w:gridSpan w:val="4"/>
          </w:tcPr>
          <w:p>
            <w:pPr>
              <w:ind w:left="180"/>
              <w:spacing w:after="0"/>
              <w:rPr>
                <w:sz w:val="20"/>
                <w:szCs w:val="20"/>
                <w:color w:val="auto"/>
              </w:rPr>
            </w:pPr>
            <w:r>
              <w:rPr>
                <w:rFonts w:ascii="Arial" w:cs="Arial" w:eastAsia="Arial" w:hAnsi="Arial"/>
                <w:sz w:val="18"/>
                <w:szCs w:val="18"/>
                <w:b w:val="1"/>
                <w:bCs w:val="1"/>
                <w:color w:val="auto"/>
              </w:rPr>
              <w:t>Paid Per Share</w:t>
            </w: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Publicly-Announced Plan</w:t>
            </w:r>
          </w:p>
        </w:tc>
        <w:tc>
          <w:tcPr>
            <w:tcW w:w="80" w:type="dxa"/>
            <w:vAlign w:val="bottom"/>
          </w:tcPr>
          <w:p>
            <w:pPr>
              <w:spacing w:after="0"/>
              <w:rPr>
                <w:sz w:val="20"/>
                <w:szCs w:val="20"/>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Publicly-Announced Plan</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42,125</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12,500,532</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August 2022</w:t>
            </w:r>
          </w:p>
        </w:tc>
        <w:tc>
          <w:tcPr>
            <w:tcW w:w="1080" w:type="dxa"/>
            <w:vAlign w:val="bottom"/>
          </w:tcPr>
          <w:p>
            <w:pPr>
              <w:jc w:val="right"/>
              <w:spacing w:after="0"/>
              <w:rPr>
                <w:sz w:val="20"/>
                <w:szCs w:val="20"/>
                <w:color w:val="auto"/>
              </w:rPr>
            </w:pPr>
            <w:r>
              <w:rPr>
                <w:rFonts w:ascii="Arial" w:cs="Arial" w:eastAsia="Arial" w:hAnsi="Arial"/>
                <w:sz w:val="18"/>
                <w:szCs w:val="18"/>
                <w:color w:val="auto"/>
              </w:rPr>
              <w:t>194,852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5,155,013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7,345,519</w:t>
            </w:r>
          </w:p>
        </w:tc>
      </w:tr>
      <w:tr>
        <w:trPr>
          <w:trHeight w:val="22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129,150</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3,550,729</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3,794,789</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366,127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2" w:right="339" w:bottom="922"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gridSpan w:val="5"/>
          </w:tcPr>
          <w:p>
            <w:pPr>
              <w:ind w:left="180"/>
              <w:spacing w:after="0"/>
              <w:rPr>
                <w:sz w:val="20"/>
                <w:szCs w:val="20"/>
                <w:color w:val="auto"/>
              </w:rPr>
            </w:pPr>
            <w:r>
              <w:rPr>
                <w:rFonts w:ascii="Arial" w:cs="Arial" w:eastAsia="Arial" w:hAnsi="Arial"/>
                <w:sz w:val="18"/>
                <w:szCs w:val="18"/>
                <w:b w:val="1"/>
                <w:bCs w:val="1"/>
                <w:color w:val="auto"/>
              </w:rPr>
              <w:t>Exhibit</w:t>
            </w:r>
          </w:p>
        </w:tc>
        <w:tc>
          <w:tcPr>
            <w:tcW w:w="10180" w:type="dxa"/>
            <w:vAlign w:val="bottom"/>
          </w:tcPr>
          <w:p>
            <w:pPr>
              <w:spacing w:after="0"/>
              <w:rPr>
                <w:sz w:val="18"/>
                <w:szCs w:val="18"/>
                <w:color w:val="auto"/>
              </w:rPr>
            </w:pPr>
          </w:p>
        </w:tc>
      </w:tr>
      <w:tr>
        <w:trPr>
          <w:trHeight w:val="241"/>
        </w:trPr>
        <w:tc>
          <w:tcPr>
            <w:tcW w:w="1060" w:type="dxa"/>
            <w:vAlign w:val="bottom"/>
            <w:gridSpan w:val="5"/>
          </w:tcPr>
          <w:p>
            <w:pPr>
              <w:ind w:left="140"/>
              <w:spacing w:after="0"/>
              <w:rPr>
                <w:sz w:val="20"/>
                <w:szCs w:val="20"/>
                <w:color w:val="auto"/>
              </w:rPr>
            </w:pPr>
            <w:r>
              <w:rPr>
                <w:rFonts w:ascii="Arial" w:cs="Arial" w:eastAsia="Arial" w:hAnsi="Arial"/>
                <w:sz w:val="18"/>
                <w:szCs w:val="18"/>
                <w:b w:val="1"/>
                <w:bCs w:val="1"/>
                <w:color w:val="auto"/>
              </w:rPr>
              <w:t>Number</w:t>
            </w:r>
          </w:p>
        </w:tc>
        <w:tc>
          <w:tcPr>
            <w:tcW w:w="1018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42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1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Amended and Restated Certificate of Formation of South Plains Financial, Inc. (incorporated by reference to Exhibit 3.1 to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Second Amended and Restated Bylaws of South Plains Financial, Inc. (incorporated by reference to Exhibit 3.1 to the Company’s Current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The following material from South Plains Financial, Inc.’s Form 10-Q for the quarter ended September 30, 2022, formatted in XBRL</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w w:val="91"/>
              </w:rPr>
              <w:t>(eXtensible Business Reporting Language), filed herewith: (i) Consolidated Balance Sheets, (ii) Consolidated Statements of Comprehensive</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(iii) Consolidated Statements of Changes in Stockholders’ Equity, (iv) Consolidated Statements of Cash Flows, and (v) Notes to</w:t>
            </w:r>
          </w:p>
        </w:tc>
      </w:tr>
      <w:tr>
        <w:trPr>
          <w:trHeight w:val="230"/>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Unaudited Consolidated Financial Statements.</w:t>
            </w: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5620" w:val="left"/>
          <w:tab w:leader="none" w:pos="786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560" w:val="left"/>
          <w:tab w:leader="none" w:pos="5620" w:val="left"/>
          <w:tab w:leader="none" w:pos="780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September 30, 2022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86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September 30, 2022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8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 September 30, 2022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8, 2022</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Curtis C. Griffith</w:t>
            </w:r>
          </w:p>
        </w:tc>
      </w:tr>
      <w:tr>
        <w:trPr>
          <w:trHeight w:val="202"/>
        </w:trPr>
        <w:tc>
          <w:tcPr>
            <w:tcW w:w="3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 September 30, 2022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8, 2022</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59" Type="http://schemas.openxmlformats.org/officeDocument/2006/relationships/hyperlink" Target="https://www.sec.gov/Archives/edgar/data/1163668/000114036119007042/s002614x4_ex3-1.htm" TargetMode="External"/><Relationship Id="rId60" Type="http://schemas.openxmlformats.org/officeDocument/2006/relationships/hyperlink" Target="https://www.sec.gov/Archives/edgar/data/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2022-11-08T17:42:17Z</dcterms:created>
  <dcterms:modified xsi:type="dcterms:W3CDTF">2022-11-08T17:42:17Z</dcterms:modified>
</cp:coreProperties>
</file>