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4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March 31, 2019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760"/>
        <w:spacing w:after="0"/>
        <w:tabs>
          <w:tab w:leader="none" w:pos="74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165735</wp:posOffset>
            </wp:positionV>
            <wp:extent cx="728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150495</wp:posOffset>
            </wp:positionV>
            <wp:extent cx="7289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5520" w:type="dxa"/>
            <w:vAlign w:val="bottom"/>
          </w:tcPr>
          <w:p>
            <w:pPr>
              <w:jc w:val="center"/>
              <w:ind w:right="1050"/>
              <w:spacing w:after="0"/>
              <w:rPr>
                <w:sz w:val="20"/>
                <w:szCs w:val="20"/>
                <w:color w:val="auto"/>
              </w:rPr>
            </w:pPr>
            <w:r>
              <w:rPr>
                <w:rFonts w:ascii="Arial" w:cs="Arial" w:eastAsia="Arial" w:hAnsi="Arial"/>
                <w:sz w:val="18"/>
                <w:szCs w:val="18"/>
                <w:b w:val="1"/>
                <w:bCs w:val="1"/>
                <w:color w:val="auto"/>
                <w:w w:val="82"/>
              </w:rPr>
              <w:t>Texas</w:t>
            </w:r>
          </w:p>
        </w:tc>
        <w:tc>
          <w:tcPr>
            <w:tcW w:w="3780" w:type="dxa"/>
            <w:vAlign w:val="bottom"/>
          </w:tcPr>
          <w:p>
            <w:pPr>
              <w:jc w:val="right"/>
              <w:ind w:right="790"/>
              <w:spacing w:after="0"/>
              <w:rPr>
                <w:sz w:val="20"/>
                <w:szCs w:val="20"/>
                <w:color w:val="auto"/>
              </w:rPr>
            </w:pPr>
            <w:r>
              <w:rPr>
                <w:rFonts w:ascii="Arial" w:cs="Arial" w:eastAsia="Arial" w:hAnsi="Arial"/>
                <w:sz w:val="18"/>
                <w:szCs w:val="18"/>
                <w:b w:val="1"/>
                <w:bCs w:val="1"/>
                <w:color w:val="auto"/>
              </w:rPr>
              <w:t>75-2453320</w:t>
            </w:r>
          </w:p>
        </w:tc>
      </w:tr>
      <w:tr>
        <w:trPr>
          <w:trHeight w:val="230"/>
        </w:trPr>
        <w:tc>
          <w:tcPr>
            <w:tcW w:w="5520" w:type="dxa"/>
            <w:vAlign w:val="bottom"/>
          </w:tcPr>
          <w:p>
            <w:pPr>
              <w:jc w:val="center"/>
              <w:ind w:right="1090"/>
              <w:spacing w:after="0"/>
              <w:rPr>
                <w:sz w:val="20"/>
                <w:szCs w:val="20"/>
                <w:color w:val="auto"/>
              </w:rPr>
            </w:pPr>
            <w:r>
              <w:rPr>
                <w:rFonts w:ascii="Arial" w:cs="Arial" w:eastAsia="Arial" w:hAnsi="Arial"/>
                <w:sz w:val="18"/>
                <w:szCs w:val="18"/>
                <w:color w:val="auto"/>
                <w:w w:val="92"/>
              </w:rPr>
              <w:t>( State or other jurisdiction of incorporation or organization)</w:t>
            </w:r>
          </w:p>
        </w:tc>
        <w:tc>
          <w:tcPr>
            <w:tcW w:w="378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55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5219 City Bank Parkway</w:t>
            </w:r>
          </w:p>
        </w:tc>
        <w:tc>
          <w:tcPr>
            <w:tcW w:w="3780" w:type="dxa"/>
            <w:vAlign w:val="bottom"/>
          </w:tcPr>
          <w:p>
            <w:pPr>
              <w:spacing w:after="0"/>
              <w:rPr>
                <w:sz w:val="24"/>
                <w:szCs w:val="24"/>
                <w:color w:val="auto"/>
              </w:rPr>
            </w:pPr>
          </w:p>
        </w:tc>
      </w:tr>
      <w:tr>
        <w:trPr>
          <w:trHeight w:val="220"/>
        </w:trPr>
        <w:tc>
          <w:tcPr>
            <w:tcW w:w="5520" w:type="dxa"/>
            <w:vAlign w:val="bottom"/>
          </w:tcPr>
          <w:p>
            <w:pPr>
              <w:jc w:val="center"/>
              <w:ind w:right="1090"/>
              <w:spacing w:after="0"/>
              <w:rPr>
                <w:sz w:val="20"/>
                <w:szCs w:val="20"/>
                <w:color w:val="auto"/>
              </w:rPr>
            </w:pPr>
            <w:r>
              <w:rPr>
                <w:rFonts w:ascii="Arial" w:cs="Arial" w:eastAsia="Arial" w:hAnsi="Arial"/>
                <w:sz w:val="18"/>
                <w:szCs w:val="18"/>
                <w:b w:val="1"/>
                <w:bCs w:val="1"/>
                <w:color w:val="auto"/>
                <w:w w:val="94"/>
              </w:rPr>
              <w:t>Lubbock, TX</w:t>
            </w:r>
          </w:p>
        </w:tc>
        <w:tc>
          <w:tcPr>
            <w:tcW w:w="3780" w:type="dxa"/>
            <w:vAlign w:val="bottom"/>
          </w:tcPr>
          <w:p>
            <w:pPr>
              <w:jc w:val="right"/>
              <w:ind w:right="1010"/>
              <w:spacing w:after="0"/>
              <w:rPr>
                <w:sz w:val="20"/>
                <w:szCs w:val="20"/>
                <w:color w:val="auto"/>
              </w:rPr>
            </w:pPr>
            <w:r>
              <w:rPr>
                <w:rFonts w:ascii="Arial" w:cs="Arial" w:eastAsia="Arial" w:hAnsi="Arial"/>
                <w:sz w:val="18"/>
                <w:szCs w:val="18"/>
                <w:b w:val="1"/>
                <w:bCs w:val="1"/>
                <w:color w:val="auto"/>
              </w:rPr>
              <w:t>79407</w:t>
            </w:r>
          </w:p>
        </w:tc>
      </w:tr>
      <w:tr>
        <w:trPr>
          <w:trHeight w:val="230"/>
        </w:trPr>
        <w:tc>
          <w:tcPr>
            <w:tcW w:w="552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50"/>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165735</wp:posOffset>
            </wp:positionV>
            <wp:extent cx="7289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340"/>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$1.00 par value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140" w:firstLine="324"/>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ind w:right="120" w:firstLine="324"/>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ind w:right="200" w:firstLine="324"/>
        <w:spacing w:after="0" w:line="258"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0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00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6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6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ectPr>
          <w:pgSz w:w="11900" w:h="16838" w:orient="portrait"/>
          <w:cols w:equalWidth="0" w:num="1">
            <w:col w:w="11420"/>
          </w:cols>
          <w:pgMar w:left="240" w:top="535" w:right="239" w:bottom="246" w:gutter="0" w:footer="0" w:header="0"/>
        </w:sectPr>
      </w:pPr>
    </w:p>
    <w:p>
      <w:pPr>
        <w:spacing w:after="0" w:line="2" w:lineRule="exact"/>
        <w:rPr>
          <w:sz w:val="24"/>
          <w:szCs w:val="24"/>
          <w:color w:val="auto"/>
        </w:rPr>
      </w:pPr>
    </w:p>
    <w:p>
      <w:pPr>
        <w:ind w:right="180" w:firstLine="324"/>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420"/>
          </w:cols>
          <w:pgMar w:left="240" w:top="535" w:right="239" w:bottom="246" w:gutter="0" w:footer="0" w:header="0"/>
          <w:type w:val="continuous"/>
        </w:sectPr>
      </w:pPr>
    </w:p>
    <w:bookmarkStart w:id="1" w:name="page2"/>
    <w:bookmarkEnd w:id="1"/>
    <w:p>
      <w:pPr>
        <w:ind w:left="340"/>
        <w:spacing w:after="0" w:line="219" w:lineRule="exact"/>
        <w:tabs>
          <w:tab w:leader="none" w:pos="11060" w:val="left"/>
        </w:tabs>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ab/>
        <w:t>No</w:t>
      </w:r>
    </w:p>
    <w:p>
      <w:pPr>
        <w:spacing w:after="0" w:line="88" w:lineRule="exact"/>
        <w:rPr>
          <w:sz w:val="20"/>
          <w:szCs w:val="20"/>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As of June [6], 2019, the registrant had 17,978,520 shares of common stock, par value $1.00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PART I.</w:t>
            </w:r>
          </w:p>
        </w:tc>
        <w:tc>
          <w:tcPr>
            <w:tcW w:w="9940" w:type="dxa"/>
            <w:vAlign w:val="bottom"/>
            <w:tcBorders>
              <w:top w:val="single" w:sz="8" w:color="CCEEFF"/>
            </w:tcBorders>
            <w:gridSpan w:val="17"/>
            <w:shd w:val="clear" w:color="auto" w:fill="CCEEFF"/>
          </w:tcPr>
          <w:p>
            <w:pPr>
              <w:spacing w:after="0" w:line="136" w:lineRule="exact"/>
              <w:rPr>
                <w:rFonts w:ascii="Arial" w:cs="Arial" w:eastAsia="Arial" w:hAnsi="Arial"/>
                <w:sz w:val="15"/>
                <w:szCs w:val="15"/>
                <w:color w:val="0000EE"/>
              </w:rPr>
            </w:pPr>
            <w:hyperlink w:anchor="page4">
              <w:r>
                <w:rPr>
                  <w:rFonts w:ascii="Arial" w:cs="Arial" w:eastAsia="Arial" w:hAnsi="Arial"/>
                  <w:sz w:val="15"/>
                  <w:szCs w:val="15"/>
                  <w:color w:val="0000EE"/>
                </w:rPr>
                <w:t>FINANCIAL INFORMATION</w:t>
              </w:r>
            </w:hyperlink>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6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 (Unaudited)</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March 31, 2019 and December 31, 2018</w:t>
              </w:r>
            </w:hyperlink>
          </w:p>
        </w:tc>
        <w:tc>
          <w:tcPr>
            <w:tcW w:w="450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17"/>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months ended March 31, 2019 and 2018</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Changes in Stockholders’ Equity for the three months ended March 31, 2019 and 2018</w:t>
              </w:r>
            </w:hyperlink>
          </w:p>
        </w:tc>
        <w:tc>
          <w:tcPr>
            <w:tcW w:w="16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940" w:type="dxa"/>
            <w:vAlign w:val="bottom"/>
            <w:gridSpan w:val="17"/>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three months ended March 31, 2019 and 2018</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39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Notes to Unaudited Consolidated Financial Statements</w:t>
              </w:r>
            </w:hyperlink>
          </w:p>
        </w:tc>
        <w:tc>
          <w:tcPr>
            <w:tcW w:w="598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5580" w:type="dxa"/>
            <w:vAlign w:val="bottom"/>
            <w:tcBorders>
              <w:top w:val="single" w:sz="8" w:color="CCEEFF"/>
            </w:tcBorders>
            <w:gridSpan w:val="6"/>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OTHER INFORMATION</w:t>
              </w:r>
            </w:hyperlink>
          </w:p>
        </w:tc>
        <w:tc>
          <w:tcPr>
            <w:tcW w:w="8040" w:type="dxa"/>
            <w:vAlign w:val="bottom"/>
            <w:tcBorders>
              <w:bottom w:val="single" w:sz="8" w:color="CCEEFF"/>
            </w:tcBorders>
            <w:gridSpan w:val="11"/>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940" w:type="dxa"/>
            <w:vAlign w:val="bottom"/>
            <w:gridSpan w:val="1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Risk Factors</w:t>
              </w:r>
            </w:hyperlink>
          </w:p>
        </w:tc>
        <w:tc>
          <w:tcPr>
            <w:tcW w:w="9020" w:type="dxa"/>
            <w:vAlign w:val="bottom"/>
            <w:tcBorders>
              <w:bottom w:val="single" w:sz="8" w:color="CCEEFF"/>
            </w:tcBorders>
            <w:gridSpan w:val="1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940" w:type="dxa"/>
            <w:vAlign w:val="bottom"/>
            <w:gridSpan w:val="17"/>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Defaults Upon Senior Securities</w:t>
              </w:r>
            </w:hyperlink>
          </w:p>
        </w:tc>
        <w:tc>
          <w:tcPr>
            <w:tcW w:w="7600" w:type="dxa"/>
            <w:vAlign w:val="bottom"/>
            <w:tcBorders>
              <w:bottom w:val="single" w:sz="8" w:color="CCEEFF"/>
            </w:tcBorders>
            <w:gridSpan w:val="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940" w:type="dxa"/>
            <w:vAlign w:val="bottom"/>
            <w:gridSpan w:val="17"/>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Exhibits</w:t>
              </w:r>
            </w:hyperlink>
          </w:p>
        </w:tc>
        <w:tc>
          <w:tcPr>
            <w:tcW w:w="8620" w:type="dxa"/>
            <w:vAlign w:val="bottom"/>
            <w:tcBorders>
              <w:top w:val="single" w:sz="8" w:color="CCEEFF"/>
            </w:tcBorders>
            <w:gridSpan w:val="14"/>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440" w:type="dxa"/>
            <w:vAlign w:val="bottom"/>
            <w:tcBorders>
              <w:top w:val="single" w:sz="8" w:color="CCEEFF"/>
            </w:tcBorders>
            <w:gridSpan w:val="12"/>
          </w:tcPr>
          <w:p>
            <w:pPr>
              <w:ind w:left="4760"/>
              <w:spacing w:after="0"/>
              <w:rPr>
                <w:sz w:val="20"/>
                <w:szCs w:val="20"/>
                <w:color w:val="auto"/>
              </w:rPr>
            </w:pPr>
            <w:r>
              <w:rPr>
                <w:rFonts w:ascii="Arial" w:cs="Arial" w:eastAsia="Arial" w:hAnsi="Arial"/>
                <w:sz w:val="14"/>
                <w:szCs w:val="14"/>
                <w:color w:val="auto"/>
              </w:rPr>
              <w:t>2</w:t>
            </w:r>
          </w:p>
        </w:tc>
        <w:tc>
          <w:tcPr>
            <w:tcW w:w="10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 (Unaudited)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BALANCE SHEETS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Pro Forma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March 31,</w:t>
            </w: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December 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44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47,802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301,778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198,187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Securities available for sale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339,051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338,196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339,051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Loans held for investment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1,915,183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1,957,197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Accrued interest receivable</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9,962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59,572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Bank-owned life insurance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57,499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57,172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2,745,997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2,712,745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2,745,997</w:t>
            </w:r>
          </w:p>
        </w:tc>
        <w:tc>
          <w:tcPr>
            <w:tcW w:w="0" w:type="dxa"/>
            <w:vAlign w:val="bottom"/>
          </w:tcPr>
          <w:p>
            <w:pPr>
              <w:spacing w:after="0"/>
              <w:rPr>
                <w:sz w:val="1"/>
                <w:szCs w:val="1"/>
                <w:color w:val="auto"/>
              </w:rPr>
            </w:pPr>
          </w:p>
        </w:tc>
      </w:tr>
      <w:tr>
        <w:trPr>
          <w:trHeight w:val="21"/>
        </w:trPr>
        <w:tc>
          <w:tcPr>
            <w:tcW w:w="6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Noninterest-bearing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497,566</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510,067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497,566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Interest-bearing</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1,807,363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1,767,387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deposits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2,304,929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2,277,454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2,304,929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35,723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29,416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Notes payable &amp; other borrowings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Subordinated debt securities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34,002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2,527,432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2,499,970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ESOP owned shares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58,195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$1.00 par value per share, 30,000,000 shares authorized; 14,771,520 issued and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80,412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80,412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119,834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218,565</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Less ESOP owned shares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58,195</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160,370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2,745,997</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2,712,745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2,745,997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ind w:left="540"/>
              <w:spacing w:after="0"/>
              <w:rPr>
                <w:sz w:val="20"/>
                <w:szCs w:val="20"/>
                <w:color w:val="auto"/>
              </w:rPr>
            </w:pPr>
            <w:r>
              <w:rPr>
                <w:rFonts w:ascii="Arial" w:cs="Arial" w:eastAsia="Arial" w:hAnsi="Arial"/>
                <w:sz w:val="18"/>
                <w:szCs w:val="18"/>
                <w:color w:val="auto"/>
              </w:rPr>
              <w:t>Three Months Ended March 31,</w:t>
            </w: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1"/>
              </w:rPr>
              <w:t>Pro Forma</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including fees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24,109</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w:t>
            </w: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Non taxable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and interest-bearing deposits in banks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27,283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3,493</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&amp; other borrowings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Subordinated debt securities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Total interest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4,565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interest income, after provision for loan losses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gain on sales of loans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4,311</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1,437</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income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17,601</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Occupancy and equipment,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Bank card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3,206</w:t>
            </w: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5,531</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4,648</w:t>
            </w: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COMPREHENSIVE INCOME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40" w:type="dxa"/>
            <w:vAlign w:val="bottom"/>
            <w:gridSpan w:val="9"/>
          </w:tcPr>
          <w:p>
            <w:pPr>
              <w:jc w:val="right"/>
              <w:ind w:right="90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10"/>
              <w:spacing w:after="0" w:line="201" w:lineRule="exact"/>
              <w:rPr>
                <w:sz w:val="20"/>
                <w:szCs w:val="20"/>
                <w:color w:val="auto"/>
              </w:rPr>
            </w:pPr>
            <w:r>
              <w:rPr>
                <w:rFonts w:ascii="Arial" w:cs="Arial" w:eastAsia="Arial" w:hAnsi="Arial"/>
                <w:sz w:val="18"/>
                <w:szCs w:val="18"/>
                <w:color w:val="auto"/>
                <w:w w:val="91"/>
              </w:rPr>
              <w:t>Pro Forma</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0.37</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5,501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net unrealized loss on securities 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Tax effect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(611)</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7,069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2,341</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Accumulated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Less: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gridSpan w:val="5"/>
            <w:vMerge w:val="restart"/>
          </w:tcPr>
          <w:p>
            <w:pPr>
              <w:jc w:val="right"/>
              <w:ind w:right="600"/>
              <w:spacing w:after="0"/>
              <w:rPr>
                <w:sz w:val="20"/>
                <w:szCs w:val="20"/>
                <w:color w:val="auto"/>
              </w:rPr>
            </w:pPr>
            <w:r>
              <w:rPr>
                <w:rFonts w:ascii="Arial" w:cs="Arial" w:eastAsia="Arial" w:hAnsi="Arial"/>
                <w:sz w:val="18"/>
                <w:szCs w:val="18"/>
                <w:color w:val="auto"/>
              </w:rPr>
              <w:t>Common Stock</w:t>
            </w:r>
          </w:p>
        </w:tc>
        <w:tc>
          <w:tcPr>
            <w:tcW w:w="1000" w:type="dxa"/>
            <w:vAlign w:val="bottom"/>
            <w:gridSpan w:val="3"/>
          </w:tcPr>
          <w:p>
            <w:pPr>
              <w:spacing w:after="0"/>
              <w:rPr>
                <w:sz w:val="20"/>
                <w:szCs w:val="20"/>
                <w:color w:val="auto"/>
              </w:rPr>
            </w:pPr>
            <w:r>
              <w:rPr>
                <w:rFonts w:ascii="Arial" w:cs="Arial" w:eastAsia="Arial" w:hAnsi="Arial"/>
                <w:sz w:val="18"/>
                <w:szCs w:val="18"/>
                <w:color w:val="auto"/>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Other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ESOP</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w w:val="92"/>
              </w:rPr>
              <w:t>Paid-in</w:t>
            </w:r>
          </w:p>
        </w:tc>
        <w:tc>
          <w:tcPr>
            <w:tcW w:w="100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w w:val="97"/>
              </w:rPr>
              <w:t>Retained</w:t>
            </w:r>
          </w:p>
        </w:tc>
        <w:tc>
          <w:tcPr>
            <w:tcW w:w="1280" w:type="dxa"/>
            <w:vAlign w:val="bottom"/>
            <w:gridSpan w:val="3"/>
          </w:tcPr>
          <w:p>
            <w:pPr>
              <w:spacing w:after="0" w:line="203" w:lineRule="exact"/>
              <w:rPr>
                <w:sz w:val="20"/>
                <w:szCs w:val="20"/>
                <w:color w:val="auto"/>
              </w:rPr>
            </w:pPr>
            <w:r>
              <w:rPr>
                <w:rFonts w:ascii="Arial" w:cs="Arial" w:eastAsia="Arial" w:hAnsi="Arial"/>
                <w:sz w:val="18"/>
                <w:szCs w:val="18"/>
                <w:color w:val="auto"/>
                <w:w w:val="99"/>
              </w:rPr>
              <w:t>Comprehensive</w:t>
            </w:r>
          </w:p>
        </w:tc>
        <w:tc>
          <w:tcPr>
            <w:tcW w:w="60" w:type="dxa"/>
            <w:vAlign w:val="bottom"/>
          </w:tcPr>
          <w:p>
            <w:pPr>
              <w:spacing w:after="0"/>
              <w:rPr>
                <w:sz w:val="18"/>
                <w:szCs w:val="18"/>
                <w:color w:val="auto"/>
              </w:rPr>
            </w:pPr>
          </w:p>
        </w:tc>
        <w:tc>
          <w:tcPr>
            <w:tcW w:w="940" w:type="dxa"/>
            <w:vAlign w:val="bottom"/>
            <w:gridSpan w:val="3"/>
          </w:tcPr>
          <w:p>
            <w:pPr>
              <w:jc w:val="right"/>
              <w:ind w:right="220"/>
              <w:spacing w:after="0" w:line="203" w:lineRule="exact"/>
              <w:rPr>
                <w:sz w:val="20"/>
                <w:szCs w:val="20"/>
                <w:color w:val="auto"/>
              </w:rPr>
            </w:pPr>
            <w:r>
              <w:rPr>
                <w:rFonts w:ascii="Arial" w:cs="Arial" w:eastAsia="Arial" w:hAnsi="Arial"/>
                <w:sz w:val="18"/>
                <w:szCs w:val="18"/>
                <w:color w:val="auto"/>
                <w:w w:val="98"/>
              </w:rPr>
              <w:t>Treasury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60"/>
              <w:spacing w:after="0" w:line="203" w:lineRule="exact"/>
              <w:rPr>
                <w:sz w:val="20"/>
                <w:szCs w:val="20"/>
                <w:color w:val="auto"/>
              </w:rPr>
            </w:pPr>
            <w:r>
              <w:rPr>
                <w:rFonts w:ascii="Arial" w:cs="Arial" w:eastAsia="Arial" w:hAnsi="Arial"/>
                <w:sz w:val="18"/>
                <w:szCs w:val="18"/>
                <w:color w:val="auto"/>
                <w:w w:val="91"/>
              </w:rPr>
              <w:t>Owned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Capital</w:t>
            </w: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Earnings</w:t>
            </w:r>
          </w:p>
        </w:tc>
        <w:tc>
          <w:tcPr>
            <w:tcW w:w="22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Stock</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Shares</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15,153,510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120,589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Common - $0.15 per share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(2,215)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w w:val="95"/>
              </w:rPr>
              <w:t>Other comprehensive (loss), (net of 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(3,160)</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15,153,510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123,875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158,332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14,771,520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80,412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119,834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(58,195)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(net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line="201" w:lineRule="exact"/>
              <w:rPr>
                <w:sz w:val="20"/>
                <w:szCs w:val="20"/>
                <w:color w:val="auto"/>
              </w:rPr>
            </w:pPr>
            <w:r>
              <w:rPr>
                <w:rFonts w:ascii="Arial" w:cs="Arial" w:eastAsia="Arial" w:hAnsi="Arial"/>
                <w:sz w:val="18"/>
                <w:szCs w:val="18"/>
                <w:color w:val="auto"/>
              </w:rPr>
              <w:t>Cumulative change in accounting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principle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(1,279)</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Balance at March 31, 2019</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14,771,520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14,772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80,412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123,328</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(58,195)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160,370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4440" w:type="dxa"/>
            <w:vAlign w:val="bottom"/>
            <w:gridSpan w:val="8"/>
          </w:tcPr>
          <w:p>
            <w:pPr>
              <w:ind w:left="1500"/>
              <w:spacing w:after="0"/>
              <w:rPr>
                <w:sz w:val="20"/>
                <w:szCs w:val="20"/>
                <w:color w:val="auto"/>
              </w:rPr>
            </w:pPr>
            <w:r>
              <w:rPr>
                <w:rFonts w:ascii="Arial" w:cs="Arial" w:eastAsia="Arial" w:hAnsi="Arial"/>
                <w:sz w:val="18"/>
                <w:szCs w:val="18"/>
                <w:color w:val="auto"/>
                <w:w w:val="92"/>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78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for loan losses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Accretion and amortization</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Other gains, net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gain on sales of loans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Proceeds from sales of loans held for sale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Loans originated for sale</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Earnings on bank-owned life insurance</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Accrued interest receivable and other assets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jc w:val="center"/>
              <w:ind w:right="3170"/>
              <w:spacing w:after="0"/>
              <w:rPr>
                <w:sz w:val="20"/>
                <w:szCs w:val="20"/>
                <w:color w:val="auto"/>
              </w:rPr>
            </w:pPr>
            <w:r>
              <w:rPr>
                <w:rFonts w:ascii="Arial" w:cs="Arial" w:eastAsia="Arial" w:hAnsi="Arial"/>
                <w:sz w:val="18"/>
                <w:szCs w:val="18"/>
                <w:color w:val="auto"/>
                <w:w w:val="90"/>
              </w:rPr>
              <w:t>Accrued expenses and other liabilities</w:t>
            </w: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jc w:val="center"/>
              <w:ind w:right="3150"/>
              <w:spacing w:after="0"/>
              <w:rPr>
                <w:sz w:val="20"/>
                <w:szCs w:val="20"/>
                <w:color w:val="auto"/>
              </w:rPr>
            </w:pPr>
            <w:r>
              <w:rPr>
                <w:rFonts w:ascii="Arial" w:cs="Arial" w:eastAsia="Arial" w:hAnsi="Arial"/>
                <w:sz w:val="18"/>
                <w:szCs w:val="18"/>
                <w:color w:val="auto"/>
                <w:w w:val="91"/>
              </w:rPr>
              <w:t>Net cash from operating activities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Activity in securities available for sale:</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20"/>
              <w:spacing w:after="0"/>
              <w:rPr>
                <w:sz w:val="20"/>
                <w:szCs w:val="20"/>
                <w:color w:val="auto"/>
              </w:rPr>
            </w:pPr>
            <w:r>
              <w:rPr>
                <w:rFonts w:ascii="Arial" w:cs="Arial" w:eastAsia="Arial" w:hAnsi="Arial"/>
                <w:sz w:val="18"/>
                <w:szCs w:val="18"/>
                <w:color w:val="auto"/>
              </w:rPr>
              <w:t>Purchases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Maturities, prepayments, and calls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Activity in securities held to maturity:</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Maturities, prepayments, and calls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Loan originations and principal collections, net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premises and equipment, net</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sales of foreclosed assets</w:t>
            </w: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jc w:val="center"/>
              <w:ind w:right="3170"/>
              <w:spacing w:after="0"/>
              <w:rPr>
                <w:sz w:val="20"/>
                <w:szCs w:val="20"/>
                <w:color w:val="auto"/>
              </w:rPr>
            </w:pPr>
            <w:r>
              <w:rPr>
                <w:rFonts w:ascii="Arial" w:cs="Arial" w:eastAsia="Arial" w:hAnsi="Arial"/>
                <w:sz w:val="18"/>
                <w:szCs w:val="18"/>
                <w:color w:val="auto"/>
                <w:w w:val="92"/>
              </w:rPr>
              <w:t>Net cash from investing activities</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42,937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deposits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change in short-term borrowings</w:t>
            </w: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made on notes payable and other borrowings</w:t>
            </w:r>
          </w:p>
        </w:tc>
        <w:tc>
          <w:tcPr>
            <w:tcW w:w="1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bottom w:val="single" w:sz="8" w:color="CCEEFF"/>
            </w:tcBorders>
            <w:shd w:val="clear" w:color="auto" w:fill="CCEEFF"/>
          </w:tcPr>
          <w:p>
            <w:pPr>
              <w:jc w:val="center"/>
              <w:ind w:right="3150"/>
              <w:spacing w:after="0"/>
              <w:rPr>
                <w:sz w:val="20"/>
                <w:szCs w:val="20"/>
                <w:color w:val="auto"/>
              </w:rPr>
            </w:pPr>
            <w:r>
              <w:rPr>
                <w:rFonts w:ascii="Arial" w:cs="Arial" w:eastAsia="Arial" w:hAnsi="Arial"/>
                <w:sz w:val="18"/>
                <w:szCs w:val="18"/>
                <w:color w:val="auto"/>
                <w:w w:val="92"/>
              </w:rPr>
              <w:t>Net cash from financing activities</w:t>
            </w:r>
          </w:p>
        </w:tc>
        <w:tc>
          <w:tcPr>
            <w:tcW w:w="15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21,155</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 (CONTINUED)</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4700" w:type="dxa"/>
            <w:vAlign w:val="bottom"/>
            <w:gridSpan w:val="7"/>
          </w:tcPr>
          <w:p>
            <w:pPr>
              <w:ind w:left="1760"/>
              <w:spacing w:after="0"/>
              <w:rPr>
                <w:sz w:val="20"/>
                <w:szCs w:val="20"/>
                <w:color w:val="auto"/>
              </w:rPr>
            </w:pPr>
            <w:r>
              <w:rPr>
                <w:rFonts w:ascii="Arial" w:cs="Arial" w:eastAsia="Arial" w:hAnsi="Arial"/>
                <w:sz w:val="18"/>
                <w:szCs w:val="18"/>
                <w:color w:val="auto"/>
                <w:w w:val="92"/>
              </w:rPr>
              <w:t>For the 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0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93,421</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245,989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294,563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7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339,410</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353,481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Interest paid on deposits and borrowed funds</w:t>
            </w:r>
          </w:p>
        </w:tc>
        <w:tc>
          <w:tcPr>
            <w:tcW w:w="20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7,140</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transferred to foreclosed assets</w:t>
            </w:r>
          </w:p>
        </w:tc>
        <w:tc>
          <w:tcPr>
            <w:tcW w:w="204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49" w:lineRule="exact"/>
        <w:rPr>
          <w:sz w:val="20"/>
          <w:szCs w:val="20"/>
          <w:color w:val="auto"/>
        </w:rPr>
      </w:pPr>
    </w:p>
    <w:p>
      <w:pPr>
        <w:jc w:val="both"/>
        <w:ind w:left="500"/>
        <w:spacing w:after="0" w:line="297" w:lineRule="auto"/>
        <w:rPr>
          <w:sz w:val="20"/>
          <w:szCs w:val="20"/>
          <w:color w:val="auto"/>
        </w:rPr>
      </w:pPr>
      <w:r>
        <w:rPr>
          <w:rFonts w:ascii="Arial" w:cs="Arial" w:eastAsia="Arial" w:hAnsi="Arial"/>
          <w:sz w:val="19"/>
          <w:szCs w:val="19"/>
          <w:i w:val="1"/>
          <w:iCs w:val="1"/>
          <w:u w:val="single" w:color="auto"/>
          <w:color w:val="auto"/>
        </w:rPr>
        <w:t>Nature of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 South Plains Financial, Inc. (“SPFI”) is a Texas bank holding company that conducts its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activities through its subsidiaries from offices located throughout Texas and Eastern New Mexico. Principal activities include commercial and retail banking, along with insurance, investment, trust, and mortgage services. Subsidiaries of SPFI follow:</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Wholly Owned, Consolidated Subsidiaries:</w:t>
            </w:r>
          </w:p>
        </w:tc>
        <w:tc>
          <w:tcPr>
            <w:tcW w:w="52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City Bank</w:t>
            </w:r>
          </w:p>
        </w:tc>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Bank subsidiary</w:t>
            </w: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Windmark Insurance Agency, Inc.</w:t>
            </w:r>
          </w:p>
        </w:tc>
        <w:tc>
          <w:tcPr>
            <w:tcW w:w="5280" w:type="dxa"/>
            <w:vAlign w:val="bottom"/>
          </w:tcPr>
          <w:p>
            <w:pPr>
              <w:ind w:left="480"/>
              <w:spacing w:after="0"/>
              <w:rPr>
                <w:sz w:val="20"/>
                <w:szCs w:val="20"/>
                <w:color w:val="auto"/>
              </w:rPr>
            </w:pPr>
            <w:r>
              <w:rPr>
                <w:rFonts w:ascii="Arial" w:cs="Arial" w:eastAsia="Arial" w:hAnsi="Arial"/>
                <w:sz w:val="18"/>
                <w:szCs w:val="18"/>
                <w:color w:val="auto"/>
              </w:rPr>
              <w:t>Non-bank subsidiary</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Ruidoso Retail, Inc.</w:t>
            </w:r>
          </w:p>
        </w:tc>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Non-bank subsidiary</w:t>
            </w: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CB Provence, LLC</w:t>
            </w:r>
          </w:p>
        </w:tc>
        <w:tc>
          <w:tcPr>
            <w:tcW w:w="5280" w:type="dxa"/>
            <w:vAlign w:val="bottom"/>
          </w:tcPr>
          <w:p>
            <w:pPr>
              <w:ind w:left="480"/>
              <w:spacing w:after="0"/>
              <w:rPr>
                <w:sz w:val="20"/>
                <w:szCs w:val="20"/>
                <w:color w:val="auto"/>
              </w:rPr>
            </w:pPr>
            <w:r>
              <w:rPr>
                <w:rFonts w:ascii="Arial" w:cs="Arial" w:eastAsia="Arial" w:hAnsi="Arial"/>
                <w:sz w:val="18"/>
                <w:szCs w:val="18"/>
                <w:color w:val="auto"/>
              </w:rPr>
              <w:t>Non-bank subsidiary</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CBT Brushy Creek, LLC</w:t>
            </w:r>
          </w:p>
        </w:tc>
        <w:tc>
          <w:tcPr>
            <w:tcW w:w="5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Non-bank subsidiary</w:t>
            </w:r>
          </w:p>
        </w:tc>
      </w:tr>
      <w:tr>
        <w:trPr>
          <w:trHeight w:val="216"/>
        </w:trPr>
        <w:tc>
          <w:tcPr>
            <w:tcW w:w="2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CBT Properties, LLC</w:t>
            </w:r>
          </w:p>
        </w:tc>
        <w:tc>
          <w:tcPr>
            <w:tcW w:w="5280" w:type="dxa"/>
            <w:vAlign w:val="bottom"/>
          </w:tcPr>
          <w:p>
            <w:pPr>
              <w:ind w:left="480"/>
              <w:spacing w:after="0"/>
              <w:rPr>
                <w:sz w:val="20"/>
                <w:szCs w:val="20"/>
                <w:color w:val="auto"/>
              </w:rPr>
            </w:pPr>
            <w:r>
              <w:rPr>
                <w:rFonts w:ascii="Arial" w:cs="Arial" w:eastAsia="Arial" w:hAnsi="Arial"/>
                <w:sz w:val="18"/>
                <w:szCs w:val="18"/>
                <w:color w:val="auto"/>
              </w:rPr>
              <w:t>Non-bank subsidiary</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52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40"/>
              <w:spacing w:after="0"/>
              <w:rPr>
                <w:sz w:val="20"/>
                <w:szCs w:val="20"/>
                <w:color w:val="auto"/>
              </w:rPr>
            </w:pPr>
            <w:r>
              <w:rPr>
                <w:rFonts w:ascii="Arial" w:cs="Arial" w:eastAsia="Arial" w:hAnsi="Arial"/>
                <w:sz w:val="18"/>
                <w:szCs w:val="18"/>
                <w:color w:val="auto"/>
              </w:rPr>
              <w:t>South Plains Financial Capital Trusts (SPFCT) III-V</w:t>
            </w:r>
          </w:p>
        </w:tc>
        <w:tc>
          <w:tcPr>
            <w:tcW w:w="5280" w:type="dxa"/>
            <w:vAlign w:val="bottom"/>
          </w:tcPr>
          <w:p>
            <w:pPr>
              <w:ind w:left="48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ind w:left="500"/>
        <w:spacing w:after="0" w:line="297" w:lineRule="auto"/>
        <w:rPr>
          <w:sz w:val="20"/>
          <w:szCs w:val="20"/>
          <w:color w:val="auto"/>
        </w:rPr>
      </w:pPr>
      <w:r>
        <w:rPr>
          <w:rFonts w:ascii="Arial" w:cs="Arial" w:eastAsia="Arial" w:hAnsi="Arial"/>
          <w:sz w:val="19"/>
          <w:szCs w:val="19"/>
          <w:i w:val="1"/>
          <w:iCs w:val="1"/>
          <w:u w:val="single" w:color="auto"/>
          <w:color w:val="auto"/>
        </w:rPr>
        <w:t>Basis of Presentation and Consolidation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consolidated financial statements in this Quarterly Report on Form 10-Q</w:t>
      </w:r>
      <w:r>
        <w:rPr>
          <w:rFonts w:ascii="Arial" w:cs="Arial" w:eastAsia="Arial" w:hAnsi="Arial"/>
          <w:sz w:val="19"/>
          <w:szCs w:val="19"/>
          <w:i w:val="1"/>
          <w:iCs w:val="1"/>
          <w:color w:val="auto"/>
        </w:rPr>
        <w:t xml:space="preserve"> </w:t>
      </w:r>
      <w:r>
        <w:rPr>
          <w:rFonts w:ascii="Arial" w:cs="Arial" w:eastAsia="Arial" w:hAnsi="Arial"/>
          <w:sz w:val="19"/>
          <w:szCs w:val="19"/>
          <w:color w:val="auto"/>
        </w:rPr>
        <w:t>(“Report”) include the accounts of SPFI and its wholly owned consolidated subsidiaries (collectively referred to as the “Company”) identified above. All significant intercompany balances and transactions have been eliminated in consolidation.</w:t>
      </w:r>
    </w:p>
    <w:p>
      <w:pPr>
        <w:spacing w:after="0" w:line="161"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color w:val="auto"/>
        </w:rPr>
        <w:t>The interim consolidated financial statements in this Report have not been audited by an independent registered public accounting firm, but in the opinion of management, reflect all adjustments necessary for a fair presentation of the Company’s financial position and results of operations. All such adjustments were of a normal and recurring nature. The consolidated financial statements have been prepared in accordance with accounting principles generally accepted in the United States of America (“GAAP”) for interim financial information and with the instructions to Form 10-Q adopted by the Securities and Exchange Commission (“SEC”). Accordingly, the financial statements do not include all of the information and footnotes required by GAAP for complete financial statements and should be read in conjunction with the Company’s consolidated financial statements, and notes thereto, for the year ended December 31, 2018 in our prospectus filed with the SEC pursuant to Rule 424(b) of the Securities Act of 1933, as amended, on May 9, 2019. Operating results for the interim periods disclosed herein are not necessarily indicative of the results that may be expected for a full year or any future period.</w:t>
      </w:r>
    </w:p>
    <w:p>
      <w:pPr>
        <w:spacing w:after="0" w:line="189" w:lineRule="exact"/>
        <w:rPr>
          <w:sz w:val="20"/>
          <w:szCs w:val="20"/>
          <w:color w:val="auto"/>
        </w:rPr>
      </w:pPr>
    </w:p>
    <w:p>
      <w:pPr>
        <w:jc w:val="both"/>
        <w:ind w:left="500"/>
        <w:spacing w:after="0" w:line="279" w:lineRule="auto"/>
        <w:rPr>
          <w:sz w:val="20"/>
          <w:szCs w:val="20"/>
          <w:color w:val="auto"/>
        </w:rPr>
      </w:pPr>
      <w:r>
        <w:rPr>
          <w:rFonts w:ascii="Arial" w:cs="Arial" w:eastAsia="Arial" w:hAnsi="Arial"/>
          <w:sz w:val="19"/>
          <w:szCs w:val="19"/>
          <w:i w:val="1"/>
          <w:iCs w:val="1"/>
          <w:u w:val="single" w:color="auto"/>
          <w:color w:val="auto"/>
        </w:rPr>
        <w:t>Use of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 The preparation of financial statements in conformity with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and fair values of financial instruments can also involve significant management estimates.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Change in Capital Structure</w:t>
      </w:r>
    </w:p>
    <w:p>
      <w:pPr>
        <w:spacing w:after="0" w:line="8"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color w:val="auto"/>
        </w:rPr>
        <w:t>On March 11, 2019, the Company amended and restated its Certificate of Formation. The original Certificate of Formation was amended to change the capital structure to authorize the issuance of 30,000,000 shares of common stock, par value $1.00 per share.</w:t>
      </w:r>
    </w:p>
    <w:p>
      <w:pPr>
        <w:spacing w:after="0" w:line="214" w:lineRule="exact"/>
        <w:rPr>
          <w:sz w:val="20"/>
          <w:szCs w:val="20"/>
          <w:color w:val="auto"/>
        </w:rPr>
      </w:pPr>
    </w:p>
    <w:p>
      <w:pPr>
        <w:jc w:val="both"/>
        <w:ind w:left="500"/>
        <w:spacing w:after="0" w:line="287" w:lineRule="auto"/>
        <w:rPr>
          <w:sz w:val="20"/>
          <w:szCs w:val="20"/>
          <w:color w:val="auto"/>
        </w:rPr>
      </w:pPr>
      <w:r>
        <w:rPr>
          <w:rFonts w:ascii="Arial" w:cs="Arial" w:eastAsia="Arial" w:hAnsi="Arial"/>
          <w:sz w:val="19"/>
          <w:szCs w:val="19"/>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consolidated financial statements have been retroactively adjusted to reflect this stock split for all periods presented.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i w:val="1"/>
          <w:iCs w:val="1"/>
          <w:u w:val="single" w:color="auto"/>
          <w:color w:val="auto"/>
        </w:rPr>
        <w:t>Pro Forma Information</w:t>
      </w:r>
      <w:r>
        <w:rPr>
          <w:rFonts w:ascii="Arial" w:cs="Arial" w:eastAsia="Arial" w:hAnsi="Arial"/>
          <w:sz w:val="22"/>
          <w:szCs w:val="22"/>
          <w:i w:val="1"/>
          <w:iCs w:val="1"/>
          <w:color w:val="auto"/>
        </w:rPr>
        <w:t xml:space="preserve"> </w:t>
      </w:r>
      <w:r>
        <w:rPr>
          <w:rFonts w:ascii="Arial" w:cs="Arial" w:eastAsia="Arial" w:hAnsi="Arial"/>
          <w:sz w:val="22"/>
          <w:szCs w:val="22"/>
          <w:color w:val="auto"/>
        </w:rPr>
        <w:t>– As a result of the revocation of the S corporation election effective May 31, 2018, the net income</w:t>
      </w:r>
      <w:r>
        <w:rPr>
          <w:rFonts w:ascii="Arial" w:cs="Arial" w:eastAsia="Arial" w:hAnsi="Arial"/>
          <w:sz w:val="22"/>
          <w:szCs w:val="22"/>
          <w:i w:val="1"/>
          <w:iCs w:val="1"/>
          <w:color w:val="auto"/>
        </w:rPr>
        <w:t xml:space="preserve"> </w:t>
      </w:r>
      <w:r>
        <w:rPr>
          <w:rFonts w:ascii="Arial" w:cs="Arial" w:eastAsia="Arial" w:hAnsi="Arial"/>
          <w:sz w:val="22"/>
          <w:szCs w:val="22"/>
          <w:color w:val="auto"/>
        </w:rPr>
        <w:t>and earnings per share data prior to that date are not comparable with subsequent periods, which include federal income tax expense. As a result, the consolidated statements of comprehensive income in this Report includes a pro forma column for the period ended March 31, 2018, as if the conversion to a C corporation had occurred effective January 1, 2018. The federal tax rate used is 21%.</w:t>
      </w:r>
    </w:p>
    <w:p>
      <w:pPr>
        <w:spacing w:after="0" w:line="215"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color w:val="auto"/>
        </w:rPr>
        <w:t>In accordance with applicable provisions of the Internal Revenue Code, the terms of our employee stock ownership plan (“ESOP”), provided that, for so long as we were a privately held company, ESOP participants would have the right, for a specified period of time, to require us to repurchase shares of our common stock that are distributed to them by the ESOP. This repurchase obligation terminated upon the consummation of our initial public offering and listing of our common stock on the NASDAQ Global Select Market in May 2019. However, because we were privately held during the periods covered by the Report, the shares of common stock held by the ESOP are reflected in our consolidated balance sheets as a line item called ESOP-owned shares, appearing between total liabilities and stockholders’ equity. As a result, the value of ESOP-owned shares are deducted from stockholders’ equity in our consolidated balance sheet for the periods included in this Report. The consolidated balance sheet in this Report includes a pro forma column, which assumes that the ESOP repurchase obligation has terminated as of the date presented in the Report. For all periods following our initial public offering and continued listing of our common stock on the NASDAQ Global Select Market, the ESOP-owned shares will be included in, and not be deducted from, stockholders’ equity.</w:t>
      </w:r>
    </w:p>
    <w:p>
      <w:pPr>
        <w:spacing w:after="0" w:line="200" w:lineRule="exact"/>
        <w:rPr>
          <w:sz w:val="20"/>
          <w:szCs w:val="20"/>
          <w:color w:val="auto"/>
        </w:rPr>
      </w:pPr>
    </w:p>
    <w:p>
      <w:pPr>
        <w:spacing w:after="0" w:line="236" w:lineRule="exact"/>
        <w:rPr>
          <w:sz w:val="20"/>
          <w:szCs w:val="20"/>
          <w:color w:val="auto"/>
        </w:rPr>
      </w:pPr>
    </w:p>
    <w:p>
      <w:pPr>
        <w:jc w:val="both"/>
        <w:ind w:left="500"/>
        <w:spacing w:after="0" w:line="244" w:lineRule="auto"/>
        <w:rPr>
          <w:sz w:val="20"/>
          <w:szCs w:val="20"/>
          <w:color w:val="auto"/>
        </w:rPr>
      </w:pPr>
      <w:r>
        <w:rPr>
          <w:rFonts w:ascii="Arial" w:cs="Arial" w:eastAsia="Arial" w:hAnsi="Arial"/>
          <w:sz w:val="21"/>
          <w:szCs w:val="21"/>
          <w:i w:val="1"/>
          <w:iCs w:val="1"/>
          <w:u w:val="single" w:color="auto"/>
          <w:color w:val="auto"/>
        </w:rPr>
        <w:t>Change in Accounting Principle</w:t>
      </w:r>
      <w:r>
        <w:rPr>
          <w:rFonts w:ascii="Arial" w:cs="Arial" w:eastAsia="Arial" w:hAnsi="Arial"/>
          <w:sz w:val="21"/>
          <w:szCs w:val="21"/>
          <w:i w:val="1"/>
          <w:iCs w:val="1"/>
          <w:color w:val="auto"/>
        </w:rPr>
        <w:t xml:space="preserve"> </w:t>
      </w:r>
      <w:r>
        <w:rPr>
          <w:rFonts w:ascii="Arial" w:cs="Arial" w:eastAsia="Arial" w:hAnsi="Arial"/>
          <w:sz w:val="21"/>
          <w:szCs w:val="21"/>
          <w:color w:val="auto"/>
        </w:rPr>
        <w:t>– Prior to January 1, 2019, the Company accounted for its cash-settled stock appreciation</w:t>
      </w:r>
      <w:r>
        <w:rPr>
          <w:rFonts w:ascii="Arial" w:cs="Arial" w:eastAsia="Arial" w:hAnsi="Arial"/>
          <w:sz w:val="21"/>
          <w:szCs w:val="21"/>
          <w:i w:val="1"/>
          <w:iCs w:val="1"/>
          <w:color w:val="auto"/>
        </w:rPr>
        <w:t xml:space="preserve"> </w:t>
      </w:r>
      <w:r>
        <w:rPr>
          <w:rFonts w:ascii="Arial" w:cs="Arial" w:eastAsia="Arial" w:hAnsi="Arial"/>
          <w:sz w:val="21"/>
          <w:szCs w:val="21"/>
          <w:color w:val="auto"/>
        </w:rPr>
        <w:t>rights (“SARs”) using the intrinsic value method, as permitted by ASC 718. As a result of the Company filing its prospectus with the SEC, the Company is now required to use the fair value method for these SARs. The Company’s calculation of the fair value of the SARs, as of January 1, 2019, exceeded the recorded intrinsic value by $1.6 million. ASC 250 states that an “entity shall report a change in accounting principle through retrospective application of the new accounting principle to all prior periods, unless it is impracticable to do so”. Retrospective application of the effects of a change from the intrinsic value to fair value would be impracticable due to the need to objectively determine assumptions that would be used in prior periods without using current information. Additionally, SAB Topic 14.B states that entities changing from nonpublic to public status are not permitted to apply the fair-value-based method retrospectively. Therefore, the Company recorded a cumulative-effect adjustment to retained earnings for $1.3 million ($1.6 million net of $340,000 in tax) effective January 1, 2019 and applied this change prospectively.</w:t>
      </w:r>
    </w:p>
    <w:p>
      <w:pPr>
        <w:spacing w:after="0" w:line="217"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i w:val="1"/>
          <w:iCs w:val="1"/>
          <w:u w:val="single" w:color="auto"/>
          <w:color w:val="auto"/>
        </w:rPr>
        <w:t>Stock-based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sponsors an equity incentive plan under which options to acquire shares of</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common stock may be granted periodically to all full-time employees and directors of the Company or its affiliates at a specific exercise price to acquire shares of the Company’s common stock. Shares are issued out of authorized unissued common shares. Compensation cost is measured based on the estimated fair value of the award at the grant date and is recognized in earnings on a straight-line basis over the requisite service period. The fair value 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189" w:lineRule="exact"/>
        <w:rPr>
          <w:sz w:val="20"/>
          <w:szCs w:val="20"/>
          <w:color w:val="auto"/>
        </w:rPr>
      </w:pPr>
    </w:p>
    <w:p>
      <w:pPr>
        <w:jc w:val="both"/>
        <w:ind w:left="500"/>
        <w:spacing w:after="0"/>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w:t>
      </w:r>
      <w:r>
        <w:rPr>
          <w:rFonts w:ascii="Arial" w:cs="Arial" w:eastAsia="Arial" w:hAnsi="Arial"/>
          <w:sz w:val="22"/>
          <w:szCs w:val="22"/>
          <w:i w:val="1"/>
          <w:iCs w:val="1"/>
          <w:color w:val="auto"/>
        </w:rPr>
        <w:t xml:space="preserve"> Financial Accounting Standards Board (“FASB”) Accounting Standards Codification (“ASC”) </w:t>
      </w:r>
      <w:r>
        <w:rPr>
          <w:rFonts w:ascii="Arial" w:cs="Arial" w:eastAsia="Arial" w:hAnsi="Arial"/>
          <w:sz w:val="22"/>
          <w:szCs w:val="22"/>
          <w:color w:val="auto"/>
        </w:rPr>
        <w:t>constitutes U.S. GAAP for nongovernmental entities. Updates to ASC are prescribed in Accounting Standards</w:t>
      </w:r>
      <w:r>
        <w:rPr>
          <w:rFonts w:ascii="Arial" w:cs="Arial" w:eastAsia="Arial" w:hAnsi="Arial"/>
          <w:sz w:val="22"/>
          <w:szCs w:val="22"/>
          <w:i w:val="1"/>
          <w:iCs w:val="1"/>
          <w:color w:val="auto"/>
        </w:rPr>
        <w:t xml:space="preserve"> </w:t>
      </w:r>
      <w:r>
        <w:rPr>
          <w:rFonts w:ascii="Arial" w:cs="Arial" w:eastAsia="Arial" w:hAnsi="Arial"/>
          <w:sz w:val="22"/>
          <w:szCs w:val="22"/>
          <w:color w:val="auto"/>
        </w:rPr>
        <w:t>Updates (“ASU”), which are not authoritative until incorporated into ASC.</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34" w:lineRule="auto"/>
        <w:rPr>
          <w:sz w:val="20"/>
          <w:szCs w:val="20"/>
          <w:color w:val="auto"/>
        </w:rPr>
      </w:pPr>
      <w:r>
        <w:rPr>
          <w:rFonts w:ascii="Arial" w:cs="Arial" w:eastAsia="Arial" w:hAnsi="Arial"/>
          <w:sz w:val="22"/>
          <w:szCs w:val="22"/>
          <w:i w:val="1"/>
          <w:iCs w:val="1"/>
          <w:color w:val="auto"/>
        </w:rPr>
        <w:t>ASU 2016-01 Financial Instruments - Overall (Subtopic 825-10): Recognition and Measurement of Financial Assets and Financial Liabilities</w:t>
      </w:r>
      <w:r>
        <w:rPr>
          <w:rFonts w:ascii="Arial" w:cs="Arial" w:eastAsia="Arial" w:hAnsi="Arial"/>
          <w:sz w:val="22"/>
          <w:szCs w:val="22"/>
          <w:color w:val="auto"/>
        </w:rPr>
        <w:t>. ASU 2016-01, among other things, eliminates the requirement to disclose the fair value of financial</w:t>
      </w:r>
      <w:r>
        <w:rPr>
          <w:rFonts w:ascii="Arial" w:cs="Arial" w:eastAsia="Arial" w:hAnsi="Arial"/>
          <w:sz w:val="22"/>
          <w:szCs w:val="22"/>
          <w:i w:val="1"/>
          <w:iCs w:val="1"/>
          <w:color w:val="auto"/>
        </w:rPr>
        <w:t xml:space="preserve"> </w:t>
      </w:r>
      <w:r>
        <w:rPr>
          <w:rFonts w:ascii="Arial" w:cs="Arial" w:eastAsia="Arial" w:hAnsi="Arial"/>
          <w:sz w:val="22"/>
          <w:szCs w:val="22"/>
          <w:color w:val="auto"/>
        </w:rPr>
        <w:t>instruments at amortized cost for entities that are not public business entities. We originally adopted the new standard effective January 1, 2018, the effective date of the guidance. Accordingly, the Company’s fair value of financial instruments at amortized cost were not disclosed in our consolidated financial statements for 2018. However, based on the Company becoming a public company, these disclosures are now required and have been included in our consolidated financial statements.</w:t>
      </w:r>
    </w:p>
    <w:p>
      <w:pPr>
        <w:spacing w:after="0" w:line="218" w:lineRule="exact"/>
        <w:rPr>
          <w:sz w:val="20"/>
          <w:szCs w:val="20"/>
          <w:color w:val="auto"/>
        </w:rPr>
      </w:pPr>
    </w:p>
    <w:p>
      <w:pPr>
        <w:jc w:val="both"/>
        <w:ind w:left="500"/>
        <w:spacing w:after="0" w:line="246" w:lineRule="auto"/>
        <w:rPr>
          <w:sz w:val="20"/>
          <w:szCs w:val="20"/>
          <w:color w:val="auto"/>
        </w:rPr>
      </w:pPr>
      <w:r>
        <w:rPr>
          <w:rFonts w:ascii="Arial" w:cs="Arial" w:eastAsia="Arial" w:hAnsi="Arial"/>
          <w:sz w:val="21"/>
          <w:szCs w:val="21"/>
          <w:i w:val="1"/>
          <w:iCs w:val="1"/>
          <w:color w:val="auto"/>
        </w:rPr>
        <w:t xml:space="preserve">ASU 2016-13 Financial Instruments - Credit Losses (Topic 326). </w:t>
      </w:r>
      <w:r>
        <w:rPr>
          <w:rFonts w:ascii="Arial" w:cs="Arial" w:eastAsia="Arial" w:hAnsi="Arial"/>
          <w:sz w:val="21"/>
          <w:szCs w:val="21"/>
          <w:color w:val="auto"/>
        </w:rPr>
        <w:t>The FASB issued guidance to replace the incurred loss</w:t>
      </w:r>
      <w:r>
        <w:rPr>
          <w:rFonts w:ascii="Arial" w:cs="Arial" w:eastAsia="Arial" w:hAnsi="Arial"/>
          <w:sz w:val="21"/>
          <w:szCs w:val="21"/>
          <w:i w:val="1"/>
          <w:iCs w:val="1"/>
          <w:color w:val="auto"/>
        </w:rPr>
        <w:t xml:space="preserve"> </w:t>
      </w:r>
      <w:r>
        <w:rPr>
          <w:rFonts w:ascii="Arial" w:cs="Arial" w:eastAsia="Arial" w:hAnsi="Arial"/>
          <w:sz w:val="21"/>
          <w:szCs w:val="21"/>
          <w:color w:val="auto"/>
        </w:rPr>
        <w:t>model 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2021,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21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amortized cost and fair value of securities, with gross unrealized gains and losses, at period-end follow: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1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10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March 31, 2019</w:t>
            </w:r>
          </w:p>
        </w:tc>
        <w:tc>
          <w:tcPr>
            <w:tcW w:w="290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Available for sale: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85,201</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State and municipal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32,521</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(992)</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182,784</w:t>
            </w:r>
          </w:p>
        </w:tc>
        <w:tc>
          <w:tcPr>
            <w:tcW w:w="110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38,545</w:t>
            </w:r>
          </w:p>
        </w:tc>
        <w:tc>
          <w:tcPr>
            <w:tcW w:w="110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338,984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(1,650)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339,051</w:t>
            </w:r>
          </w:p>
        </w:tc>
        <w:tc>
          <w:tcPr>
            <w:tcW w:w="1100" w:type="dxa"/>
            <w:vAlign w:val="bottom"/>
          </w:tcPr>
          <w:p>
            <w:pPr>
              <w:spacing w:after="0"/>
              <w:rPr>
                <w:sz w:val="18"/>
                <w:szCs w:val="18"/>
                <w:color w:val="auto"/>
              </w:rPr>
            </w:pPr>
          </w:p>
        </w:tc>
      </w:tr>
      <w:tr>
        <w:trPr>
          <w:trHeight w:val="21"/>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38"/>
        </w:trPr>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Amortized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Unrealized</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Fair</w:t>
            </w:r>
          </w:p>
        </w:tc>
        <w:tc>
          <w:tcPr>
            <w:tcW w:w="1100" w:type="dxa"/>
            <w:vAlign w:val="bottom"/>
          </w:tcPr>
          <w:p>
            <w:pPr>
              <w:spacing w:after="0"/>
              <w:rPr>
                <w:sz w:val="18"/>
                <w:szCs w:val="18"/>
                <w:color w:val="auto"/>
              </w:rPr>
            </w:pPr>
          </w:p>
        </w:tc>
      </w:tr>
      <w:tr>
        <w:trPr>
          <w:trHeight w:val="237"/>
        </w:trPr>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Cost</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4"/>
              </w:rPr>
              <w:t>Losses</w:t>
            </w:r>
          </w:p>
        </w:tc>
        <w:tc>
          <w:tcPr>
            <w:tcW w:w="2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10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December 31, 2018</w:t>
            </w: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7"/>
              </w:rPr>
              <w:t>Available for sale:</w:t>
            </w:r>
          </w:p>
        </w:tc>
        <w:tc>
          <w:tcPr>
            <w:tcW w:w="2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agencies</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State and municipal</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182,256</w:t>
            </w:r>
          </w:p>
        </w:tc>
        <w:tc>
          <w:tcPr>
            <w:tcW w:w="110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Asset-backed and other amortizing securities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c>
          <w:tcPr>
            <w:tcW w:w="1100" w:type="dxa"/>
            <w:vAlign w:val="bottom"/>
          </w:tcPr>
          <w:p>
            <w:pPr>
              <w:spacing w:after="0"/>
              <w:rPr>
                <w:sz w:val="19"/>
                <w:szCs w:val="19"/>
                <w:color w:val="auto"/>
              </w:rPr>
            </w:pPr>
          </w:p>
        </w:tc>
      </w:tr>
      <w:tr>
        <w:trPr>
          <w:trHeight w:val="216"/>
        </w:trPr>
        <w:tc>
          <w:tcPr>
            <w:tcW w:w="50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341,036</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(3,368)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338,196</w:t>
            </w:r>
          </w:p>
        </w:tc>
        <w:tc>
          <w:tcPr>
            <w:tcW w:w="1100" w:type="dxa"/>
            <w:vAlign w:val="bottom"/>
          </w:tcPr>
          <w:p>
            <w:pPr>
              <w:spacing w:after="0"/>
              <w:rPr>
                <w:sz w:val="18"/>
                <w:szCs w:val="18"/>
                <w:color w:val="auto"/>
              </w:rPr>
            </w:pPr>
          </w:p>
        </w:tc>
      </w:tr>
      <w:tr>
        <w:trPr>
          <w:trHeight w:val="21"/>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589"/>
        </w:trPr>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center"/>
              <w:ind w:right="91"/>
              <w:spacing w:after="0"/>
              <w:rPr>
                <w:sz w:val="20"/>
                <w:szCs w:val="20"/>
                <w:color w:val="auto"/>
              </w:rPr>
            </w:pPr>
            <w:r>
              <w:rPr>
                <w:rFonts w:ascii="Arial" w:cs="Arial" w:eastAsia="Arial" w:hAnsi="Arial"/>
                <w:sz w:val="14"/>
                <w:szCs w:val="14"/>
                <w:color w:val="auto"/>
                <w:w w:val="89"/>
              </w:rPr>
              <w:t>11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The amortized cost and fair value of debt securities at March 31, 2019 are presented below by contractual maturity. Expected maturities may differ from contractual maturities because issuers may have the right to call or prepay obligations. Other securities are shown separately since they are not due at a single maturity date.</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440"/>
              <w:spacing w:after="0"/>
              <w:rPr>
                <w:sz w:val="20"/>
                <w:szCs w:val="20"/>
                <w:color w:val="auto"/>
              </w:rPr>
            </w:pPr>
            <w:r>
              <w:rPr>
                <w:rFonts w:ascii="Arial" w:cs="Arial" w:eastAsia="Arial" w:hAnsi="Arial"/>
                <w:sz w:val="18"/>
                <w:szCs w:val="18"/>
                <w:color w:val="auto"/>
              </w:rPr>
              <w:t>Available for Sale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0"/>
              <w:spacing w:after="0" w:line="201"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Cost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78,370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After 1 year through 5 years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7,317</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12,006</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After 10 years</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19,642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221,649</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221,329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338,984</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339,051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At March 31, 2019 and December 31, 2018, there were no holdings of securities of any one issuer, other than the U.S.</w:t>
      </w:r>
    </w:p>
    <w:p>
      <w:pPr>
        <w:spacing w:after="0" w:line="4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Government and its agencies, in an amount greater than 10% of stockholders’ equity.</w:t>
      </w:r>
    </w:p>
    <w:p>
      <w:pPr>
        <w:spacing w:after="0" w:line="215" w:lineRule="exact"/>
        <w:rPr>
          <w:sz w:val="20"/>
          <w:szCs w:val="20"/>
          <w:color w:val="auto"/>
        </w:rPr>
      </w:pPr>
    </w:p>
    <w:p>
      <w:pPr>
        <w:ind w:left="500" w:right="20"/>
        <w:spacing w:after="0" w:line="328" w:lineRule="auto"/>
        <w:rPr>
          <w:sz w:val="20"/>
          <w:szCs w:val="20"/>
          <w:color w:val="auto"/>
        </w:rPr>
      </w:pPr>
      <w:r>
        <w:rPr>
          <w:rFonts w:ascii="Arial" w:cs="Arial" w:eastAsia="Arial" w:hAnsi="Arial"/>
          <w:sz w:val="19"/>
          <w:szCs w:val="19"/>
          <w:color w:val="auto"/>
        </w:rPr>
        <w:t>Securities with a carrying value of approximately $206.4 million and $200.0 million at March 31, 2019 and December 31, 2018, respectively, were pledged to collateralize public deposits and for other purposes as required or permitted by law.</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right="240"/>
        <w:spacing w:after="0" w:line="251" w:lineRule="auto"/>
        <w:rPr>
          <w:sz w:val="20"/>
          <w:szCs w:val="20"/>
          <w:color w:val="auto"/>
        </w:rPr>
      </w:pPr>
      <w:r>
        <w:rPr>
          <w:rFonts w:ascii="Arial" w:cs="Arial" w:eastAsia="Arial" w:hAnsi="Arial"/>
          <w:sz w:val="22"/>
          <w:szCs w:val="22"/>
          <w:color w:val="auto"/>
        </w:rPr>
        <w:t>The following table segregates securities with unrealized losses at the periods indicated, by the duration they have been in a loss position:</w:t>
      </w:r>
    </w:p>
    <w:p>
      <w:pPr>
        <w:spacing w:after="0" w:line="207"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6"/>
          </w:tcPr>
          <w:p>
            <w:pPr>
              <w:ind w:left="60"/>
              <w:spacing w:after="0"/>
              <w:rPr>
                <w:sz w:val="20"/>
                <w:szCs w:val="20"/>
                <w:color w:val="auto"/>
              </w:rPr>
            </w:pPr>
            <w:r>
              <w:rPr>
                <w:rFonts w:ascii="Arial" w:cs="Arial" w:eastAsia="Arial" w:hAnsi="Arial"/>
                <w:sz w:val="18"/>
                <w:szCs w:val="18"/>
                <w:color w:val="auto"/>
              </w:rPr>
              <w:t>Less than 12 Months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5"/>
          </w:tcPr>
          <w:p>
            <w:pPr>
              <w:jc w:val="right"/>
              <w:ind w:right="460"/>
              <w:spacing w:after="0"/>
              <w:rPr>
                <w:sz w:val="20"/>
                <w:szCs w:val="20"/>
                <w:color w:val="auto"/>
              </w:rPr>
            </w:pPr>
            <w:r>
              <w:rPr>
                <w:rFonts w:ascii="Arial" w:cs="Arial" w:eastAsia="Arial" w:hAnsi="Arial"/>
                <w:sz w:val="18"/>
                <w:szCs w:val="18"/>
                <w:color w:val="auto"/>
                <w:w w:val="97"/>
              </w:rPr>
              <w:t>12 Months or More</w:t>
            </w:r>
          </w:p>
        </w:tc>
        <w:tc>
          <w:tcPr>
            <w:tcW w:w="200" w:type="dxa"/>
            <w:vAlign w:val="bottom"/>
          </w:tcPr>
          <w:p>
            <w:pPr>
              <w:spacing w:after="0"/>
              <w:rPr>
                <w:sz w:val="20"/>
                <w:szCs w:val="20"/>
                <w:color w:val="auto"/>
              </w:rPr>
            </w:pPr>
          </w:p>
        </w:tc>
        <w:tc>
          <w:tcPr>
            <w:tcW w:w="1100" w:type="dxa"/>
            <w:vAlign w:val="bottom"/>
            <w:gridSpan w:val="4"/>
          </w:tcPr>
          <w:p>
            <w:pPr>
              <w:jc w:val="right"/>
              <w:ind w:right="10"/>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Fair Value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w:t>
            </w:r>
          </w:p>
        </w:tc>
        <w:tc>
          <w:tcPr>
            <w:tcW w:w="8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Fair Value</w:t>
            </w:r>
          </w:p>
        </w:tc>
        <w:tc>
          <w:tcPr>
            <w:tcW w:w="180" w:type="dxa"/>
            <w:vAlign w:val="bottom"/>
          </w:tcPr>
          <w:p>
            <w:pPr>
              <w:spacing w:after="0"/>
              <w:rPr>
                <w:sz w:val="20"/>
                <w:szCs w:val="20"/>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Loss</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w w:val="97"/>
              </w:rPr>
              <w:t>Fair 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Loss</w:t>
            </w:r>
          </w:p>
        </w:tc>
        <w:tc>
          <w:tcPr>
            <w:tcW w:w="0" w:type="dxa"/>
            <w:vAlign w:val="bottom"/>
          </w:tcPr>
          <w:p>
            <w:pPr>
              <w:spacing w:after="0"/>
              <w:rPr>
                <w:sz w:val="1"/>
                <w:szCs w:val="1"/>
                <w:color w:val="auto"/>
              </w:rPr>
            </w:pPr>
          </w:p>
        </w:tc>
      </w:tr>
      <w:tr>
        <w:trPr>
          <w:trHeight w:val="176"/>
        </w:trPr>
        <w:tc>
          <w:tcPr>
            <w:tcW w:w="3980" w:type="dxa"/>
            <w:vAlign w:val="bottom"/>
            <w:gridSpan w:val="4"/>
          </w:tcPr>
          <w:p>
            <w:pPr>
              <w:spacing w:after="0" w:line="176" w:lineRule="exact"/>
              <w:rPr>
                <w:sz w:val="20"/>
                <w:szCs w:val="20"/>
                <w:color w:val="auto"/>
              </w:rPr>
            </w:pPr>
            <w:r>
              <w:rPr>
                <w:rFonts w:ascii="Arial" w:cs="Arial" w:eastAsia="Arial" w:hAnsi="Arial"/>
                <w:sz w:val="18"/>
                <w:szCs w:val="18"/>
                <w:color w:val="auto"/>
              </w:rPr>
              <w:t>March 31, 2019</w:t>
            </w: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5,553</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80,425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13,443</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14,361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53,083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34,060</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453</w:t>
            </w:r>
          </w:p>
        </w:tc>
        <w:tc>
          <w:tcPr>
            <w:tcW w:w="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34,060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75,790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106,139</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1,640</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181,929</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2,048</w:t>
            </w: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79,939</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State and municipal</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9,781</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283</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54,035</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162,997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37,351</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37,351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192,515</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103,215</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2,956</w:t>
            </w: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295,730</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75" w:lineRule="auto"/>
        <w:rPr>
          <w:sz w:val="20"/>
          <w:szCs w:val="20"/>
          <w:color w:val="auto"/>
        </w:rPr>
      </w:pPr>
      <w:r>
        <w:rPr>
          <w:rFonts w:ascii="Arial" w:cs="Arial" w:eastAsia="Arial" w:hAnsi="Arial"/>
          <w:sz w:val="19"/>
          <w:szCs w:val="19"/>
          <w:color w:val="auto"/>
        </w:rPr>
        <w:t>There were 65 securities with an unrealized loss at March 31, 2019.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March 31, 2019, management believes the impairments detailed in the table above are temporary and no impairment loss has been realized in the Company’s consolidated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w:t>
            </w:r>
          </w:p>
        </w:tc>
        <w:tc>
          <w:tcPr>
            <w:tcW w:w="7220" w:type="dxa"/>
            <w:vAlign w:val="bottom"/>
            <w:gridSpan w:val="2"/>
          </w:tcPr>
          <w:p>
            <w:pPr>
              <w:ind w:left="180"/>
              <w:spacing w:after="0"/>
              <w:rPr>
                <w:sz w:val="20"/>
                <w:szCs w:val="20"/>
                <w:color w:val="auto"/>
              </w:rPr>
            </w:pPr>
            <w:r>
              <w:rPr>
                <w:rFonts w:ascii="Arial" w:cs="Arial" w:eastAsia="Arial" w:hAnsi="Arial"/>
                <w:sz w:val="18"/>
                <w:szCs w:val="18"/>
                <w:b w:val="1"/>
                <w:bCs w:val="1"/>
                <w:color w:val="auto"/>
              </w:rPr>
              <w:t>LOANS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320" w:type="dxa"/>
            <w:vAlign w:val="bottom"/>
          </w:tcPr>
          <w:p>
            <w:pPr>
              <w:spacing w:after="0"/>
              <w:rPr>
                <w:sz w:val="24"/>
                <w:szCs w:val="24"/>
                <w:color w:val="auto"/>
              </w:rPr>
            </w:pPr>
          </w:p>
        </w:tc>
        <w:tc>
          <w:tcPr>
            <w:tcW w:w="7220" w:type="dxa"/>
            <w:vAlign w:val="bottom"/>
            <w:gridSpan w:val="2"/>
          </w:tcPr>
          <w:p>
            <w:pPr>
              <w:ind w:left="180"/>
              <w:spacing w:after="0"/>
              <w:rPr>
                <w:sz w:val="20"/>
                <w:szCs w:val="20"/>
                <w:color w:val="auto"/>
              </w:rPr>
            </w:pPr>
            <w:r>
              <w:rPr>
                <w:rFonts w:ascii="Arial" w:cs="Arial" w:eastAsia="Arial" w:hAnsi="Arial"/>
                <w:sz w:val="22"/>
                <w:szCs w:val="22"/>
                <w:color w:val="auto"/>
              </w:rPr>
              <w:t>Loans are summarized by category as follows: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March 31,</w:t>
            </w:r>
          </w:p>
        </w:tc>
        <w:tc>
          <w:tcPr>
            <w:tcW w:w="10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258,975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305,022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191,647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87,231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1,915,183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1,957,197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(23,381)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(23,126)</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8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180" w:type="dxa"/>
            <w:vAlign w:val="bottom"/>
            <w:vMerge w:val="continue"/>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1,891,802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235" w:lineRule="auto"/>
        <w:rPr>
          <w:sz w:val="20"/>
          <w:szCs w:val="20"/>
          <w:color w:val="auto"/>
        </w:rPr>
      </w:pPr>
      <w:r>
        <w:rPr>
          <w:rFonts w:ascii="Arial" w:cs="Arial" w:eastAsia="Arial" w:hAnsi="Arial"/>
          <w:sz w:val="22"/>
          <w:szCs w:val="22"/>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215"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borrower’s 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184" w:lineRule="exact"/>
        <w:rPr>
          <w:sz w:val="20"/>
          <w:szCs w:val="20"/>
          <w:color w:val="auto"/>
        </w:rPr>
      </w:pPr>
    </w:p>
    <w:p>
      <w:pPr>
        <w:jc w:val="both"/>
        <w:ind w:left="500"/>
        <w:spacing w:after="0" w:line="277" w:lineRule="auto"/>
        <w:rPr>
          <w:sz w:val="20"/>
          <w:szCs w:val="20"/>
          <w:color w:val="auto"/>
        </w:rPr>
      </w:pPr>
      <w:r>
        <w:rPr>
          <w:rFonts w:ascii="Arial" w:cs="Arial" w:eastAsia="Arial" w:hAnsi="Arial"/>
          <w:sz w:val="19"/>
          <w:szCs w:val="19"/>
          <w:i w:val="1"/>
          <w:iCs w:val="1"/>
          <w:u w:val="single" w:color="auto"/>
          <w:color w:val="auto"/>
        </w:rPr>
        <w:t>Commercial Real Estate</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real estate loans are also subject to underwriting standards and processes similar to</w:t>
      </w:r>
      <w:r>
        <w:rPr>
          <w:rFonts w:ascii="Arial" w:cs="Arial" w:eastAsia="Arial" w:hAnsi="Arial"/>
          <w:sz w:val="19"/>
          <w:szCs w:val="19"/>
          <w:i w:val="1"/>
          <w:iCs w:val="1"/>
          <w:color w:val="auto"/>
        </w:rPr>
        <w:t xml:space="preserve"> </w:t>
      </w:r>
      <w:r>
        <w:rPr>
          <w:rFonts w:ascii="Arial" w:cs="Arial" w:eastAsia="Arial" w:hAnsi="Arial"/>
          <w:sz w:val="19"/>
          <w:szCs w:val="19"/>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180"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The Company generally requires mortgage title insurance and hazard insurance on 1-4 family residential loans.</w:t>
      </w:r>
    </w:p>
    <w:p>
      <w:pPr>
        <w:spacing w:after="0" w:line="204" w:lineRule="exact"/>
        <w:rPr>
          <w:sz w:val="20"/>
          <w:szCs w:val="20"/>
          <w:color w:val="auto"/>
        </w:rPr>
      </w:pPr>
    </w:p>
    <w:p>
      <w:pPr>
        <w:jc w:val="both"/>
        <w:ind w:left="500" w:right="20"/>
        <w:spacing w:after="0" w:line="251" w:lineRule="auto"/>
        <w:rPr>
          <w:sz w:val="20"/>
          <w:szCs w:val="20"/>
          <w:color w:val="auto"/>
        </w:rPr>
      </w:pPr>
      <w:r>
        <w:rPr>
          <w:rFonts w:ascii="Arial" w:cs="Arial" w:eastAsia="Arial" w:hAnsi="Arial"/>
          <w:sz w:val="22"/>
          <w:szCs w:val="22"/>
          <w:color w:val="auto"/>
        </w:rPr>
        <w:t>The following table details the activity in the allowance for loan losses. Allocation of a portion of the allowance to one category of loans does not preclude its availability to absorb losses in other categories.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5"/>
          </w:tcPr>
          <w:p>
            <w:pPr>
              <w:spacing w:after="0"/>
              <w:rPr>
                <w:sz w:val="20"/>
                <w:szCs w:val="20"/>
                <w:color w:val="auto"/>
              </w:rPr>
            </w:pPr>
            <w:r>
              <w:rPr>
                <w:rFonts w:ascii="Arial" w:cs="Arial" w:eastAsia="Arial" w:hAnsi="Arial"/>
                <w:sz w:val="18"/>
                <w:szCs w:val="18"/>
                <w:color w:val="auto"/>
              </w:rPr>
              <w:t>Beginning</w:t>
            </w:r>
          </w:p>
        </w:tc>
        <w:tc>
          <w:tcPr>
            <w:tcW w:w="1180" w:type="dxa"/>
            <w:vAlign w:val="bottom"/>
            <w:gridSpan w:val="5"/>
          </w:tcPr>
          <w:p>
            <w:pPr>
              <w:jc w:val="right"/>
              <w:ind w:right="220"/>
              <w:spacing w:after="0"/>
              <w:rPr>
                <w:sz w:val="20"/>
                <w:szCs w:val="20"/>
                <w:color w:val="auto"/>
              </w:rPr>
            </w:pPr>
            <w:r>
              <w:rPr>
                <w:rFonts w:ascii="Arial" w:cs="Arial" w:eastAsia="Arial" w:hAnsi="Arial"/>
                <w:sz w:val="18"/>
                <w:szCs w:val="18"/>
                <w:color w:val="auto"/>
                <w:w w:val="93"/>
              </w:rPr>
              <w:t>Provision for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Ending</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Balance</w:t>
            </w:r>
          </w:p>
        </w:tc>
        <w:tc>
          <w:tcPr>
            <w:tcW w:w="1180" w:type="dxa"/>
            <w:vAlign w:val="bottom"/>
            <w:gridSpan w:val="5"/>
          </w:tcPr>
          <w:p>
            <w:pPr>
              <w:jc w:val="right"/>
              <w:ind w:right="300"/>
              <w:spacing w:after="0"/>
              <w:rPr>
                <w:sz w:val="20"/>
                <w:szCs w:val="20"/>
                <w:color w:val="auto"/>
              </w:rPr>
            </w:pPr>
            <w:r>
              <w:rPr>
                <w:rFonts w:ascii="Arial" w:cs="Arial" w:eastAsia="Arial" w:hAnsi="Arial"/>
                <w:sz w:val="18"/>
                <w:szCs w:val="18"/>
                <w:color w:val="auto"/>
                <w:w w:val="95"/>
              </w:rPr>
              <w:t>loan losses</w:t>
            </w:r>
          </w:p>
        </w:tc>
        <w:tc>
          <w:tcPr>
            <w:tcW w:w="1080" w:type="dxa"/>
            <w:vAlign w:val="bottom"/>
            <w:gridSpan w:val="4"/>
          </w:tcPr>
          <w:p>
            <w:pPr>
              <w:ind w:left="60"/>
              <w:spacing w:after="0"/>
              <w:rPr>
                <w:sz w:val="20"/>
                <w:szCs w:val="20"/>
                <w:color w:val="auto"/>
              </w:rPr>
            </w:pPr>
            <w:r>
              <w:rPr>
                <w:rFonts w:ascii="Arial" w:cs="Arial" w:eastAsia="Arial" w:hAnsi="Arial"/>
                <w:sz w:val="18"/>
                <w:szCs w:val="18"/>
                <w:color w:val="auto"/>
              </w:rPr>
              <w:t>Charge-offs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Recoveries</w:t>
            </w:r>
          </w:p>
        </w:tc>
        <w:tc>
          <w:tcPr>
            <w:tcW w:w="1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Balance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For the three months ended</w:t>
            </w: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March 31, 2019</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(352)</w:t>
            </w:r>
          </w:p>
        </w:tc>
        <w:tc>
          <w:tcPr>
            <w:tcW w:w="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23,126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18"/>
                <w:szCs w:val="18"/>
                <w:color w:val="auto"/>
              </w:rPr>
            </w:pPr>
          </w:p>
        </w:tc>
        <w:tc>
          <w:tcPr>
            <w:tcW w:w="400" w:type="dxa"/>
            <w:vAlign w:val="bottom"/>
            <w:gridSpan w:val="2"/>
          </w:tcPr>
          <w:p>
            <w:pPr>
              <w:jc w:val="right"/>
              <w:ind w:right="3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(669)</w:t>
            </w:r>
          </w:p>
        </w:tc>
        <w:tc>
          <w:tcPr>
            <w:tcW w:w="44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23,381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For the three months ended</w:t>
            </w: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4"/>
        </w:trPr>
        <w:tc>
          <w:tcPr>
            <w:tcW w:w="500" w:type="dxa"/>
            <w:vAlign w:val="bottom"/>
          </w:tcPr>
          <w:p>
            <w:pPr>
              <w:spacing w:after="0"/>
              <w:rPr>
                <w:sz w:val="24"/>
                <w:szCs w:val="24"/>
                <w:color w:val="auto"/>
              </w:rPr>
            </w:pPr>
          </w:p>
        </w:tc>
        <w:tc>
          <w:tcPr>
            <w:tcW w:w="4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March 31, 2018</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2,650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tcPr>
          <w:p>
            <w:pPr>
              <w:ind w:left="14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80" w:type="dxa"/>
            <w:vAlign w:val="bottom"/>
            <w:gridSpan w:val="4"/>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780" w:type="dxa"/>
            <w:vAlign w:val="bottom"/>
            <w:gridSpan w:val="3"/>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440" w:type="dxa"/>
            <w:vAlign w:val="bottom"/>
            <w:gridSpan w:val="3"/>
            <w:shd w:val="clear" w:color="auto" w:fill="CCEEFF"/>
          </w:tcPr>
          <w:p>
            <w:pPr>
              <w:spacing w:after="0"/>
              <w:rPr>
                <w:sz w:val="18"/>
                <w:szCs w:val="18"/>
                <w:color w:val="auto"/>
              </w:rPr>
            </w:pPr>
          </w:p>
        </w:tc>
        <w:tc>
          <w:tcPr>
            <w:tcW w:w="7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Total</w:t>
            </w:r>
          </w:p>
        </w:tc>
        <w:tc>
          <w:tcPr>
            <w:tcW w:w="380" w:type="dxa"/>
            <w:vAlign w:val="bottom"/>
            <w:gridSpan w:val="4"/>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21,461</w:t>
            </w:r>
          </w:p>
        </w:tc>
        <w:tc>
          <w:tcPr>
            <w:tcW w:w="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778</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(581)</w:t>
            </w:r>
          </w:p>
        </w:tc>
        <w:tc>
          <w:tcPr>
            <w:tcW w:w="44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21,969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5"/>
          </w:tcPr>
          <w:p>
            <w:pPr>
              <w:ind w:left="340"/>
              <w:spacing w:after="0"/>
              <w:rPr>
                <w:sz w:val="20"/>
                <w:szCs w:val="20"/>
                <w:color w:val="auto"/>
              </w:rPr>
            </w:pPr>
            <w:r>
              <w:rPr>
                <w:rFonts w:ascii="Arial" w:cs="Arial" w:eastAsia="Arial" w:hAnsi="Arial"/>
                <w:sz w:val="18"/>
                <w:szCs w:val="18"/>
                <w:color w:val="auto"/>
              </w:rPr>
              <w:t>Recorded 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ind w:left="140"/>
              <w:spacing w:after="0"/>
              <w:rPr>
                <w:sz w:val="20"/>
                <w:szCs w:val="20"/>
                <w:color w:val="auto"/>
              </w:rPr>
            </w:pPr>
            <w:r>
              <w:rPr>
                <w:rFonts w:ascii="Arial" w:cs="Arial" w:eastAsia="Arial" w:hAnsi="Arial"/>
                <w:sz w:val="18"/>
                <w:szCs w:val="18"/>
                <w:color w:val="auto"/>
              </w:rPr>
              <w:t>Allowance for Loan Losses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60"/>
              <w:spacing w:after="0" w:line="201" w:lineRule="exact"/>
              <w:rPr>
                <w:sz w:val="20"/>
                <w:szCs w:val="20"/>
                <w:color w:val="auto"/>
              </w:rPr>
            </w:pPr>
            <w:r>
              <w:rPr>
                <w:rFonts w:ascii="Arial" w:cs="Arial" w:eastAsia="Arial" w:hAnsi="Arial"/>
                <w:sz w:val="18"/>
                <w:szCs w:val="18"/>
                <w:color w:val="auto"/>
                <w:w w:val="98"/>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6"/>
              </w:rPr>
              <w:t>Collectively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20"/>
              <w:spacing w:after="0" w:line="201" w:lineRule="exact"/>
              <w:rPr>
                <w:sz w:val="20"/>
                <w:szCs w:val="20"/>
                <w:color w:val="auto"/>
              </w:rPr>
            </w:pPr>
            <w:r>
              <w:rPr>
                <w:rFonts w:ascii="Arial" w:cs="Arial" w:eastAsia="Arial" w:hAnsi="Arial"/>
                <w:sz w:val="18"/>
                <w:szCs w:val="18"/>
                <w:color w:val="auto"/>
                <w:w w:val="98"/>
              </w:rPr>
              <w:t>Individually</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201" w:lineRule="exact"/>
              <w:rPr>
                <w:sz w:val="20"/>
                <w:szCs w:val="20"/>
                <w:color w:val="auto"/>
              </w:rPr>
            </w:pPr>
            <w:r>
              <w:rPr>
                <w:rFonts w:ascii="Arial" w:cs="Arial" w:eastAsia="Arial" w:hAnsi="Arial"/>
                <w:sz w:val="18"/>
                <w:szCs w:val="18"/>
                <w:color w:val="auto"/>
                <w:w w:val="96"/>
              </w:rPr>
              <w:t>Collectively</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Evaluated</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Evaluated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Evaluated</w:t>
            </w:r>
          </w:p>
        </w:tc>
        <w:tc>
          <w:tcPr>
            <w:tcW w:w="1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Evaluated</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60" w:type="dxa"/>
            <w:vAlign w:val="bottom"/>
            <w:gridSpan w:val="4"/>
          </w:tcPr>
          <w:p>
            <w:pPr>
              <w:ind w:left="500"/>
              <w:spacing w:after="0"/>
              <w:rPr>
                <w:sz w:val="20"/>
                <w:szCs w:val="20"/>
                <w:color w:val="auto"/>
              </w:rPr>
            </w:pPr>
            <w:r>
              <w:rPr>
                <w:rFonts w:ascii="Arial" w:cs="Arial" w:eastAsia="Arial" w:hAnsi="Arial"/>
                <w:sz w:val="18"/>
                <w:szCs w:val="18"/>
                <w:color w:val="auto"/>
              </w:rPr>
              <w:t>March 31, 2019</w:t>
            </w:r>
          </w:p>
        </w:tc>
        <w:tc>
          <w:tcPr>
            <w:tcW w:w="14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256,930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352,391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color w:val="auto"/>
              </w:rPr>
              <w:t>Auto loans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1,906,517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22,798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vMerge w:val="continue"/>
          </w:tcPr>
          <w:p>
            <w:pPr>
              <w:spacing w:after="0"/>
              <w:rPr>
                <w:sz w:val="15"/>
                <w:szCs w:val="15"/>
                <w:color w:val="auto"/>
              </w:rPr>
            </w:pPr>
          </w:p>
        </w:tc>
        <w:tc>
          <w:tcPr>
            <w:tcW w:w="326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536,218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302,906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343,678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tcPr>
          <w:p>
            <w:pPr>
              <w:ind w:left="160"/>
              <w:spacing w:after="0"/>
              <w:rPr>
                <w:sz w:val="20"/>
                <w:szCs w:val="20"/>
                <w:color w:val="auto"/>
              </w:rPr>
            </w:pPr>
            <w:r>
              <w:rPr>
                <w:rFonts w:ascii="Arial" w:cs="Arial" w:eastAsia="Arial" w:hAnsi="Arial"/>
                <w:sz w:val="18"/>
                <w:szCs w:val="18"/>
                <w:color w:val="auto"/>
              </w:rPr>
              <w:t>Auto loans</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2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9,360</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1,947,837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22,885</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51"/>
              <w:spacing w:after="0"/>
              <w:rPr>
                <w:sz w:val="20"/>
                <w:szCs w:val="20"/>
                <w:color w:val="auto"/>
              </w:rPr>
            </w:pPr>
            <w:r>
              <w:rPr>
                <w:rFonts w:ascii="Arial" w:cs="Arial" w:eastAsia="Arial" w:hAnsi="Arial"/>
                <w:sz w:val="14"/>
                <w:szCs w:val="14"/>
                <w:color w:val="auto"/>
                <w:w w:val="89"/>
              </w:rPr>
              <w:t>16</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left="600" w:right="2520"/>
        <w:spacing w:after="0" w:line="238" w:lineRule="auto"/>
        <w:rPr>
          <w:sz w:val="20"/>
          <w:szCs w:val="20"/>
          <w:color w:val="auto"/>
        </w:rPr>
      </w:pPr>
      <w:r>
        <w:rPr>
          <w:rFonts w:ascii="Arial" w:cs="Arial" w:eastAsia="Arial" w:hAnsi="Arial"/>
          <w:sz w:val="22"/>
          <w:szCs w:val="22"/>
          <w:b w:val="1"/>
          <w:bCs w:val="1"/>
          <w:color w:val="auto"/>
        </w:rPr>
        <w:t>SOUTH PLAINS FINANCIAL, INC. AND SUBSIDIARIES NOTES TO CONSOLIDATED FINANCIAL STATEMENTS (Unaudited)</w:t>
      </w:r>
    </w:p>
    <w:p>
      <w:pPr>
        <w:spacing w:after="0" w:line="1"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Impaired loan information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4"/>
              </w:rPr>
              <w:t>Unpaid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Recorded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Recorded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1"/>
              </w:rPr>
              <w:t>Contractual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Investment</w:t>
            </w:r>
          </w:p>
        </w:tc>
        <w:tc>
          <w:tcPr>
            <w:tcW w:w="8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95"/>
              </w:rPr>
              <w:t>Principal</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With No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With</w:t>
            </w:r>
          </w:p>
        </w:tc>
        <w:tc>
          <w:tcPr>
            <w:tcW w:w="8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Recorded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Related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Recorded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9"/>
              </w:rPr>
              <w:t>Balance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Allowance</w:t>
            </w:r>
          </w:p>
        </w:tc>
        <w:tc>
          <w:tcPr>
            <w:tcW w:w="80" w:type="dxa"/>
            <w:vAlign w:val="bottom"/>
          </w:tcPr>
          <w:p>
            <w:pPr>
              <w:spacing w:after="0"/>
              <w:rPr>
                <w:sz w:val="20"/>
                <w:szCs w:val="20"/>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Allowance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Investment</w:t>
            </w:r>
          </w:p>
        </w:tc>
        <w:tc>
          <w:tcPr>
            <w:tcW w:w="0" w:type="dxa"/>
            <w:vAlign w:val="bottom"/>
          </w:tcPr>
          <w:p>
            <w:pPr>
              <w:spacing w:after="0"/>
              <w:rPr>
                <w:sz w:val="1"/>
                <w:szCs w:val="1"/>
                <w:color w:val="auto"/>
              </w:rPr>
            </w:pPr>
          </w:p>
        </w:tc>
      </w:tr>
      <w:tr>
        <w:trPr>
          <w:trHeight w:val="392"/>
        </w:trPr>
        <w:tc>
          <w:tcPr>
            <w:tcW w:w="3300" w:type="dxa"/>
            <w:vAlign w:val="bottom"/>
            <w:gridSpan w:val="4"/>
          </w:tcPr>
          <w:p>
            <w:pPr>
              <w:spacing w:after="0"/>
              <w:rPr>
                <w:sz w:val="20"/>
                <w:szCs w:val="20"/>
                <w:color w:val="auto"/>
              </w:rPr>
            </w:pPr>
            <w:r>
              <w:rPr>
                <w:rFonts w:ascii="Arial" w:cs="Arial" w:eastAsia="Arial" w:hAnsi="Arial"/>
                <w:sz w:val="18"/>
                <w:szCs w:val="18"/>
                <w:color w:val="auto"/>
              </w:rPr>
              <w:t>March 31, 2019</w:t>
            </w: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686</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4,488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8,666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8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6,286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9,360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line="297" w:lineRule="auto"/>
        <w:rPr>
          <w:sz w:val="20"/>
          <w:szCs w:val="20"/>
          <w:color w:val="auto"/>
        </w:rPr>
      </w:pPr>
      <w:r>
        <w:rPr>
          <w:rFonts w:ascii="Arial" w:cs="Arial" w:eastAsia="Arial" w:hAnsi="Arial"/>
          <w:sz w:val="19"/>
          <w:szCs w:val="19"/>
          <w:color w:val="auto"/>
        </w:rPr>
        <w:t>All impaired loans $250,000 and greater were specifically evaluated for impairment. Interest income recognized using a cash-basis method on impaired loans for the period ended March 31, 2019 and the year ended December 31, 2018 was not significant. Additional funds committed to be advanced on impaired loans are not significant.</w:t>
      </w:r>
    </w:p>
    <w:p>
      <w:pPr>
        <w:spacing w:after="0" w:line="353"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2" w:right="59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table below provides an age analysis on accruing past-due loans and nonaccrual loans: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34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30-89 Days Past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90 Days 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w w:val="91"/>
              </w:rPr>
              <w:t>More Past Due</w:t>
            </w:r>
          </w:p>
        </w:tc>
        <w:tc>
          <w:tcPr>
            <w:tcW w:w="10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Nonaccrual</w:t>
            </w:r>
          </w:p>
        </w:tc>
        <w:tc>
          <w:tcPr>
            <w:tcW w:w="0" w:type="dxa"/>
            <w:vAlign w:val="bottom"/>
          </w:tcPr>
          <w:p>
            <w:pPr>
              <w:spacing w:after="0"/>
              <w:rPr>
                <w:sz w:val="1"/>
                <w:szCs w:val="1"/>
                <w:color w:val="auto"/>
              </w:rPr>
            </w:pPr>
          </w:p>
        </w:tc>
      </w:tr>
      <w:tr>
        <w:trPr>
          <w:trHeight w:val="392"/>
        </w:trPr>
        <w:tc>
          <w:tcPr>
            <w:tcW w:w="5820" w:type="dxa"/>
            <w:vAlign w:val="bottom"/>
            <w:gridSpan w:val="4"/>
          </w:tcPr>
          <w:p>
            <w:pPr>
              <w:spacing w:after="0"/>
              <w:rPr>
                <w:sz w:val="20"/>
                <w:szCs w:val="20"/>
                <w:color w:val="auto"/>
              </w:rPr>
            </w:pPr>
            <w:r>
              <w:rPr>
                <w:rFonts w:ascii="Arial" w:cs="Arial" w:eastAsia="Arial" w:hAnsi="Arial"/>
                <w:sz w:val="18"/>
                <w:szCs w:val="18"/>
                <w:color w:val="auto"/>
              </w:rPr>
              <w:t>March 31, 2019</w:t>
            </w: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8,303</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7,657</w:t>
            </w:r>
          </w:p>
        </w:tc>
        <w:tc>
          <w:tcPr>
            <w:tcW w:w="0" w:type="dxa"/>
            <w:vAlign w:val="bottom"/>
          </w:tcPr>
          <w:p>
            <w:pPr>
              <w:spacing w:after="0"/>
              <w:rPr>
                <w:sz w:val="1"/>
                <w:szCs w:val="1"/>
                <w:color w:val="auto"/>
              </w:rPr>
            </w:pPr>
          </w:p>
        </w:tc>
      </w:tr>
      <w:tr>
        <w:trPr>
          <w:trHeight w:val="21"/>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8,684</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Company grades its loans on a thirteen-point grading scale. These grades fit in one of the following categories: (i) pass,</w:t>
      </w:r>
    </w:p>
    <w:p>
      <w:pPr>
        <w:spacing w:after="0" w:line="43" w:lineRule="exact"/>
        <w:rPr>
          <w:sz w:val="20"/>
          <w:szCs w:val="20"/>
          <w:color w:val="auto"/>
        </w:rPr>
      </w:pPr>
    </w:p>
    <w:p>
      <w:pPr>
        <w:jc w:val="both"/>
        <w:ind w:left="500" w:hanging="6"/>
        <w:spacing w:after="0" w:line="249" w:lineRule="auto"/>
        <w:tabs>
          <w:tab w:leader="none" w:pos="827" w:val="left"/>
        </w:tabs>
        <w:numPr>
          <w:ilvl w:val="0"/>
          <w:numId w:val="5"/>
        </w:numPr>
        <w:rPr>
          <w:rFonts w:ascii="Arial" w:cs="Arial" w:eastAsia="Arial" w:hAnsi="Arial"/>
          <w:sz w:val="21"/>
          <w:szCs w:val="21"/>
          <w:color w:val="auto"/>
        </w:rPr>
      </w:pPr>
      <w:r>
        <w:rPr>
          <w:rFonts w:ascii="Arial" w:cs="Arial" w:eastAsia="Arial" w:hAnsi="Arial"/>
          <w:sz w:val="21"/>
          <w:szCs w:val="21"/>
          <w:color w:val="auto"/>
        </w:rPr>
        <w:t>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03"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ind w:left="500"/>
        <w:spacing w:after="0" w:line="274" w:lineRule="auto"/>
        <w:rPr>
          <w:sz w:val="20"/>
          <w:szCs w:val="20"/>
          <w:color w:val="auto"/>
        </w:rPr>
      </w:pPr>
      <w:r>
        <w:rPr>
          <w:rFonts w:ascii="Arial" w:cs="Arial" w:eastAsia="Arial" w:hAnsi="Arial"/>
          <w:sz w:val="21"/>
          <w:szCs w:val="21"/>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178" w:lineRule="exact"/>
        <w:rPr>
          <w:sz w:val="20"/>
          <w:szCs w:val="20"/>
          <w:color w:val="auto"/>
        </w:rPr>
      </w:pPr>
    </w:p>
    <w:p>
      <w:pPr>
        <w:jc w:val="both"/>
        <w:ind w:left="500"/>
        <w:spacing w:after="0" w:line="277"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w:t>
      </w:r>
    </w:p>
    <w:p>
      <w:pPr>
        <w:sectPr>
          <w:pgSz w:w="11900" w:h="16838" w:orient="portrait"/>
          <w:cols w:equalWidth="0" w:num="1">
            <w:col w:w="11420"/>
          </w:cols>
          <w:pgMar w:left="240" w:top="122"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summarizes the internal classifications of loans: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Special</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Pass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Mention</w:t>
            </w:r>
          </w:p>
        </w:tc>
        <w:tc>
          <w:tcPr>
            <w:tcW w:w="100" w:type="dxa"/>
            <w:vAlign w:val="bottom"/>
          </w:tcPr>
          <w:p>
            <w:pPr>
              <w:spacing w:after="0"/>
              <w:rPr>
                <w:sz w:val="20"/>
                <w:szCs w:val="20"/>
                <w:color w:val="auto"/>
              </w:rPr>
            </w:pP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Substandard</w:t>
            </w:r>
          </w:p>
        </w:tc>
        <w:tc>
          <w:tcPr>
            <w:tcW w:w="880" w:type="dxa"/>
            <w:vAlign w:val="bottom"/>
          </w:tcPr>
          <w:p>
            <w:pPr>
              <w:jc w:val="right"/>
              <w:spacing w:after="0"/>
              <w:rPr>
                <w:sz w:val="20"/>
                <w:szCs w:val="20"/>
                <w:color w:val="auto"/>
              </w:rPr>
            </w:pPr>
            <w:r>
              <w:rPr>
                <w:rFonts w:ascii="Arial" w:cs="Arial" w:eastAsia="Arial" w:hAnsi="Arial"/>
                <w:sz w:val="18"/>
                <w:szCs w:val="18"/>
                <w:color w:val="auto"/>
              </w:rPr>
              <w:t>Doubtful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392"/>
        </w:trPr>
        <w:tc>
          <w:tcPr>
            <w:tcW w:w="3920" w:type="dxa"/>
            <w:vAlign w:val="bottom"/>
            <w:gridSpan w:val="4"/>
          </w:tcPr>
          <w:p>
            <w:pPr>
              <w:spacing w:after="0"/>
              <w:rPr>
                <w:sz w:val="20"/>
                <w:szCs w:val="20"/>
                <w:color w:val="auto"/>
              </w:rPr>
            </w:pPr>
            <w:r>
              <w:rPr>
                <w:rFonts w:ascii="Arial" w:cs="Arial" w:eastAsia="Arial" w:hAnsi="Arial"/>
                <w:sz w:val="18"/>
                <w:szCs w:val="18"/>
                <w:color w:val="auto"/>
              </w:rPr>
              <w:t>March 31, 2019</w:t>
            </w: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19,919</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5,255</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255,433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3,542</w:t>
            </w:r>
          </w:p>
        </w:tc>
        <w:tc>
          <w:tcPr>
            <w:tcW w:w="8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258,975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10,758</w:t>
            </w: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5,449</w:t>
            </w: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200,129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8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200,366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86,529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702</w:t>
            </w:r>
          </w:p>
        </w:tc>
        <w:tc>
          <w:tcPr>
            <w:tcW w:w="8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87,231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1,867,773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21,294</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26,116</w:t>
            </w:r>
          </w:p>
        </w:tc>
        <w:tc>
          <w:tcPr>
            <w:tcW w:w="220" w:type="dxa"/>
            <w:vAlign w:val="bottom"/>
          </w:tcPr>
          <w:p>
            <w:pPr>
              <w:spacing w:after="0"/>
              <w:rPr>
                <w:sz w:val="18"/>
                <w:szCs w:val="18"/>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1,915,183</w:t>
            </w:r>
          </w:p>
        </w:tc>
        <w:tc>
          <w:tcPr>
            <w:tcW w:w="0" w:type="dxa"/>
            <w:vAlign w:val="bottom"/>
          </w:tcPr>
          <w:p>
            <w:pPr>
              <w:spacing w:after="0"/>
              <w:rPr>
                <w:sz w:val="1"/>
                <w:szCs w:val="1"/>
                <w:color w:val="auto"/>
              </w:rPr>
            </w:pPr>
          </w:p>
        </w:tc>
      </w:tr>
      <w:tr>
        <w:trPr>
          <w:trHeight w:val="21"/>
        </w:trPr>
        <w:tc>
          <w:tcPr>
            <w:tcW w:w="11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514,249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w:t>
            </w:r>
          </w:p>
        </w:tc>
        <w:tc>
          <w:tcPr>
            <w:tcW w:w="88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301,289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3,733</w:t>
            </w:r>
          </w:p>
        </w:tc>
        <w:tc>
          <w:tcPr>
            <w:tcW w:w="8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w:t>
            </w: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5,317</w:t>
            </w: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14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191,435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8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8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78,401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1,911,960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18,749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26,488</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1,957,197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line="251" w:lineRule="auto"/>
        <w:rPr>
          <w:sz w:val="20"/>
          <w:szCs w:val="20"/>
          <w:color w:val="auto"/>
        </w:rPr>
      </w:pPr>
      <w:r>
        <w:rPr>
          <w:rFonts w:ascii="Arial" w:cs="Arial" w:eastAsia="Arial" w:hAnsi="Arial"/>
          <w:sz w:val="22"/>
          <w:szCs w:val="22"/>
          <w:color w:val="auto"/>
        </w:rPr>
        <w:t>There were no loans restructured as troubled debt restructurings during the three-month period ended March 31, 2019 and the year ended December 31, 2018.</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BORROWING ARRANGEMENTS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color w:val="auto"/>
        </w:rPr>
        <w:t xml:space="preserve">In January 2014, the Company issued $20.9 million in subordinated debt securities. These securities pay interest quarterly and mature January 2024. There was $6.5 million issued at a current rate of 4% and $14.4 million at a current rate of 5%. These rates were fixed for five years and then float at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with a floor of 4% and a ceiling of 7.5%. These securities are unsecured and could be called by the Company at any time after January 2019, they qualified for Tier 2 capital treatment, subject to regulatory limitations. In December 2018, the Company notified all holders that it intended to call these securities in January of 2019 and were given the option to subscribe to a new offering (see following paragraph) or to be redeemed. Holders of $13.4 million elected to subscribe to the new offering while holders of $7.5 million elected to have their securities redeemed in January 2019. As a result, these securities had been fully redeemed as of March 31, 2019, while the outstanding balance of these securities at December 31, 2018 was $7.5 million.</w:t>
      </w:r>
    </w:p>
    <w:p>
      <w:pPr>
        <w:spacing w:after="0" w:line="184" w:lineRule="exact"/>
        <w:rPr>
          <w:sz w:val="20"/>
          <w:szCs w:val="20"/>
          <w:color w:val="auto"/>
        </w:rPr>
      </w:pPr>
    </w:p>
    <w:p>
      <w:pPr>
        <w:jc w:val="both"/>
        <w:ind w:left="500"/>
        <w:spacing w:after="0" w:line="279" w:lineRule="auto"/>
        <w:rPr>
          <w:sz w:val="20"/>
          <w:szCs w:val="20"/>
          <w:color w:val="auto"/>
        </w:rPr>
      </w:pPr>
      <w:r>
        <w:rPr>
          <w:rFonts w:ascii="Arial" w:cs="Arial" w:eastAsia="Arial" w:hAnsi="Arial"/>
          <w:sz w:val="19"/>
          <w:szCs w:val="19"/>
          <w:color w:val="auto"/>
        </w:rPr>
        <w:t>In December 2018, the Company issued $26.5 million in subordinated debt securities.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8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p>
    <w:p>
      <w:pPr>
        <w:spacing w:after="0" w:line="249"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i w:val="1"/>
          <w:iCs w:val="1"/>
          <w:u w:val="single" w:color="auto"/>
          <w:color w:val="auto"/>
        </w:rPr>
        <w:t>Non-Qualified Plans</w:t>
      </w:r>
      <w:r>
        <w:rPr>
          <w:rFonts w:ascii="Arial" w:cs="Arial" w:eastAsia="Arial" w:hAnsi="Arial"/>
          <w:sz w:val="22"/>
          <w:szCs w:val="22"/>
          <w:i w:val="1"/>
          <w:iCs w:val="1"/>
          <w:color w:val="auto"/>
        </w:rPr>
        <w:t xml:space="preserve"> </w:t>
      </w:r>
      <w:r>
        <w:rPr>
          <w:rFonts w:ascii="Arial" w:cs="Arial" w:eastAsia="Arial" w:hAnsi="Arial"/>
          <w:sz w:val="22"/>
          <w:szCs w:val="22"/>
          <w:color w:val="auto"/>
        </w:rPr>
        <w:t>- Certain Company executives, as determined by the Company’s Board of Directors from time-to-time,</w:t>
      </w:r>
      <w:r>
        <w:rPr>
          <w:rFonts w:ascii="Arial" w:cs="Arial" w:eastAsia="Arial" w:hAnsi="Arial"/>
          <w:sz w:val="22"/>
          <w:szCs w:val="22"/>
          <w:i w:val="1"/>
          <w:iCs w:val="1"/>
          <w:color w:val="auto"/>
        </w:rPr>
        <w:t xml:space="preserve"> </w:t>
      </w:r>
      <w:r>
        <w:rPr>
          <w:rFonts w:ascii="Arial" w:cs="Arial" w:eastAsia="Arial" w:hAnsi="Arial"/>
          <w:sz w:val="22"/>
          <w:szCs w:val="22"/>
          <w:color w:val="auto"/>
        </w:rPr>
        <w:t>were granted SARs based on grant date values. The rights have varying vesting provisions. Exercise and payment options for the rights vary and are governed by the program they were issued under as well as the specific award agreement. Prior to January 1, 2019, the Company accrued the liabilities for these rights under the intrinsic value method. The accrual for the liabilities was $10.6 million at December 31, 2018.</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As a result of the Company becoming a reporting company with the SEC, the Company is now required to use the fair value method for these SARs. The Company’s calculation of the fair value of the SARs, as of January 1, 2019, exceeded the recorded intrinsic value by $1.6 million. Therefore, the Company recorded a cumulative-effect adjustment to retained earnings for $1.3 million ($1.6 million net of $340,000 in tax) effective January 1, 2019 and applied this change prospectively.</w:t>
      </w:r>
    </w:p>
    <w:p>
      <w:pPr>
        <w:spacing w:after="0" w:line="215"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color w:val="auto"/>
        </w:rPr>
        <w:t>The Company recorded expense of $607,000 for the increase in the intrinsic value of the SARs, prior to the change to the fair value method, and the change in fair value of the SARs at March 31, 2019.</w:t>
      </w:r>
    </w:p>
    <w:p>
      <w:pPr>
        <w:spacing w:after="0" w:line="20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ind w:left="500"/>
        <w:spacing w:after="0" w:line="273"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this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summary of activity in the Plan during the three months ended March 31, 2019:</w:t>
      </w: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Weighted-</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Average</w:t>
            </w: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6"/>
              </w:rPr>
              <w:t>Intrinsic</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rPr>
              <w:t>Exercise Price</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Life in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60" w:type="dxa"/>
            <w:vAlign w:val="bottom"/>
            <w:gridSpan w:val="3"/>
          </w:tcPr>
          <w:p>
            <w:pPr>
              <w:spacing w:after="0"/>
              <w:rPr>
                <w:sz w:val="20"/>
                <w:szCs w:val="20"/>
                <w:color w:val="auto"/>
              </w:rPr>
            </w:pPr>
            <w:r>
              <w:rPr>
                <w:rFonts w:ascii="Arial" w:cs="Arial" w:eastAsia="Arial" w:hAnsi="Arial"/>
                <w:sz w:val="18"/>
                <w:szCs w:val="18"/>
                <w:color w:val="auto"/>
              </w:rPr>
              <w:t>Three Months Ended March 31, 2019</w:t>
            </w: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10,342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Balance, March 31,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10,342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21.32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0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Vested at end of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summary of assumptions used to calculate the fair values of the awards is presented below: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Ended March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31, 2019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500"/>
        <w:spacing w:after="0" w:line="251" w:lineRule="auto"/>
        <w:rPr>
          <w:sz w:val="20"/>
          <w:szCs w:val="20"/>
          <w:color w:val="auto"/>
        </w:rPr>
      </w:pPr>
      <w:r>
        <w:rPr>
          <w:rFonts w:ascii="Arial" w:cs="Arial" w:eastAsia="Arial" w:hAnsi="Arial"/>
          <w:sz w:val="22"/>
          <w:szCs w:val="22"/>
          <w:color w:val="auto"/>
        </w:rPr>
        <w:t>Further, on January 16, 2019, the Company approved the conversion of its previously issued SARs to stock options. There were 1,401,000 outstanding SARs that were converted effective as of May 6, 2019.</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Restricted Stock Awards and Units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A summary of activity in the Plan during the three months ended March 31, 2019:</w:t>
      </w: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of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392"/>
        </w:trPr>
        <w:tc>
          <w:tcPr>
            <w:tcW w:w="6220" w:type="dxa"/>
            <w:vAlign w:val="bottom"/>
            <w:gridSpan w:val="3"/>
          </w:tcPr>
          <w:p>
            <w:pPr>
              <w:spacing w:after="0"/>
              <w:rPr>
                <w:sz w:val="20"/>
                <w:szCs w:val="20"/>
                <w:color w:val="auto"/>
              </w:rPr>
            </w:pPr>
            <w:r>
              <w:rPr>
                <w:rFonts w:ascii="Arial" w:cs="Arial" w:eastAsia="Arial" w:hAnsi="Arial"/>
                <w:sz w:val="18"/>
                <w:szCs w:val="18"/>
                <w:color w:val="auto"/>
              </w:rPr>
              <w:t>Three Months Ended March 31, 2019</w:t>
            </w: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52,764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Balance, March 31, 2019</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52,764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19.41</w:t>
            </w:r>
          </w:p>
        </w:tc>
        <w:tc>
          <w:tcPr>
            <w:tcW w:w="0" w:type="dxa"/>
            <w:vAlign w:val="bottom"/>
          </w:tcPr>
          <w:p>
            <w:pPr>
              <w:spacing w:after="0"/>
              <w:rPr>
                <w:sz w:val="1"/>
                <w:szCs w:val="1"/>
                <w:color w:val="auto"/>
              </w:rPr>
            </w:pPr>
          </w:p>
        </w:tc>
      </w:tr>
      <w:tr>
        <w:trPr>
          <w:trHeight w:val="21"/>
        </w:trPr>
        <w:tc>
          <w:tcPr>
            <w:tcW w:w="27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Exercisable at end of period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0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Vested at end of period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500"/>
        <w:spacing w:after="0" w:line="328" w:lineRule="auto"/>
        <w:rPr>
          <w:sz w:val="20"/>
          <w:szCs w:val="20"/>
          <w:color w:val="auto"/>
        </w:rPr>
      </w:pPr>
      <w:r>
        <w:rPr>
          <w:rFonts w:ascii="Arial" w:cs="Arial" w:eastAsia="Arial" w:hAnsi="Arial"/>
          <w:sz w:val="19"/>
          <w:szCs w:val="19"/>
          <w:color w:val="auto"/>
        </w:rPr>
        <w:t>Restricted stock granted typically vests over five years, but vesting periods may vary. Compensation expense for these grants will be recognized over the vesting period of the awards based on the fair value of the stock at the issue date.</w:t>
      </w:r>
    </w:p>
    <w:p>
      <w:pPr>
        <w:spacing w:after="0" w:line="132" w:lineRule="exact"/>
        <w:rPr>
          <w:sz w:val="20"/>
          <w:szCs w:val="20"/>
          <w:color w:val="auto"/>
        </w:rPr>
      </w:pPr>
    </w:p>
    <w:p>
      <w:pPr>
        <w:jc w:val="both"/>
        <w:ind w:left="500" w:right="20"/>
        <w:spacing w:after="0" w:line="251" w:lineRule="auto"/>
        <w:rPr>
          <w:sz w:val="20"/>
          <w:szCs w:val="20"/>
          <w:color w:val="auto"/>
        </w:rPr>
      </w:pPr>
      <w:r>
        <w:rPr>
          <w:rFonts w:ascii="Arial" w:cs="Arial" w:eastAsia="Arial" w:hAnsi="Arial"/>
          <w:sz w:val="22"/>
          <w:szCs w:val="22"/>
          <w:color w:val="auto"/>
        </w:rPr>
        <w:t>The total unrecognized compensation cost for the awards outstanding under the Plan at March 31, 2019 was $1.2 million and will be recognized over a weighted average remaining period of 2.30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22"/>
          <w:szCs w:val="22"/>
          <w:i w:val="1"/>
          <w:iCs w:val="1"/>
          <w:u w:val="single" w:color="auto"/>
          <w:color w:val="auto"/>
        </w:rPr>
        <w:t>Employment Agreement</w:t>
      </w:r>
    </w:p>
    <w:p>
      <w:pPr>
        <w:spacing w:after="0" w:line="8" w:lineRule="exact"/>
        <w:rPr>
          <w:sz w:val="20"/>
          <w:szCs w:val="20"/>
          <w:color w:val="auto"/>
        </w:rPr>
      </w:pPr>
    </w:p>
    <w:p>
      <w:pPr>
        <w:jc w:val="both"/>
        <w:ind w:left="500"/>
        <w:spacing w:after="0" w:line="270" w:lineRule="auto"/>
        <w:rPr>
          <w:sz w:val="20"/>
          <w:szCs w:val="20"/>
          <w:color w:val="auto"/>
        </w:rPr>
      </w:pPr>
      <w:r>
        <w:rPr>
          <w:rFonts w:ascii="Arial" w:cs="Arial" w:eastAsia="Arial" w:hAnsi="Arial"/>
          <w:sz w:val="19"/>
          <w:szCs w:val="19"/>
          <w:color w:val="auto"/>
        </w:rPr>
        <w:t>Effective March 6, 2019, the Company entered into an employment agreement with its President. The employment agreement has an initial term of three years and will automatically renew for additional three-year terms, unless the Company or the President provides 90-days’ advance notice of non-renewal. In the event that the President’s employment is terminated by the Company without cause or by the President for good reason, each as defined in the employment agreement, the employment agreement provides that he will receive severance equal to two times the sum of his annual base salary and annual target cash incentive bonus and a lump sum payment equal to 24 months’ of the monthly premiums to continue existing healthcare coverage under the Consolidated Omnibus Budget Reconciliation Act (“COBRA”). If such involuntary termination occurs within the 24-month period following a change in control, as defined in the employment agreement, in lieu of the foregoing, the severance due would be three times the sum of annual base salary and annual target cash incentive bonus and a lump sum payment equal to 36 months’ of the monthly premiums to continue existing healthcare coverage under COBRA. Additionally, any equity and phantom equity awards would fully vest upon any termination of employment by the Company without cause or by the President for good reason.</w:t>
      </w:r>
    </w:p>
    <w:p>
      <w:pPr>
        <w:spacing w:after="0" w:line="200"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245" w:lineRule="exact"/>
        <w:rPr>
          <w:sz w:val="20"/>
          <w:szCs w:val="20"/>
          <w:color w:val="auto"/>
        </w:rPr>
      </w:pPr>
    </w:p>
    <w:p>
      <w:pPr>
        <w:jc w:val="both"/>
        <w:ind w:left="500"/>
        <w:spacing w:after="0" w:line="248" w:lineRule="auto"/>
        <w:rPr>
          <w:sz w:val="20"/>
          <w:szCs w:val="20"/>
          <w:color w:val="auto"/>
        </w:rPr>
      </w:pPr>
      <w:r>
        <w:rPr>
          <w:rFonts w:ascii="Arial" w:cs="Arial" w:eastAsia="Arial" w:hAnsi="Arial"/>
          <w:sz w:val="21"/>
          <w:szCs w:val="21"/>
          <w:i w:val="1"/>
          <w:iCs w:val="1"/>
          <w:u w:val="single" w:color="auto"/>
          <w:color w:val="auto"/>
        </w:rPr>
        <w:t>Financial instruments with off-balance-sheet risk</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is a party to financial instruments with off-balance-sheet</w:t>
      </w:r>
      <w:r>
        <w:rPr>
          <w:rFonts w:ascii="Arial" w:cs="Arial" w:eastAsia="Arial" w:hAnsi="Arial"/>
          <w:sz w:val="21"/>
          <w:szCs w:val="21"/>
          <w:i w:val="1"/>
          <w:iCs w:val="1"/>
          <w:color w:val="auto"/>
        </w:rPr>
        <w:t xml:space="preserve"> </w:t>
      </w:r>
      <w:r>
        <w:rPr>
          <w:rFonts w:ascii="Arial" w:cs="Arial" w:eastAsia="Arial" w:hAnsi="Arial"/>
          <w:sz w:val="21"/>
          <w:szCs w:val="21"/>
          <w:color w:val="auto"/>
        </w:rPr>
        <w:t>risk in 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Company’s consolidated financial statements.The Company’s exposure to credit loss is represented by the contractual amount of these commitments. The Company follows the same credit policies in making commitments as it does for recorded instruments.</w:t>
      </w:r>
    </w:p>
    <w:p>
      <w:pPr>
        <w:sectPr>
          <w:pgSz w:w="11900" w:h="16838" w:orient="portrait"/>
          <w:cols w:equalWidth="0" w:num="1">
            <w:col w:w="11420"/>
          </w:cols>
          <w:pgMar w:left="240" w:top="121"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Financial instruments whose contract amounts represent credit risk outstanding follow: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w w:val="94"/>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December 31,</w:t>
            </w:r>
          </w:p>
        </w:tc>
      </w:tr>
      <w:tr>
        <w:trPr>
          <w:trHeight w:val="237"/>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8"/>
              </w:rPr>
              <w:t>Commitments to grant loans and unfunded commitments under lines of credit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346,245</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5,062</w:t>
            </w:r>
          </w:p>
        </w:tc>
      </w:tr>
    </w:tbl>
    <w:p>
      <w:pPr>
        <w:spacing w:after="0" w:line="207" w:lineRule="exact"/>
        <w:rPr>
          <w:sz w:val="20"/>
          <w:szCs w:val="20"/>
          <w:color w:val="auto"/>
        </w:rPr>
      </w:pPr>
    </w:p>
    <w:p>
      <w:pPr>
        <w:jc w:val="both"/>
        <w:ind w:left="500"/>
        <w:spacing w:after="0" w:line="249" w:lineRule="auto"/>
        <w:rPr>
          <w:sz w:val="20"/>
          <w:szCs w:val="20"/>
          <w:color w:val="auto"/>
        </w:rPr>
      </w:pPr>
      <w:r>
        <w:rPr>
          <w:rFonts w:ascii="Arial" w:cs="Arial" w:eastAsia="Arial" w:hAnsi="Arial"/>
          <w:sz w:val="21"/>
          <w:szCs w:val="21"/>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206"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normal course of business.</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believes that the ultimate liability, if any, arising from these matters will not materially affect the Company’s consolidated financial statements.</w:t>
      </w:r>
    </w:p>
    <w:p>
      <w:pPr>
        <w:spacing w:after="0" w:line="213"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i w:val="1"/>
          <w:iCs w:val="1"/>
          <w:u w:val="single" w:color="auto"/>
          <w:color w:val="auto"/>
        </w:rPr>
        <w:t>FHLB Letters of Credit</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uses letters of credit to pledge to certain public deposits. The balance of these letters</w:t>
      </w:r>
      <w:r>
        <w:rPr>
          <w:rFonts w:ascii="Arial" w:cs="Arial" w:eastAsia="Arial" w:hAnsi="Arial"/>
          <w:sz w:val="22"/>
          <w:szCs w:val="22"/>
          <w:i w:val="1"/>
          <w:iCs w:val="1"/>
          <w:color w:val="auto"/>
        </w:rPr>
        <w:t xml:space="preserve"> </w:t>
      </w:r>
      <w:r>
        <w:rPr>
          <w:rFonts w:ascii="Arial" w:cs="Arial" w:eastAsia="Arial" w:hAnsi="Arial"/>
          <w:sz w:val="22"/>
          <w:szCs w:val="22"/>
          <w:color w:val="auto"/>
        </w:rPr>
        <w:t>of credit was $199.0 million at March 31, 2019 and December 31, 2018, respectively.</w:t>
      </w:r>
    </w:p>
    <w:p>
      <w:pPr>
        <w:spacing w:after="0" w:line="203"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 AND REGULATORY MATTERS</w:t>
      </w:r>
    </w:p>
    <w:p>
      <w:pPr>
        <w:spacing w:after="0" w:line="249" w:lineRule="exact"/>
        <w:rPr>
          <w:sz w:val="20"/>
          <w:szCs w:val="20"/>
          <w:color w:val="auto"/>
        </w:rPr>
      </w:pPr>
    </w:p>
    <w:p>
      <w:pPr>
        <w:jc w:val="both"/>
        <w:ind w:left="500"/>
        <w:spacing w:after="0" w:line="275" w:lineRule="auto"/>
        <w:rPr>
          <w:sz w:val="20"/>
          <w:szCs w:val="20"/>
          <w:color w:val="auto"/>
        </w:rPr>
      </w:pPr>
      <w:r>
        <w:rPr>
          <w:rFonts w:ascii="Arial" w:cs="Arial" w:eastAsia="Arial" w:hAnsi="Arial"/>
          <w:sz w:val="19"/>
          <w:szCs w:val="19"/>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185" w:lineRule="exact"/>
        <w:rPr>
          <w:sz w:val="20"/>
          <w:szCs w:val="20"/>
          <w:color w:val="auto"/>
        </w:rPr>
      </w:pPr>
    </w:p>
    <w:p>
      <w:pPr>
        <w:jc w:val="both"/>
        <w:ind w:left="500"/>
        <w:spacing w:after="0" w:line="276" w:lineRule="auto"/>
        <w:rPr>
          <w:sz w:val="20"/>
          <w:szCs w:val="20"/>
          <w:color w:val="auto"/>
        </w:rPr>
      </w:pPr>
      <w:r>
        <w:rPr>
          <w:rFonts w:ascii="Arial" w:cs="Arial" w:eastAsia="Arial" w:hAnsi="Arial"/>
          <w:sz w:val="19"/>
          <w:szCs w:val="19"/>
          <w:color w:val="auto"/>
        </w:rPr>
        <w:t>In July 2013, the Federal Reserve Board published final rules for the adoption of the Basel III regulatory capital framework (“Basel III”). Basel III, among other things, (i) introduced a new capital measure called Common Equity Tier 1 (“CET1”),</w:t>
      </w:r>
    </w:p>
    <w:p>
      <w:pPr>
        <w:spacing w:after="0" w:line="2"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9"/>
          <w:szCs w:val="19"/>
          <w:color w:val="auto"/>
        </w:rPr>
      </w:pPr>
      <w:r>
        <w:rPr>
          <w:rFonts w:ascii="Arial" w:cs="Arial" w:eastAsia="Arial" w:hAnsi="Arial"/>
          <w:sz w:val="19"/>
          <w:szCs w:val="19"/>
          <w:color w:val="auto"/>
        </w:rPr>
        <w:t>specified that Tier 1 capital consists of CET1 and Additional Tier 1 Capital instruments meeting specified requirements,</w:t>
      </w:r>
    </w:p>
    <w:p>
      <w:pPr>
        <w:spacing w:after="0" w:line="24" w:lineRule="exact"/>
        <w:rPr>
          <w:rFonts w:ascii="Arial" w:cs="Arial" w:eastAsia="Arial" w:hAnsi="Arial"/>
          <w:sz w:val="19"/>
          <w:szCs w:val="19"/>
          <w:color w:val="auto"/>
        </w:rPr>
      </w:pPr>
    </w:p>
    <w:p>
      <w:pPr>
        <w:jc w:val="both"/>
        <w:ind w:left="500" w:hanging="6"/>
        <w:spacing w:after="0" w:line="233" w:lineRule="auto"/>
        <w:tabs>
          <w:tab w:leader="none" w:pos="881"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defined Common Equity Tier 1 narrowly by requiring that most deductions/adjustments to regulatory capital measures be made to CET1 and not to the other components of capital and (iv) expanded the scope of the deductions/adjustments as compared to existing regulations. Basel III became effective for the Company and its bank subsidiary on January 1, 2016 with certain transition provisions fully phased-in on January 1, 2019.</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March 31, 2019 and December 31, 2018, that the Company and its bank subsidiary met all capital adequacy requirements to which they are subject.</w:t>
      </w:r>
    </w:p>
    <w:p>
      <w:pPr>
        <w:spacing w:after="0" w:line="215"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As of March 31, 2019,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March 31, 2019 that management believes have changed the bank subsidiary’s category.</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left="470"/>
              <w:spacing w:after="0"/>
              <w:rPr>
                <w:sz w:val="20"/>
                <w:szCs w:val="20"/>
                <w:color w:val="auto"/>
              </w:rPr>
            </w:pPr>
            <w:r>
              <w:rPr>
                <w:rFonts w:ascii="Arial" w:cs="Arial" w:eastAsia="Arial" w:hAnsi="Arial"/>
                <w:sz w:val="18"/>
                <w:szCs w:val="18"/>
                <w:i w:val="1"/>
                <w:iCs w:val="1"/>
                <w:color w:val="auto"/>
                <w:w w:val="88"/>
              </w:rPr>
              <w:t>To Be Well</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ind w:left="240"/>
              <w:spacing w:after="0"/>
              <w:rPr>
                <w:sz w:val="20"/>
                <w:szCs w:val="20"/>
                <w:color w:val="auto"/>
              </w:rPr>
            </w:pPr>
            <w:r>
              <w:rPr>
                <w:rFonts w:ascii="Arial" w:cs="Arial" w:eastAsia="Arial" w:hAnsi="Arial"/>
                <w:sz w:val="18"/>
                <w:szCs w:val="18"/>
                <w:i w:val="1"/>
                <w:iCs w:val="1"/>
                <w:color w:val="auto"/>
              </w:rPr>
              <w:t>Minimum Required</w:t>
            </w:r>
          </w:p>
        </w:tc>
        <w:tc>
          <w:tcPr>
            <w:tcW w:w="16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i w:val="1"/>
                <w:iCs w:val="1"/>
                <w:color w:val="auto"/>
                <w:w w:val="93"/>
              </w:rPr>
              <w:t>Capitalized Under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4"/>
          </w:tcPr>
          <w:p>
            <w:pPr>
              <w:jc w:val="center"/>
              <w:ind w:right="380"/>
              <w:spacing w:after="0"/>
              <w:rPr>
                <w:sz w:val="20"/>
                <w:szCs w:val="20"/>
                <w:color w:val="auto"/>
              </w:rPr>
            </w:pPr>
            <w:r>
              <w:rPr>
                <w:rFonts w:ascii="Arial" w:cs="Arial" w:eastAsia="Arial" w:hAnsi="Arial"/>
                <w:sz w:val="18"/>
                <w:szCs w:val="18"/>
                <w:i w:val="1"/>
                <w:iCs w:val="1"/>
                <w:color w:val="auto"/>
                <w:w w:val="95"/>
              </w:rPr>
              <w:t>Under BASEL III</w:t>
            </w:r>
          </w:p>
        </w:tc>
        <w:tc>
          <w:tcPr>
            <w:tcW w:w="160" w:type="dxa"/>
            <w:vAlign w:val="bottom"/>
          </w:tcPr>
          <w:p>
            <w:pPr>
              <w:spacing w:after="0"/>
              <w:rPr>
                <w:sz w:val="18"/>
                <w:szCs w:val="18"/>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i w:val="1"/>
                <w:iCs w:val="1"/>
                <w:color w:val="auto"/>
                <w:w w:val="92"/>
              </w:rPr>
              <w:t>Prompt Corrective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3"/>
          </w:tcPr>
          <w:p>
            <w:pPr>
              <w:ind w:left="680"/>
              <w:spacing w:after="0"/>
              <w:rPr>
                <w:sz w:val="20"/>
                <w:szCs w:val="20"/>
                <w:color w:val="auto"/>
              </w:rPr>
            </w:pPr>
            <w:r>
              <w:rPr>
                <w:rFonts w:ascii="Arial" w:cs="Arial" w:eastAsia="Arial" w:hAnsi="Arial"/>
                <w:sz w:val="18"/>
                <w:szCs w:val="18"/>
                <w:i w:val="1"/>
                <w:iCs w:val="1"/>
                <w:color w:val="auto"/>
              </w:rPr>
              <w:t>Actual</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4"/>
          </w:tcPr>
          <w:p>
            <w:pPr>
              <w:jc w:val="center"/>
              <w:ind w:right="400"/>
              <w:spacing w:after="0"/>
              <w:rPr>
                <w:sz w:val="20"/>
                <w:szCs w:val="20"/>
                <w:color w:val="auto"/>
              </w:rPr>
            </w:pPr>
            <w:r>
              <w:rPr>
                <w:rFonts w:ascii="Arial" w:cs="Arial" w:eastAsia="Arial" w:hAnsi="Arial"/>
                <w:sz w:val="18"/>
                <w:szCs w:val="18"/>
                <w:i w:val="1"/>
                <w:iCs w:val="1"/>
                <w:color w:val="auto"/>
                <w:w w:val="92"/>
              </w:rPr>
              <w:t>Fully Phased-In</w:t>
            </w:r>
          </w:p>
        </w:tc>
        <w:tc>
          <w:tcPr>
            <w:tcW w:w="16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i w:val="1"/>
                <w:iCs w:val="1"/>
                <w:color w:val="auto"/>
                <w:w w:val="91"/>
              </w:rPr>
              <w:t>Action Provisions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i w:val="1"/>
                <w:iCs w:val="1"/>
                <w:color w:val="auto"/>
              </w:rPr>
              <w:t>Amount</w:t>
            </w:r>
          </w:p>
        </w:tc>
        <w:tc>
          <w:tcPr>
            <w:tcW w:w="740" w:type="dxa"/>
            <w:vAlign w:val="bottom"/>
            <w:tcBorders>
              <w:top w:val="single" w:sz="8" w:color="auto"/>
            </w:tcBorders>
          </w:tcPr>
          <w:p>
            <w:pPr>
              <w:ind w:left="60"/>
              <w:spacing w:after="0"/>
              <w:rPr>
                <w:sz w:val="20"/>
                <w:szCs w:val="20"/>
                <w:color w:val="auto"/>
              </w:rPr>
            </w:pPr>
            <w:r>
              <w:rPr>
                <w:rFonts w:ascii="Arial" w:cs="Arial" w:eastAsia="Arial" w:hAnsi="Arial"/>
                <w:sz w:val="18"/>
                <w:szCs w:val="18"/>
                <w:i w:val="1"/>
                <w:iCs w:val="1"/>
                <w:color w:val="auto"/>
              </w:rPr>
              <w:t>Ratio</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Amount</w:t>
            </w:r>
          </w:p>
        </w:tc>
        <w:tc>
          <w:tcPr>
            <w:tcW w:w="980" w:type="dxa"/>
            <w:vAlign w:val="bottom"/>
            <w:tcBorders>
              <w:top w:val="single" w:sz="8" w:color="auto"/>
            </w:tcBorders>
          </w:tcPr>
          <w:p>
            <w:pPr>
              <w:ind w:left="300"/>
              <w:spacing w:after="0"/>
              <w:rPr>
                <w:sz w:val="20"/>
                <w:szCs w:val="20"/>
                <w:color w:val="auto"/>
              </w:rPr>
            </w:pPr>
            <w:r>
              <w:rPr>
                <w:rFonts w:ascii="Arial" w:cs="Arial" w:eastAsia="Arial" w:hAnsi="Arial"/>
                <w:sz w:val="18"/>
                <w:szCs w:val="18"/>
                <w:i w:val="1"/>
                <w:iCs w:val="1"/>
                <w:color w:val="auto"/>
              </w:rPr>
              <w:t>Ratio</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i w:val="1"/>
                <w:iCs w:val="1"/>
                <w:color w:val="auto"/>
              </w:rPr>
              <w:t>Amount</w:t>
            </w:r>
          </w:p>
        </w:tc>
        <w:tc>
          <w:tcPr>
            <w:tcW w:w="7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i w:val="1"/>
                <w:iCs w:val="1"/>
                <w:color w:val="auto"/>
                <w:w w:val="90"/>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spacing w:after="0"/>
              <w:rPr>
                <w:sz w:val="20"/>
                <w:szCs w:val="20"/>
                <w:color w:val="auto"/>
              </w:rPr>
            </w:pPr>
            <w:r>
              <w:rPr>
                <w:rFonts w:ascii="Arial" w:cs="Arial" w:eastAsia="Arial" w:hAnsi="Arial"/>
                <w:sz w:val="18"/>
                <w:szCs w:val="18"/>
                <w:color w:val="auto"/>
                <w:w w:val="97"/>
              </w:rPr>
              <w:t>Total Capital to Risk Weighted Assets: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313,545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223,296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299,764</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223,220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212,591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w w:val="97"/>
              </w:rPr>
              <w:t>Tier I Capital to Risk Weighted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263,512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180,763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276,203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180,702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170,072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Common Tier 1 (CET1):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218,512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148,864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276,203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148,813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138,184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263,512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108,707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City Bank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276,203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108,619</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135,773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Total Capital to Risk Weighted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Consolidated</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309,798</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214,301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294,572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214,246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216,958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7"/>
              </w:rPr>
              <w:t>Tier I Capital to Risk Weighted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260,020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170,898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170,855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173,567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215,020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138,346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138,311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141,023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Consolidated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260,020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108,033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107,940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17"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49" w:lineRule="exact"/>
        <w:rPr>
          <w:sz w:val="20"/>
          <w:szCs w:val="20"/>
          <w:color w:val="auto"/>
        </w:rPr>
      </w:pPr>
    </w:p>
    <w:p>
      <w:pPr>
        <w:jc w:val="both"/>
        <w:ind w:left="500"/>
        <w:spacing w:after="0" w:line="238" w:lineRule="auto"/>
        <w:rPr>
          <w:sz w:val="20"/>
          <w:szCs w:val="20"/>
          <w:color w:val="auto"/>
        </w:rPr>
      </w:pPr>
      <w:r>
        <w:rPr>
          <w:rFonts w:ascii="Arial" w:cs="Arial" w:eastAsia="Arial" w:hAnsi="Arial"/>
          <w:sz w:val="22"/>
          <w:szCs w:val="22"/>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reflects the fair value hedges included in the consolidated balance sheets: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40" w:type="dxa"/>
            <w:vAlign w:val="bottom"/>
            <w:gridSpan w:val="3"/>
          </w:tcPr>
          <w:p>
            <w:pPr>
              <w:jc w:val="right"/>
              <w:ind w:right="250"/>
              <w:spacing w:after="0"/>
              <w:rPr>
                <w:sz w:val="20"/>
                <w:szCs w:val="20"/>
                <w:color w:val="auto"/>
              </w:rPr>
            </w:pPr>
            <w:r>
              <w:rPr>
                <w:rFonts w:ascii="Arial" w:cs="Arial" w:eastAsia="Arial" w:hAnsi="Arial"/>
                <w:sz w:val="18"/>
                <w:szCs w:val="18"/>
                <w:color w:val="auto"/>
              </w:rPr>
              <w:t>March 31, 2019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Notional</w:t>
            </w:r>
          </w:p>
        </w:tc>
        <w:tc>
          <w:tcPr>
            <w:tcW w:w="840" w:type="dxa"/>
            <w:vAlign w:val="bottom"/>
            <w:tcBorders>
              <w:top w:val="single" w:sz="8" w:color="auto"/>
            </w:tcBorders>
          </w:tcPr>
          <w:p>
            <w:pPr>
              <w:jc w:val="right"/>
              <w:ind w:right="50"/>
              <w:spacing w:after="0" w:line="201" w:lineRule="exact"/>
              <w:rPr>
                <w:sz w:val="20"/>
                <w:szCs w:val="20"/>
                <w:color w:val="auto"/>
              </w:rPr>
            </w:pPr>
            <w:r>
              <w:rPr>
                <w:rFonts w:ascii="Arial" w:cs="Arial" w:eastAsia="Arial" w:hAnsi="Arial"/>
                <w:sz w:val="18"/>
                <w:szCs w:val="18"/>
                <w:color w:val="auto"/>
              </w:rPr>
              <w:t>Fair</w:t>
            </w: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Notional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840" w:type="dxa"/>
            <w:vAlign w:val="bottom"/>
          </w:tcPr>
          <w:p>
            <w:pPr>
              <w:jc w:val="right"/>
              <w:spacing w:after="0"/>
              <w:rPr>
                <w:sz w:val="20"/>
                <w:szCs w:val="20"/>
                <w:color w:val="auto"/>
              </w:rPr>
            </w:pPr>
            <w:r>
              <w:rPr>
                <w:rFonts w:ascii="Arial" w:cs="Arial" w:eastAsia="Arial" w:hAnsi="Arial"/>
                <w:sz w:val="18"/>
                <w:szCs w:val="18"/>
                <w:color w:val="auto"/>
              </w:rPr>
              <w:t>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432"/>
        </w:trPr>
        <w:tc>
          <w:tcPr>
            <w:tcW w:w="4040" w:type="dxa"/>
            <w:vAlign w:val="bottom"/>
            <w:gridSpan w:val="2"/>
          </w:tcPr>
          <w:p>
            <w:pPr>
              <w:spacing w:after="0"/>
              <w:rPr>
                <w:sz w:val="20"/>
                <w:szCs w:val="20"/>
                <w:color w:val="auto"/>
              </w:rPr>
            </w:pPr>
            <w:r>
              <w:rPr>
                <w:rFonts w:ascii="Arial" w:cs="Arial" w:eastAsia="Arial" w:hAnsi="Arial"/>
                <w:sz w:val="18"/>
                <w:szCs w:val="18"/>
                <w:color w:val="auto"/>
              </w:rPr>
              <w:t>Included in other liabilities:</w:t>
            </w:r>
          </w:p>
        </w:tc>
        <w:tc>
          <w:tcPr>
            <w:tcW w:w="6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140"/>
              <w:spacing w:after="0"/>
              <w:rPr>
                <w:sz w:val="20"/>
                <w:szCs w:val="20"/>
                <w:color w:val="auto"/>
              </w:rPr>
            </w:pPr>
            <w:r>
              <w:rPr>
                <w:rFonts w:ascii="Arial" w:cs="Arial" w:eastAsia="Arial" w:hAnsi="Arial"/>
                <w:sz w:val="18"/>
                <w:szCs w:val="18"/>
                <w:color w:val="auto"/>
              </w:rPr>
              <w:t>Interest rate swaps related to fixed rate loans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9,781</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10,917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00"/>
        <w:spacing w:after="0"/>
        <w:rPr>
          <w:sz w:val="20"/>
          <w:szCs w:val="20"/>
          <w:color w:val="auto"/>
        </w:rPr>
      </w:pPr>
      <w:r>
        <w:rPr>
          <w:rFonts w:ascii="Arial" w:cs="Arial" w:eastAsia="Arial" w:hAnsi="Arial"/>
          <w:sz w:val="22"/>
          <w:szCs w:val="22"/>
          <w:u w:val="single" w:color="auto"/>
          <w:color w:val="auto"/>
        </w:rPr>
        <w:t>Mortgage banking derivatives</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color w:val="auto"/>
              </w:rPr>
              <w:t>March 31, 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5"/>
          </w:tcPr>
          <w:p>
            <w:pPr>
              <w:ind w:left="340"/>
              <w:spacing w:after="0"/>
              <w:rPr>
                <w:sz w:val="20"/>
                <w:szCs w:val="20"/>
                <w:color w:val="auto"/>
              </w:rPr>
            </w:pPr>
            <w:r>
              <w:rPr>
                <w:rFonts w:ascii="Arial" w:cs="Arial" w:eastAsia="Arial" w:hAnsi="Arial"/>
                <w:sz w:val="18"/>
                <w:szCs w:val="18"/>
                <w:color w:val="auto"/>
              </w:rPr>
              <w:t>December 31, 2018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360"/>
              <w:spacing w:after="0" w:line="201" w:lineRule="exact"/>
              <w:rPr>
                <w:sz w:val="20"/>
                <w:szCs w:val="20"/>
                <w:color w:val="auto"/>
              </w:rPr>
            </w:pPr>
            <w:r>
              <w:rPr>
                <w:rFonts w:ascii="Arial" w:cs="Arial" w:eastAsia="Arial" w:hAnsi="Arial"/>
                <w:sz w:val="18"/>
                <w:szCs w:val="18"/>
                <w:color w:val="auto"/>
                <w:w w:val="93"/>
              </w:rPr>
              <w:t>Notional</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ind w:left="60"/>
              <w:spacing w:after="0" w:line="201" w:lineRule="exact"/>
              <w:rPr>
                <w:sz w:val="20"/>
                <w:szCs w:val="20"/>
                <w:color w:val="auto"/>
              </w:rPr>
            </w:pPr>
            <w:r>
              <w:rPr>
                <w:rFonts w:ascii="Arial" w:cs="Arial" w:eastAsia="Arial" w:hAnsi="Arial"/>
                <w:sz w:val="18"/>
                <w:szCs w:val="18"/>
                <w:color w:val="auto"/>
              </w:rPr>
              <w:t>Notional</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22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Included in other assets:</w:t>
            </w: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Interest rate lock commitments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46,891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8"/>
                <w:szCs w:val="18"/>
                <w:color w:val="auto"/>
              </w:rPr>
              <w:t>Total included in other assets</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58,397</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46,891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w w:val="94"/>
              </w:rPr>
              <w:t>Forward contracts related to mortgage loans held for sale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52,671</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4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rate lock commitments</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included in other liabilities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52,671</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54,998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500" w:type="dxa"/>
            <w:vAlign w:val="bottom"/>
          </w:tcPr>
          <w:p>
            <w:pPr>
              <w:spacing w:after="0"/>
              <w:rPr>
                <w:sz w:val="24"/>
                <w:szCs w:val="24"/>
                <w:color w:val="auto"/>
              </w:rPr>
            </w:pPr>
          </w:p>
        </w:tc>
        <w:tc>
          <w:tcPr>
            <w:tcW w:w="44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32"/>
              <w:spacing w:after="0"/>
              <w:rPr>
                <w:sz w:val="20"/>
                <w:szCs w:val="20"/>
                <w:color w:val="auto"/>
              </w:rPr>
            </w:pPr>
            <w:r>
              <w:rPr>
                <w:rFonts w:ascii="Arial" w:cs="Arial" w:eastAsia="Arial" w:hAnsi="Arial"/>
                <w:sz w:val="14"/>
                <w:szCs w:val="14"/>
                <w:color w:val="auto"/>
                <w:w w:val="89"/>
              </w:rPr>
              <w:t>25</w:t>
            </w:r>
          </w:p>
        </w:tc>
        <w:tc>
          <w:tcPr>
            <w:tcW w:w="1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6120" w:type="dxa"/>
            <w:vAlign w:val="bottom"/>
            <w:gridSpan w:val="3"/>
          </w:tcPr>
          <w:p>
            <w:pPr>
              <w:ind w:left="140"/>
              <w:spacing w:after="0"/>
              <w:rPr>
                <w:sz w:val="20"/>
                <w:szCs w:val="20"/>
                <w:color w:val="auto"/>
              </w:rPr>
            </w:pPr>
            <w:r>
              <w:rPr>
                <w:rFonts w:ascii="Arial" w:cs="Arial" w:eastAsia="Arial" w:hAnsi="Arial"/>
                <w:sz w:val="18"/>
                <w:szCs w:val="18"/>
                <w:b w:val="1"/>
                <w:bCs w:val="1"/>
                <w:color w:val="auto"/>
              </w:rPr>
              <w:t>EARNINGS PER SHARE</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360" w:type="dxa"/>
            <w:vAlign w:val="bottom"/>
          </w:tcPr>
          <w:p>
            <w:pPr>
              <w:spacing w:after="0"/>
              <w:rPr>
                <w:sz w:val="24"/>
                <w:szCs w:val="24"/>
                <w:color w:val="auto"/>
              </w:rPr>
            </w:pPr>
          </w:p>
        </w:tc>
        <w:tc>
          <w:tcPr>
            <w:tcW w:w="6120" w:type="dxa"/>
            <w:vAlign w:val="bottom"/>
            <w:gridSpan w:val="3"/>
          </w:tcPr>
          <w:p>
            <w:pPr>
              <w:ind w:left="140"/>
              <w:spacing w:after="0"/>
              <w:rPr>
                <w:sz w:val="20"/>
                <w:szCs w:val="20"/>
                <w:color w:val="auto"/>
              </w:rPr>
            </w:pPr>
            <w:r>
              <w:rPr>
                <w:rFonts w:ascii="Arial" w:cs="Arial" w:eastAsia="Arial" w:hAnsi="Arial"/>
                <w:sz w:val="22"/>
                <w:szCs w:val="22"/>
                <w:color w:val="auto"/>
                <w:w w:val="98"/>
              </w:rPr>
              <w:t>The factors used in the earnings per share computation follow:</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8"/>
          </w:tcPr>
          <w:p>
            <w:pPr>
              <w:jc w:val="right"/>
              <w:ind w:right="140"/>
              <w:spacing w:after="0"/>
              <w:rPr>
                <w:sz w:val="20"/>
                <w:szCs w:val="20"/>
                <w:color w:val="auto"/>
              </w:rPr>
            </w:pPr>
            <w:r>
              <w:rPr>
                <w:rFonts w:ascii="Arial" w:cs="Arial" w:eastAsia="Arial" w:hAnsi="Arial"/>
                <w:sz w:val="18"/>
                <w:szCs w:val="18"/>
                <w:color w:val="auto"/>
                <w:w w:val="91"/>
              </w:rPr>
              <w:t>Three Months Ended March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 - basic</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14,771,520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14,771,520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Effect of dilutive securities: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Stock-based compensation awards</w:t>
            </w: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 - diluted</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14,771,558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14,771,520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tcPr>
          <w:p>
            <w:pPr>
              <w:ind w:left="160"/>
              <w:spacing w:after="0"/>
              <w:rPr>
                <w:sz w:val="20"/>
                <w:szCs w:val="20"/>
                <w:color w:val="auto"/>
              </w:rPr>
            </w:pPr>
            <w:r>
              <w:rPr>
                <w:rFonts w:ascii="Arial" w:cs="Arial" w:eastAsia="Arial" w:hAnsi="Arial"/>
                <w:sz w:val="18"/>
                <w:szCs w:val="18"/>
                <w:color w:val="auto"/>
              </w:rPr>
              <w:t>Basic earnings per share</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spacing w:after="0"/>
              <w:rPr>
                <w:sz w:val="18"/>
                <w:szCs w:val="18"/>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 earnings per share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0"/>
                <w:szCs w:val="20"/>
                <w:color w:val="auto"/>
              </w:rPr>
            </w:pPr>
            <w:r>
              <w:rPr>
                <w:rFonts w:ascii="Arial" w:cs="Arial" w:eastAsia="Arial" w:hAnsi="Arial"/>
                <w:sz w:val="18"/>
                <w:szCs w:val="18"/>
                <w:b w:val="1"/>
                <w:bCs w:val="1"/>
                <w:color w:val="auto"/>
              </w:rPr>
              <w:t>11.</w:t>
            </w:r>
          </w:p>
        </w:tc>
        <w:tc>
          <w:tcPr>
            <w:tcW w:w="6120" w:type="dxa"/>
            <w:vAlign w:val="bottom"/>
            <w:gridSpan w:val="3"/>
          </w:tcPr>
          <w:p>
            <w:pPr>
              <w:ind w:left="140"/>
              <w:spacing w:after="0"/>
              <w:rPr>
                <w:sz w:val="20"/>
                <w:szCs w:val="20"/>
                <w:color w:val="auto"/>
              </w:rPr>
            </w:pPr>
            <w:r>
              <w:rPr>
                <w:rFonts w:ascii="Arial" w:cs="Arial" w:eastAsia="Arial" w:hAnsi="Arial"/>
                <w:sz w:val="18"/>
                <w:szCs w:val="18"/>
                <w:b w:val="1"/>
                <w:bCs w:val="1"/>
                <w:color w:val="auto"/>
              </w:rPr>
              <w:t>SEGMENT INFORMATION</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360" w:type="dxa"/>
            <w:vAlign w:val="bottom"/>
          </w:tcPr>
          <w:p>
            <w:pPr>
              <w:spacing w:after="0"/>
              <w:rPr>
                <w:sz w:val="24"/>
                <w:szCs w:val="24"/>
                <w:color w:val="auto"/>
              </w:rPr>
            </w:pPr>
          </w:p>
        </w:tc>
        <w:tc>
          <w:tcPr>
            <w:tcW w:w="6120" w:type="dxa"/>
            <w:vAlign w:val="bottom"/>
            <w:gridSpan w:val="3"/>
          </w:tcPr>
          <w:p>
            <w:pPr>
              <w:ind w:left="140"/>
              <w:spacing w:after="0"/>
              <w:rPr>
                <w:sz w:val="20"/>
                <w:szCs w:val="20"/>
                <w:color w:val="auto"/>
              </w:rPr>
            </w:pPr>
            <w:r>
              <w:rPr>
                <w:rFonts w:ascii="Arial" w:cs="Arial" w:eastAsia="Arial" w:hAnsi="Arial"/>
                <w:sz w:val="22"/>
                <w:szCs w:val="22"/>
                <w:color w:val="auto"/>
              </w:rPr>
              <w:t>Financial results by reportable segment are detailed below:</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360" w:type="dxa"/>
            <w:vAlign w:val="bottom"/>
          </w:tcPr>
          <w:p>
            <w:pPr>
              <w:spacing w:after="0"/>
              <w:rPr>
                <w:sz w:val="24"/>
                <w:szCs w:val="24"/>
                <w:color w:val="auto"/>
              </w:rPr>
            </w:pPr>
          </w:p>
        </w:tc>
        <w:tc>
          <w:tcPr>
            <w:tcW w:w="6120" w:type="dxa"/>
            <w:vAlign w:val="bottom"/>
            <w:gridSpan w:val="3"/>
          </w:tcPr>
          <w:p>
            <w:pPr>
              <w:ind w:left="140"/>
              <w:spacing w:after="0"/>
              <w:rPr>
                <w:sz w:val="20"/>
                <w:szCs w:val="20"/>
                <w:color w:val="auto"/>
              </w:rPr>
            </w:pPr>
            <w:r>
              <w:rPr>
                <w:rFonts w:ascii="Arial" w:cs="Arial" w:eastAsia="Arial" w:hAnsi="Arial"/>
                <w:sz w:val="18"/>
                <w:szCs w:val="18"/>
                <w:color w:val="auto"/>
              </w:rPr>
              <w:t>Three months ended March 31, 2019</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Banking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Insurance</w:t>
            </w:r>
          </w:p>
        </w:tc>
        <w:tc>
          <w:tcPr>
            <w:tcW w:w="40" w:type="dxa"/>
            <w:vAlign w:val="bottom"/>
          </w:tcPr>
          <w:p>
            <w:pPr>
              <w:spacing w:after="0"/>
              <w:rPr>
                <w:sz w:val="24"/>
                <w:szCs w:val="2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Consolidated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24,546</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(608)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10,371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12,075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(29,073)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(963)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(30,036)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5,236</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(1,140)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(1,204)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360" w:type="dxa"/>
            <w:vAlign w:val="bottom"/>
          </w:tcPr>
          <w:p>
            <w:pPr>
              <w:spacing w:after="0"/>
              <w:rPr>
                <w:sz w:val="24"/>
                <w:szCs w:val="24"/>
                <w:color w:val="auto"/>
              </w:rPr>
            </w:pPr>
          </w:p>
        </w:tc>
        <w:tc>
          <w:tcPr>
            <w:tcW w:w="6120" w:type="dxa"/>
            <w:vAlign w:val="bottom"/>
            <w:gridSpan w:val="3"/>
          </w:tcPr>
          <w:p>
            <w:pPr>
              <w:ind w:left="140"/>
              <w:spacing w:after="0"/>
              <w:rPr>
                <w:sz w:val="20"/>
                <w:szCs w:val="20"/>
                <w:color w:val="auto"/>
              </w:rPr>
            </w:pPr>
            <w:r>
              <w:rPr>
                <w:rFonts w:ascii="Arial" w:cs="Arial" w:eastAsia="Arial" w:hAnsi="Arial"/>
                <w:sz w:val="18"/>
                <w:szCs w:val="18"/>
                <w:color w:val="auto"/>
              </w:rPr>
              <w:t>Three months ended March 31, 2018</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Banking</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Insurance</w:t>
            </w:r>
          </w:p>
        </w:tc>
        <w:tc>
          <w:tcPr>
            <w:tcW w:w="40" w:type="dxa"/>
            <w:vAlign w:val="bottom"/>
          </w:tcPr>
          <w:p>
            <w:pPr>
              <w:spacing w:after="0"/>
              <w:rPr>
                <w:sz w:val="24"/>
                <w:szCs w:val="2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Consolidated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60" w:type="dxa"/>
            <w:vAlign w:val="bottom"/>
            <w:tcBorders>
              <w:top w:val="single" w:sz="8" w:color="auto"/>
            </w:tcBorders>
          </w:tcPr>
          <w:p>
            <w:pPr>
              <w:spacing w:after="0"/>
              <w:rPr>
                <w:sz w:val="2"/>
                <w:szCs w:val="2"/>
                <w:color w:val="auto"/>
              </w:rPr>
            </w:pPr>
          </w:p>
        </w:tc>
        <w:tc>
          <w:tcPr>
            <w:tcW w:w="3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22,718</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(778)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(26,954)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(923)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(27,877)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5,121</w:t>
            </w: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restart"/>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5,091</w:t>
            </w: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18"/>
                <w:szCs w:val="18"/>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6120" w:type="dxa"/>
            <w:vAlign w:val="bottom"/>
            <w:gridSpan w:val="3"/>
            <w:vMerge w:val="restart"/>
          </w:tcPr>
          <w:p>
            <w:pPr>
              <w:ind w:left="5280"/>
              <w:spacing w:after="0"/>
              <w:rPr>
                <w:sz w:val="20"/>
                <w:szCs w:val="20"/>
                <w:color w:val="auto"/>
              </w:rPr>
            </w:pPr>
            <w:r>
              <w:rPr>
                <w:rFonts w:ascii="Arial" w:cs="Arial" w:eastAsia="Arial" w:hAnsi="Arial"/>
                <w:sz w:val="14"/>
                <w:szCs w:val="14"/>
                <w:color w:val="auto"/>
              </w:rPr>
              <w:t>26</w:t>
            </w: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360" w:type="dxa"/>
            <w:vAlign w:val="bottom"/>
          </w:tcPr>
          <w:p>
            <w:pPr>
              <w:spacing w:after="0"/>
              <w:rPr>
                <w:sz w:val="24"/>
                <w:szCs w:val="24"/>
                <w:color w:val="auto"/>
              </w:rPr>
            </w:pPr>
          </w:p>
        </w:tc>
        <w:tc>
          <w:tcPr>
            <w:tcW w:w="612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8"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DISCLOSURES</w:t>
      </w:r>
    </w:p>
    <w:p>
      <w:pPr>
        <w:spacing w:after="0" w:line="249" w:lineRule="exact"/>
        <w:rPr>
          <w:sz w:val="20"/>
          <w:szCs w:val="20"/>
          <w:color w:val="auto"/>
        </w:rPr>
      </w:pPr>
    </w:p>
    <w:p>
      <w:pPr>
        <w:jc w:val="both"/>
        <w:ind w:left="500"/>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5" w:lineRule="exact"/>
        <w:rPr>
          <w:sz w:val="20"/>
          <w:szCs w:val="20"/>
          <w:color w:val="auto"/>
        </w:rPr>
      </w:pPr>
    </w:p>
    <w:p>
      <w:pPr>
        <w:jc w:val="both"/>
        <w:ind w:left="500"/>
        <w:spacing w:after="0" w:line="272" w:lineRule="auto"/>
        <w:rPr>
          <w:sz w:val="20"/>
          <w:szCs w:val="20"/>
          <w:color w:val="auto"/>
        </w:rPr>
      </w:pPr>
      <w:r>
        <w:rPr>
          <w:rFonts w:ascii="Arial" w:cs="Arial" w:eastAsia="Arial" w:hAnsi="Arial"/>
          <w:sz w:val="19"/>
          <w:szCs w:val="19"/>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pacing w:after="0" w:line="196" w:lineRule="exact"/>
        <w:rPr>
          <w:sz w:val="20"/>
          <w:szCs w:val="20"/>
          <w:color w:val="auto"/>
        </w:rPr>
      </w:pPr>
    </w:p>
    <w:p>
      <w:pPr>
        <w:ind w:left="980" w:right="2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w:t>
      </w:r>
      <w:r>
        <w:rPr>
          <w:rFonts w:ascii="Arial" w:cs="Arial" w:eastAsia="Arial" w:hAnsi="Arial"/>
          <w:sz w:val="18"/>
          <w:szCs w:val="18"/>
          <w:i w:val="1"/>
          <w:iCs w:val="1"/>
          <w:color w:val="auto"/>
        </w:rPr>
        <w:t xml:space="preserve"> </w:t>
      </w:r>
      <w:r>
        <w:rPr>
          <w:rFonts w:ascii="Arial" w:cs="Arial" w:eastAsia="Arial" w:hAnsi="Arial"/>
          <w:sz w:val="18"/>
          <w:szCs w:val="18"/>
          <w:color w:val="auto"/>
        </w:rPr>
        <w:t>the measurement date.</w:t>
      </w:r>
    </w:p>
    <w:p>
      <w:pPr>
        <w:spacing w:after="0" w:line="197" w:lineRule="exact"/>
        <w:rPr>
          <w:rFonts w:ascii="Arial" w:cs="Arial" w:eastAsia="Arial" w:hAnsi="Arial"/>
          <w:sz w:val="18"/>
          <w:szCs w:val="18"/>
          <w:color w:val="auto"/>
        </w:rPr>
      </w:pPr>
    </w:p>
    <w:p>
      <w:pPr>
        <w:jc w:val="both"/>
        <w:ind w:left="980" w:hanging="486"/>
        <w:spacing w:after="0" w:line="30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1"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an entity’s own assumptions about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market participants would use in pricing the assets or liabilities.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summarizes fair value measurements: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0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March 31, 2019</w:t>
            </w:r>
          </w:p>
        </w:tc>
        <w:tc>
          <w:tcPr>
            <w:tcW w:w="36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w w:val="97"/>
              </w:rPr>
              <w:t>Assets (liabilities) measured at fair value on a recurring basis: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74,872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State and municipal</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32,522</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32,522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182,783</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182,783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38,545</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38,545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1,433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Liability derivatives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(770)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00" w:type="dxa"/>
            <w:vAlign w:val="bottom"/>
          </w:tcPr>
          <w:p>
            <w:pPr>
              <w:spacing w:after="0"/>
              <w:rPr>
                <w:sz w:val="24"/>
                <w:szCs w:val="24"/>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December31, 2018</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360" w:type="dxa"/>
            <w:vAlign w:val="bottom"/>
            <w:gridSpan w:val="3"/>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w w:val="97"/>
              </w:rPr>
              <w:t>Assets (liabilities) measured at fair value on a recurring basis: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Securities available for sale:</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U.S. government and agencies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74,419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10,288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ind w:left="140"/>
              <w:spacing w:after="0"/>
              <w:rPr>
                <w:sz w:val="20"/>
                <w:szCs w:val="20"/>
                <w:color w:val="auto"/>
              </w:rPr>
            </w:pPr>
            <w:r>
              <w:rPr>
                <w:rFonts w:ascii="Arial" w:cs="Arial" w:eastAsia="Arial" w:hAnsi="Arial"/>
                <w:sz w:val="18"/>
                <w:szCs w:val="18"/>
                <w:color w:val="auto"/>
              </w:rPr>
              <w:t>State and municipal</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32,310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Mortgage-backed securities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182,256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182,256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Asset-backed and other amortizing securities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38,923</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31,874</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Mortgage servicing rights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Liability derivatives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Other real estate owned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28</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200"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0" w:lineRule="exact"/>
        <w:rPr>
          <w:sz w:val="20"/>
          <w:szCs w:val="20"/>
          <w:color w:val="auto"/>
        </w:rPr>
      </w:pPr>
    </w:p>
    <w:p>
      <w:pPr>
        <w:jc w:val="both"/>
        <w:ind w:left="500"/>
        <w:spacing w:after="0" w:line="251"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pacing w:after="0" w:line="268" w:lineRule="exact"/>
        <w:rPr>
          <w:sz w:val="20"/>
          <w:szCs w:val="20"/>
          <w:color w:val="auto"/>
        </w:rPr>
      </w:pPr>
    </w:p>
    <w:p>
      <w:pPr>
        <w:jc w:val="both"/>
        <w:ind w:left="500"/>
        <w:spacing w:after="0" w:line="258" w:lineRule="auto"/>
        <w:rPr>
          <w:sz w:val="20"/>
          <w:szCs w:val="20"/>
          <w:color w:val="auto"/>
        </w:rPr>
      </w:pPr>
      <w:r>
        <w:rPr>
          <w:rFonts w:ascii="Arial" w:cs="Arial" w:eastAsia="Arial" w:hAnsi="Arial"/>
          <w:sz w:val="21"/>
          <w:szCs w:val="21"/>
          <w:u w:val="single" w:color="auto"/>
          <w:color w:val="auto"/>
        </w:rPr>
        <w:t>Impaired loans</w:t>
      </w:r>
      <w:r>
        <w:rPr>
          <w:rFonts w:ascii="Arial" w:cs="Arial" w:eastAsia="Arial" w:hAnsi="Arial"/>
          <w:sz w:val="21"/>
          <w:szCs w:val="21"/>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194" w:lineRule="exact"/>
        <w:rPr>
          <w:sz w:val="20"/>
          <w:szCs w:val="20"/>
          <w:color w:val="auto"/>
        </w:rPr>
      </w:pPr>
    </w:p>
    <w:p>
      <w:pPr>
        <w:jc w:val="both"/>
        <w:ind w:left="500"/>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ind w:left="500"/>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following table presents quantitative information about non-recurring Level 3 fair value measurements: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Range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Value</w:t>
            </w:r>
          </w:p>
        </w:tc>
        <w:tc>
          <w:tcPr>
            <w:tcW w:w="60" w:type="dxa"/>
            <w:vAlign w:val="bottom"/>
          </w:tcPr>
          <w:p>
            <w:pPr>
              <w:spacing w:after="0"/>
              <w:rPr>
                <w:sz w:val="20"/>
                <w:szCs w:val="20"/>
                <w:color w:val="auto"/>
              </w:rPr>
            </w:pPr>
          </w:p>
        </w:tc>
        <w:tc>
          <w:tcPr>
            <w:tcW w:w="2500" w:type="dxa"/>
            <w:vAlign w:val="bottom"/>
          </w:tcPr>
          <w:p>
            <w:pPr>
              <w:ind w:left="480"/>
              <w:spacing w:after="0"/>
              <w:rPr>
                <w:sz w:val="20"/>
                <w:szCs w:val="20"/>
                <w:color w:val="auto"/>
              </w:rPr>
            </w:pPr>
            <w:r>
              <w:rPr>
                <w:rFonts w:ascii="Arial" w:cs="Arial" w:eastAsia="Arial" w:hAnsi="Arial"/>
                <w:sz w:val="18"/>
                <w:szCs w:val="18"/>
                <w:color w:val="auto"/>
              </w:rPr>
              <w:t>Valuation Techniques</w:t>
            </w:r>
          </w:p>
        </w:tc>
        <w:tc>
          <w:tcPr>
            <w:tcW w:w="100" w:type="dxa"/>
            <w:vAlign w:val="bottom"/>
          </w:tcPr>
          <w:p>
            <w:pPr>
              <w:spacing w:after="0"/>
              <w:rPr>
                <w:sz w:val="20"/>
                <w:szCs w:val="20"/>
                <w:color w:val="auto"/>
              </w:rPr>
            </w:pPr>
          </w:p>
        </w:tc>
        <w:tc>
          <w:tcPr>
            <w:tcW w:w="2520" w:type="dxa"/>
            <w:vAlign w:val="bottom"/>
          </w:tcPr>
          <w:p>
            <w:pPr>
              <w:ind w:left="520"/>
              <w:spacing w:after="0"/>
              <w:rPr>
                <w:sz w:val="20"/>
                <w:szCs w:val="20"/>
                <w:color w:val="auto"/>
              </w:rPr>
            </w:pPr>
            <w:r>
              <w:rPr>
                <w:rFonts w:ascii="Arial" w:cs="Arial" w:eastAsia="Arial" w:hAnsi="Arial"/>
                <w:sz w:val="18"/>
                <w:szCs w:val="18"/>
                <w:color w:val="auto"/>
              </w:rPr>
              <w:t>Unobservable Inputs</w:t>
            </w:r>
          </w:p>
        </w:tc>
        <w:tc>
          <w:tcPr>
            <w:tcW w:w="1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Discounts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200" w:type="dxa"/>
            <w:vAlign w:val="bottom"/>
            <w:gridSpan w:val="4"/>
          </w:tcPr>
          <w:p>
            <w:pPr>
              <w:ind w:left="500"/>
              <w:spacing w:after="0"/>
              <w:rPr>
                <w:sz w:val="20"/>
                <w:szCs w:val="20"/>
                <w:color w:val="auto"/>
              </w:rPr>
            </w:pPr>
            <w:r>
              <w:rPr>
                <w:rFonts w:ascii="Arial" w:cs="Arial" w:eastAsia="Arial" w:hAnsi="Arial"/>
                <w:sz w:val="18"/>
                <w:szCs w:val="18"/>
                <w:color w:val="auto"/>
              </w:rPr>
              <w:t>March 31, 2019</w:t>
            </w: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Third party appraisals or</w:t>
            </w:r>
          </w:p>
        </w:tc>
        <w:tc>
          <w:tcPr>
            <w:tcW w:w="1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8,083</w:t>
            </w:r>
          </w:p>
        </w:tc>
        <w:tc>
          <w:tcPr>
            <w:tcW w:w="2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inspections</w:t>
            </w:r>
          </w:p>
        </w:tc>
        <w:tc>
          <w:tcPr>
            <w:tcW w:w="10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Third party appraisals or</w:t>
            </w:r>
          </w:p>
        </w:tc>
        <w:tc>
          <w:tcPr>
            <w:tcW w:w="10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ind w:left="500"/>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2,340</w:t>
            </w: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inspections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costs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0" w:type="dxa"/>
            <w:vAlign w:val="bottom"/>
            <w:vMerge w:val="continue"/>
          </w:tcPr>
          <w:p>
            <w:pPr>
              <w:spacing w:after="0"/>
              <w:rPr>
                <w:sz w:val="15"/>
                <w:szCs w:val="15"/>
                <w:color w:val="auto"/>
              </w:rPr>
            </w:pPr>
          </w:p>
        </w:tc>
        <w:tc>
          <w:tcPr>
            <w:tcW w:w="2700" w:type="dxa"/>
            <w:vAlign w:val="bottom"/>
            <w:gridSpan w:val="3"/>
          </w:tcPr>
          <w:p>
            <w:pPr>
              <w:spacing w:after="0" w:line="176" w:lineRule="exact"/>
              <w:rPr>
                <w:sz w:val="20"/>
                <w:szCs w:val="20"/>
                <w:color w:val="auto"/>
              </w:rPr>
            </w:pPr>
            <w:r>
              <w:rPr>
                <w:rFonts w:ascii="Arial" w:cs="Arial" w:eastAsia="Arial" w:hAnsi="Arial"/>
                <w:sz w:val="18"/>
                <w:szCs w:val="18"/>
                <w:color w:val="auto"/>
              </w:rPr>
              <w:t>December 31, 2018</w:t>
            </w: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0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5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Third party appraisals or</w:t>
            </w:r>
          </w:p>
        </w:tc>
        <w:tc>
          <w:tcPr>
            <w:tcW w:w="1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2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9,119</w:t>
            </w:r>
          </w:p>
        </w:tc>
        <w:tc>
          <w:tcPr>
            <w:tcW w:w="2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inspections</w:t>
            </w:r>
          </w:p>
        </w:tc>
        <w:tc>
          <w:tcPr>
            <w:tcW w:w="10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costs</w:t>
            </w:r>
          </w:p>
        </w:tc>
        <w:tc>
          <w:tcPr>
            <w:tcW w:w="13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Third party appraisals or</w:t>
            </w:r>
          </w:p>
        </w:tc>
        <w:tc>
          <w:tcPr>
            <w:tcW w:w="100" w:type="dxa"/>
            <w:vAlign w:val="bottom"/>
          </w:tcPr>
          <w:p>
            <w:pPr>
              <w:spacing w:after="0"/>
              <w:rPr>
                <w:sz w:val="17"/>
                <w:szCs w:val="17"/>
                <w:color w:val="auto"/>
              </w:rPr>
            </w:pPr>
          </w:p>
        </w:tc>
        <w:tc>
          <w:tcPr>
            <w:tcW w:w="2520" w:type="dxa"/>
            <w:vAlign w:val="bottom"/>
          </w:tcPr>
          <w:p>
            <w:pPr>
              <w:spacing w:after="0" w:line="201" w:lineRule="exact"/>
              <w:rPr>
                <w:sz w:val="20"/>
                <w:szCs w:val="20"/>
                <w:color w:val="auto"/>
              </w:rPr>
            </w:pPr>
            <w:r>
              <w:rPr>
                <w:rFonts w:ascii="Arial" w:cs="Arial" w:eastAsia="Arial" w:hAnsi="Arial"/>
                <w:sz w:val="18"/>
                <w:szCs w:val="18"/>
                <w:color w:val="auto"/>
              </w:rPr>
              <w:t>Collateral discounts and selling</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4"/>
          </w:tcPr>
          <w:p>
            <w:pPr>
              <w:ind w:left="500"/>
              <w:spacing w:after="0"/>
              <w:rPr>
                <w:sz w:val="20"/>
                <w:szCs w:val="20"/>
                <w:color w:val="auto"/>
              </w:rPr>
            </w:pPr>
            <w:r>
              <w:rPr>
                <w:rFonts w:ascii="Arial" w:cs="Arial" w:eastAsia="Arial" w:hAnsi="Arial"/>
                <w:sz w:val="18"/>
                <w:szCs w:val="18"/>
                <w:color w:val="auto"/>
              </w:rPr>
              <w:t>Other real estate owned</w:t>
            </w: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c>
          <w:tcPr>
            <w:tcW w:w="2560" w:type="dxa"/>
            <w:vAlign w:val="bottom"/>
            <w:gridSpan w:val="2"/>
          </w:tcPr>
          <w:p>
            <w:pPr>
              <w:ind w:left="60"/>
              <w:spacing w:after="0"/>
              <w:rPr>
                <w:sz w:val="20"/>
                <w:szCs w:val="20"/>
                <w:color w:val="auto"/>
              </w:rPr>
            </w:pPr>
            <w:r>
              <w:rPr>
                <w:rFonts w:ascii="Arial" w:cs="Arial" w:eastAsia="Arial" w:hAnsi="Arial"/>
                <w:sz w:val="18"/>
                <w:szCs w:val="18"/>
                <w:color w:val="auto"/>
              </w:rPr>
              <w:t>inspections</w:t>
            </w: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costs</w:t>
            </w:r>
          </w:p>
        </w:tc>
        <w:tc>
          <w:tcPr>
            <w:tcW w:w="136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6"/>
        </w:trPr>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60" w:type="dxa"/>
            <w:vAlign w:val="bottom"/>
            <w:gridSpan w:val="2"/>
          </w:tcPr>
          <w:p>
            <w:pPr>
              <w:ind w:left="13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jc w:val="center"/>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per share data)</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The estimated fair values, and related carrying amounts, of the Company’s financial instruments are as follows:</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March 31, 2019</w:t>
            </w: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339,410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339,410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1,891,802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1,883,622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1,883,622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Bank-owned life insurance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57,499</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57,499</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2,304,929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2,112,179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194,997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Accrued interest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2,360</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2,360</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w w:val="98"/>
              </w:rPr>
              <w:t>Junior subordinated deferrable interest debentures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26,472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26,472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26,472</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6"/>
              </w:rPr>
              <w:t>Amount</w:t>
            </w: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Level 2</w:t>
            </w: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418"/>
        </w:trPr>
        <w:tc>
          <w:tcPr>
            <w:tcW w:w="414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245,989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245,989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1,934,071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1,923,167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1,923,167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interest receivable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12,957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12,957</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Bank-owned life insurance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57,172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57,172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liabilities: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Deposits</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1,965,925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312,524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Accrued interest payable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2,042</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 &amp; other borrowings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w w:val="98"/>
              </w:rPr>
              <w:t>Junior subordinated deferrable interest debentures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Subordinated debt securities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34,002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9" w:lineRule="exact"/>
        <w:rPr>
          <w:sz w:val="20"/>
          <w:szCs w:val="20"/>
          <w:color w:val="auto"/>
        </w:rPr>
      </w:pPr>
    </w:p>
    <w:p>
      <w:pPr>
        <w:jc w:val="both"/>
        <w:ind w:left="500"/>
        <w:spacing w:after="0" w:line="245" w:lineRule="auto"/>
        <w:rPr>
          <w:sz w:val="20"/>
          <w:szCs w:val="20"/>
          <w:color w:val="auto"/>
        </w:rPr>
      </w:pPr>
      <w:r>
        <w:rPr>
          <w:rFonts w:ascii="Arial" w:cs="Arial" w:eastAsia="Arial" w:hAnsi="Arial"/>
          <w:sz w:val="21"/>
          <w:szCs w:val="21"/>
          <w:color w:val="auto"/>
        </w:rPr>
        <w:t>The Company consummated the underwritten initial public offering of its common stock in May 2019. The common stock is traded on the NASDAQ Global Select Market under the ticker symbol “SPFI.” In connection with the offering, the Company issued and sold 3,207,000 shares of our common stock, including 507,000 shares of common stock sold pursuant to the underwriters’ full exercise of their option to purchase additional shares, in the initial public offering at an offering price to the public of $17.50 per share, for aggregate gross proceeds of $56.1 million before deducting underwriting discounts and estimated offering expenses, and estimated aggregate net proceeds of approximately $51.4 million after deducting underwriting discounts and estimated offering expenses, which expenses are not yet finalized. The Company intends to use the net proceeds to support continued growth, including organic growth and potential future acquisitions, and for general corporate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ind w:right="100" w:firstLine="486"/>
        <w:spacing w:after="0" w:line="246" w:lineRule="auto"/>
        <w:rPr>
          <w:sz w:val="20"/>
          <w:szCs w:val="20"/>
          <w:color w:val="auto"/>
        </w:rPr>
      </w:pPr>
      <w:r>
        <w:rPr>
          <w:rFonts w:ascii="Arial" w:cs="Arial" w:eastAsia="Arial" w:hAnsi="Arial"/>
          <w:sz w:val="21"/>
          <w:szCs w:val="21"/>
          <w:i w:val="1"/>
          <w:iCs w:val="1"/>
          <w:color w:val="auto"/>
        </w:rPr>
        <w:t>The following discussion and analysis is intended to assist readers in understanding our financial condition and results of operations for the for the period covered by this Quarterly Report on Form 10-Q (this “Form 10-Q”) and should be read in conjunction with our consolidated financial statements and the accompanying notes thereto included in this Form 10-Q and in our prospectus filed with the SEC pursuant to Rule 424(b) of the Securities Act of 1933, as amended (the “Securities Act”), on May 9, 2019 relating to our initial public offering (the “IPO Prospectus”) . Unless we state otherwise or the context otherwise requires, references in this Form 10-Q to “we,” “our,” “us” and “the Company” refer to South Plains Financial, Inc., a Texas corporation, and our wholly-owned banking subsidiary, City Bank, a Texas banking association or other consolidated subsidiaries. References in this Form 10-Q to “Bank” refer to City Bank.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color w:val="auto"/>
        </w:rPr>
        <w:t>autionary Notice Regarding Forward-Looking Statements</w:t>
      </w:r>
    </w:p>
    <w:p>
      <w:pPr>
        <w:spacing w:after="0" w:line="239" w:lineRule="exact"/>
        <w:rPr>
          <w:sz w:val="20"/>
          <w:szCs w:val="20"/>
          <w:color w:val="auto"/>
        </w:rPr>
      </w:pPr>
    </w:p>
    <w:p>
      <w:pPr>
        <w:ind w:firstLine="522"/>
        <w:spacing w:after="0" w:line="272" w:lineRule="auto"/>
        <w:rPr>
          <w:sz w:val="20"/>
          <w:szCs w:val="20"/>
          <w:color w:val="auto"/>
        </w:rPr>
      </w:pPr>
      <w:r>
        <w:rPr>
          <w:rFonts w:ascii="Arial" w:cs="Arial" w:eastAsia="Arial" w:hAnsi="Arial"/>
          <w:sz w:val="19"/>
          <w:szCs w:val="19"/>
          <w:color w:val="auto"/>
        </w:rPr>
        <w:t>This Form 10-Q contains statements that we believe are “forward-looking statements” within the meaning of section 27A of the Securities Act and section 21E of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9" w:lineRule="exact"/>
        <w:rPr>
          <w:sz w:val="20"/>
          <w:szCs w:val="20"/>
          <w:color w:val="auto"/>
        </w:rPr>
      </w:pPr>
    </w:p>
    <w:p>
      <w:pPr>
        <w:ind w:right="440" w:firstLine="522"/>
        <w:spacing w:after="0" w:line="251"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207" w:lineRule="exact"/>
        <w:rPr>
          <w:sz w:val="20"/>
          <w:szCs w:val="20"/>
          <w:color w:val="auto"/>
        </w:rPr>
      </w:pPr>
    </w:p>
    <w:p>
      <w:pPr>
        <w:ind w:left="840" w:hanging="319"/>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effectively execute our expansion strategy and manage our growth, including identifying and consummating suitable acquisitions;</w:t>
      </w:r>
    </w:p>
    <w:p>
      <w:pPr>
        <w:spacing w:after="0" w:line="275" w:lineRule="exact"/>
        <w:rPr>
          <w:rFonts w:ascii="Arial" w:cs="Arial" w:eastAsia="Arial" w:hAnsi="Arial"/>
          <w:sz w:val="16"/>
          <w:szCs w:val="16"/>
          <w:color w:val="auto"/>
        </w:rPr>
      </w:pPr>
    </w:p>
    <w:p>
      <w:pPr>
        <w:ind w:left="840" w:hanging="319"/>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business and economic conditions, particularly those affecting our market areas, as well as the concentration of our business in such market areas;</w:t>
      </w:r>
    </w:p>
    <w:p>
      <w:pPr>
        <w:spacing w:after="0" w:line="275" w:lineRule="exact"/>
        <w:rPr>
          <w:rFonts w:ascii="Arial" w:cs="Arial" w:eastAsia="Arial" w:hAnsi="Arial"/>
          <w:sz w:val="16"/>
          <w:szCs w:val="16"/>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252" w:lineRule="exact"/>
        <w:rPr>
          <w:rFonts w:ascii="Arial" w:cs="Arial" w:eastAsia="Arial" w:hAnsi="Arial"/>
          <w:sz w:val="18"/>
          <w:szCs w:val="18"/>
          <w:color w:val="auto"/>
        </w:rPr>
      </w:pPr>
    </w:p>
    <w:p>
      <w:pPr>
        <w:ind w:left="840" w:right="340" w:hanging="319"/>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197"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252" w:lineRule="exact"/>
        <w:rPr>
          <w:rFonts w:ascii="Arial" w:cs="Arial" w:eastAsia="Arial" w:hAnsi="Arial"/>
          <w:sz w:val="18"/>
          <w:szCs w:val="18"/>
          <w:color w:val="auto"/>
        </w:rPr>
      </w:pPr>
    </w:p>
    <w:p>
      <w:pPr>
        <w:ind w:left="840" w:right="500" w:hanging="319"/>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97"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275" w:lineRule="exact"/>
        <w:rPr>
          <w:rFonts w:ascii="Arial" w:cs="Arial" w:eastAsia="Arial" w:hAnsi="Arial"/>
          <w:sz w:val="16"/>
          <w:szCs w:val="16"/>
          <w:color w:val="auto"/>
        </w:rPr>
      </w:pPr>
    </w:p>
    <w:p>
      <w:pPr>
        <w:ind w:left="840" w:hanging="319"/>
        <w:spacing w:after="0"/>
        <w:tabs>
          <w:tab w:leader="none" w:pos="8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63" w:lineRule="exact"/>
        <w:rPr>
          <w:rFonts w:ascii="Arial" w:cs="Arial" w:eastAsia="Arial" w:hAnsi="Arial"/>
          <w:sz w:val="17"/>
          <w:szCs w:val="17"/>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252" w:lineRule="exact"/>
        <w:rPr>
          <w:rFonts w:ascii="Arial" w:cs="Arial" w:eastAsia="Arial" w:hAnsi="Arial"/>
          <w:sz w:val="18"/>
          <w:szCs w:val="18"/>
          <w:color w:val="auto"/>
        </w:rPr>
      </w:pPr>
    </w:p>
    <w:p>
      <w:pPr>
        <w:ind w:left="840" w:right="60" w:hanging="319"/>
        <w:spacing w:after="0" w:line="277"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197"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ectPr>
          <w:pgSz w:w="11900" w:h="16838" w:orient="portrait"/>
          <w:cols w:equalWidth="0" w:num="1">
            <w:col w:w="11420"/>
          </w:cols>
          <w:pgMar w:left="240" w:top="121" w:right="239" w:bottom="943"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943"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840" w:hanging="31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when implementing new technologies;</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275" w:lineRule="exact"/>
        <w:rPr>
          <w:rFonts w:ascii="Arial" w:cs="Arial" w:eastAsia="Arial" w:hAnsi="Arial"/>
          <w:sz w:val="16"/>
          <w:szCs w:val="16"/>
          <w:color w:val="auto"/>
        </w:rPr>
      </w:pPr>
    </w:p>
    <w:p>
      <w:pPr>
        <w:ind w:left="840" w:right="360" w:hanging="319"/>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197" w:lineRule="exact"/>
        <w:rPr>
          <w:rFonts w:ascii="Arial" w:cs="Arial" w:eastAsia="Arial" w:hAnsi="Arial"/>
          <w:sz w:val="18"/>
          <w:szCs w:val="18"/>
          <w:color w:val="auto"/>
        </w:rPr>
      </w:pPr>
    </w:p>
    <w:p>
      <w:pPr>
        <w:ind w:left="840" w:right="560" w:hanging="319"/>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197" w:lineRule="exact"/>
        <w:rPr>
          <w:rFonts w:ascii="Arial" w:cs="Arial" w:eastAsia="Arial" w:hAnsi="Arial"/>
          <w:sz w:val="18"/>
          <w:szCs w:val="18"/>
          <w:color w:val="auto"/>
        </w:rPr>
      </w:pPr>
    </w:p>
    <w:p>
      <w:pPr>
        <w:ind w:left="840" w:hanging="31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252" w:lineRule="exact"/>
        <w:rPr>
          <w:rFonts w:ascii="Arial" w:cs="Arial" w:eastAsia="Arial" w:hAnsi="Arial"/>
          <w:sz w:val="18"/>
          <w:szCs w:val="18"/>
          <w:color w:val="auto"/>
        </w:rPr>
      </w:pPr>
    </w:p>
    <w:p>
      <w:pPr>
        <w:ind w:left="840" w:hanging="31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severe weather, acts of god, acts of war or terrorism;</w:t>
      </w:r>
    </w:p>
    <w:p>
      <w:pPr>
        <w:spacing w:after="0" w:line="252" w:lineRule="exact"/>
        <w:rPr>
          <w:rFonts w:ascii="Arial" w:cs="Arial" w:eastAsia="Arial" w:hAnsi="Arial"/>
          <w:sz w:val="18"/>
          <w:szCs w:val="18"/>
          <w:color w:val="auto"/>
        </w:rPr>
      </w:pPr>
    </w:p>
    <w:p>
      <w:pPr>
        <w:ind w:left="840" w:right="160" w:hanging="319"/>
        <w:spacing w:after="0" w:line="277"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and others relating to banking, consumer protection, securities and tax matters; and</w:t>
      </w:r>
    </w:p>
    <w:p>
      <w:pPr>
        <w:spacing w:after="0" w:line="197" w:lineRule="exact"/>
        <w:rPr>
          <w:rFonts w:ascii="Arial" w:cs="Arial" w:eastAsia="Arial" w:hAnsi="Arial"/>
          <w:sz w:val="18"/>
          <w:szCs w:val="18"/>
          <w:color w:val="auto"/>
        </w:rPr>
      </w:pPr>
    </w:p>
    <w:p>
      <w:pPr>
        <w:ind w:left="840" w:right="420" w:hanging="319"/>
        <w:spacing w:after="0" w:line="308"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laws, rules, regulations, interpretations or policies relating to financial institutions, accounting, tax, trade, monetary and fiscal matters, including the policies of the Federal Reserve and as a result of initiatives of the Trump administration.</w:t>
      </w:r>
    </w:p>
    <w:p>
      <w:pPr>
        <w:spacing w:after="0" w:line="166" w:lineRule="exact"/>
        <w:rPr>
          <w:sz w:val="20"/>
          <w:szCs w:val="20"/>
          <w:color w:val="auto"/>
        </w:rPr>
      </w:pPr>
    </w:p>
    <w:p>
      <w:pPr>
        <w:ind w:right="60" w:firstLine="486"/>
        <w:spacing w:after="0" w:line="246" w:lineRule="auto"/>
        <w:rPr>
          <w:sz w:val="20"/>
          <w:szCs w:val="20"/>
          <w:color w:val="auto"/>
        </w:rPr>
      </w:pPr>
      <w:r>
        <w:rPr>
          <w:rFonts w:ascii="Arial" w:cs="Arial" w:eastAsia="Arial" w:hAnsi="Arial"/>
          <w:sz w:val="21"/>
          <w:szCs w:val="21"/>
          <w:color w:val="auto"/>
        </w:rPr>
        <w:t>The foregoing factors should not be construed as exhaustive and should be read together with the other cautionary statements included in this Form 10-Q. Because of these risks and other uncertainties, our actual future results, performance or achievements, or industry results, may be materially different from the results indicated by the forward-looking statements in this Form 10-Q.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right="40" w:firstLine="522"/>
        <w:spacing w:after="0" w:line="235" w:lineRule="auto"/>
        <w:rPr>
          <w:sz w:val="20"/>
          <w:szCs w:val="20"/>
          <w:color w:val="auto"/>
        </w:rPr>
      </w:pPr>
      <w:r>
        <w:rPr>
          <w:rFonts w:ascii="Arial" w:cs="Arial" w:eastAsia="Arial" w:hAnsi="Arial"/>
          <w:sz w:val="22"/>
          <w:szCs w:val="22"/>
          <w:color w:val="auto"/>
        </w:rPr>
        <w:t>We are a bank holding company headquartered in Lubbock, Texas, and our wholly-owned banking subsidiary, City Bank, is one of the largest independent banks in West Texas. 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Subchapter S Corporation Status</w:t>
      </w:r>
    </w:p>
    <w:p>
      <w:pPr>
        <w:spacing w:after="0" w:line="239" w:lineRule="exact"/>
        <w:rPr>
          <w:sz w:val="20"/>
          <w:szCs w:val="20"/>
          <w:color w:val="auto"/>
        </w:rPr>
      </w:pPr>
    </w:p>
    <w:p>
      <w:pPr>
        <w:ind w:firstLine="522"/>
        <w:spacing w:after="0" w:line="249" w:lineRule="auto"/>
        <w:rPr>
          <w:sz w:val="20"/>
          <w:szCs w:val="20"/>
          <w:color w:val="auto"/>
        </w:rPr>
      </w:pPr>
      <w:r>
        <w:rPr>
          <w:rFonts w:ascii="Arial" w:cs="Arial" w:eastAsia="Arial" w:hAnsi="Arial"/>
          <w:sz w:val="21"/>
          <w:szCs w:val="21"/>
          <w:color w:val="auto"/>
        </w:rPr>
        <w:t>Beginning January 1, 1998, the Company elected to be taxed for U.S. federal income tax purposes as an S Corporation under the provisions of Sections 1361 to 1379 of the Internal Revenue Code of 1986, as amended, or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206" w:lineRule="exact"/>
        <w:rPr>
          <w:sz w:val="20"/>
          <w:szCs w:val="20"/>
          <w:color w:val="auto"/>
        </w:rPr>
      </w:pPr>
    </w:p>
    <w:p>
      <w:pPr>
        <w:ind w:right="300" w:firstLine="522"/>
        <w:spacing w:after="0" w:line="297" w:lineRule="auto"/>
        <w:rPr>
          <w:sz w:val="20"/>
          <w:szCs w:val="20"/>
          <w:color w:val="auto"/>
        </w:rPr>
      </w:pPr>
      <w:r>
        <w:rPr>
          <w:rFonts w:ascii="Arial" w:cs="Arial" w:eastAsia="Arial" w:hAnsi="Arial"/>
          <w:sz w:val="19"/>
          <w:szCs w:val="19"/>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pacing w:after="0" w:line="161" w:lineRule="exact"/>
        <w:rPr>
          <w:sz w:val="20"/>
          <w:szCs w:val="20"/>
          <w:color w:val="auto"/>
        </w:rPr>
      </w:pPr>
    </w:p>
    <w:p>
      <w:pPr>
        <w:ind w:right="100" w:firstLine="522"/>
        <w:spacing w:after="0" w:line="282" w:lineRule="auto"/>
        <w:rPr>
          <w:sz w:val="20"/>
          <w:szCs w:val="20"/>
          <w:color w:val="auto"/>
        </w:rPr>
      </w:pPr>
      <w:r>
        <w:rPr>
          <w:rFonts w:ascii="Arial" w:cs="Arial" w:eastAsia="Arial" w:hAnsi="Arial"/>
          <w:sz w:val="19"/>
          <w:szCs w:val="19"/>
          <w:color w:val="auto"/>
        </w:rPr>
        <w:t>As a result of the revocation of our S Corporation election, the net income and earnings per share data presented for any periods which contain net income prior to the revocation date will not be comparable with periods subsequent to the revocation date. Unless otherwise stated, all information contained herein, including consolidated net income, return on average assets, return on average shareholders’ equity and earnings per share, is presented as if we had converted from an S Corporation to a C Corporation as of January 1, 2018 using a statutory tax rate for federal income taxes of 21.0%.</w:t>
      </w:r>
    </w:p>
    <w:p>
      <w:pPr>
        <w:sectPr>
          <w:pgSz w:w="11900" w:h="16838" w:orient="portrait"/>
          <w:cols w:equalWidth="0" w:num="1">
            <w:col w:w="11380"/>
          </w:cols>
          <w:pgMar w:left="240" w:top="121" w:right="279" w:bottom="1440" w:gutter="0" w:footer="0" w:header="0"/>
        </w:sect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ESOP Repurchase Right Termination</w:t>
      </w:r>
    </w:p>
    <w:p>
      <w:pPr>
        <w:spacing w:after="0" w:line="239" w:lineRule="exact"/>
        <w:rPr>
          <w:sz w:val="20"/>
          <w:szCs w:val="20"/>
          <w:color w:val="auto"/>
        </w:rPr>
      </w:pPr>
    </w:p>
    <w:p>
      <w:pPr>
        <w:ind w:right="20" w:firstLine="522"/>
        <w:spacing w:after="0" w:line="275" w:lineRule="auto"/>
        <w:rPr>
          <w:sz w:val="20"/>
          <w:szCs w:val="20"/>
          <w:color w:val="auto"/>
        </w:rPr>
      </w:pPr>
      <w:r>
        <w:rPr>
          <w:rFonts w:ascii="Arial" w:cs="Arial" w:eastAsia="Arial" w:hAnsi="Arial"/>
          <w:sz w:val="19"/>
          <w:szCs w:val="19"/>
          <w:color w:val="auto"/>
        </w:rPr>
        <w:t>Additionally, in accordance with applicable provisions of the Internal Revenue Code, the terms of the South Plains Financial, Inc. Employee Stock Ownership Plan, or ESOP, currently provide that ESOP participants have the right, for a specified period of time, to require us to repurchase shares of our common stock that are distributed to them by the ESOP. The shares of common stock held by the ESOP are reflected in our consolidated balance sheets as a line item called ‘‘ESOP owned shares’’ appearing between total liabilities and shareholders’ equity. As a result, the ESOP-owned shares are deducted from shareholders’ equity in our consolidated balance sheets. This repurchase right terminated upon the listing of our common stock on the NASDAQ, which we sometimes refer to as the ESOP Repurchase Right Termination, whereupon our repurchase liability will be extinguished and thereafter the ESOP-owned shares will not be deducted from shareholders’ equity.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Developments</w:t>
      </w:r>
    </w:p>
    <w:p>
      <w:pPr>
        <w:spacing w:after="0" w:line="239" w:lineRule="exact"/>
        <w:rPr>
          <w:sz w:val="20"/>
          <w:szCs w:val="20"/>
          <w:color w:val="auto"/>
        </w:rPr>
      </w:pPr>
    </w:p>
    <w:p>
      <w:pPr>
        <w:ind w:right="20" w:firstLine="567"/>
        <w:spacing w:after="0" w:line="246" w:lineRule="auto"/>
        <w:rPr>
          <w:sz w:val="20"/>
          <w:szCs w:val="20"/>
          <w:color w:val="auto"/>
        </w:rPr>
      </w:pPr>
      <w:r>
        <w:rPr>
          <w:rFonts w:ascii="Arial" w:cs="Arial" w:eastAsia="Arial" w:hAnsi="Arial"/>
          <w:sz w:val="21"/>
          <w:szCs w:val="21"/>
          <w:color w:val="auto"/>
        </w:rPr>
        <w:t>We consummated the underwritten initial public offering of our common stock in May 2019. Our common stock is traded on the NASDAQ Global Select Market under the ticker symbol “SPFI.” In connection with our initial public offering, we issued and sold 3,207,000 shares of our common stock, including 507,000 shares of common stock sold pursuant to the underwriters’ full exercise of their option to purchase additional shares, at an offering price of $17.50 per share, for aggregate gross proceeds of $56.1 million before deducting underwriting discounts and estimated offering expenses, and estimated aggregate net proceeds of approximately $51.4 million after deducting underwriting discounts and estimated offering expenses, which expenses are not yet finalized. We intend to use the net proceeds to support our continued growth, including organic growth and potential future acquisitions, and for general corporate purposes.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39" w:lineRule="exact"/>
        <w:rPr>
          <w:sz w:val="20"/>
          <w:szCs w:val="20"/>
          <w:color w:val="auto"/>
        </w:rPr>
      </w:pPr>
    </w:p>
    <w:p>
      <w:pPr>
        <w:ind w:right="80" w:firstLine="522"/>
        <w:spacing w:after="0" w:line="297" w:lineRule="auto"/>
        <w:rPr>
          <w:sz w:val="20"/>
          <w:szCs w:val="20"/>
          <w:color w:val="auto"/>
        </w:rPr>
      </w:pPr>
      <w:r>
        <w:rPr>
          <w:rFonts w:ascii="Arial" w:cs="Arial" w:eastAsia="Arial" w:hAnsi="Arial"/>
          <w:sz w:val="19"/>
          <w:szCs w:val="19"/>
          <w:color w:val="auto"/>
        </w:rPr>
        <w:t>We had net income of $4.8 million for the three months ended March 31, 2019, compared to net income of $4.6 million for the three months ended March 31, 2018. Return on average equity was 8.98% and return on average assets was 0.71% for the three months ended March 31, 2019, compared to 8.73% and 0.73%, respectively, for the three months ended March 31, 2018.</w:t>
      </w:r>
    </w:p>
    <w:p>
      <w:pPr>
        <w:spacing w:after="0" w:line="161" w:lineRule="exact"/>
        <w:rPr>
          <w:sz w:val="20"/>
          <w:szCs w:val="20"/>
          <w:color w:val="auto"/>
        </w:rPr>
      </w:pPr>
    </w:p>
    <w:p>
      <w:pPr>
        <w:ind w:right="120" w:firstLine="522"/>
        <w:spacing w:after="0" w:line="235" w:lineRule="auto"/>
        <w:rPr>
          <w:sz w:val="20"/>
          <w:szCs w:val="20"/>
          <w:color w:val="auto"/>
        </w:rPr>
      </w:pPr>
      <w:r>
        <w:rPr>
          <w:rFonts w:ascii="Arial" w:cs="Arial" w:eastAsia="Arial" w:hAnsi="Arial"/>
          <w:sz w:val="22"/>
          <w:szCs w:val="22"/>
          <w:color w:val="auto"/>
        </w:rPr>
        <w:t>Our total assets increased $33.3 million, or 1.2%, to $2.75 billion at March 31, 2019, compared to $2.71 billion at December 31, 2018. Our gross loans held for investment decreased $42.0 million, or 2.1%, to $1.92 billion at March 31, 2019, compared to $1.96 billion at December 31, 2018. The decrease in loans was primarily the result of the seasonal paydowns in our agricultural production portfolio. Our securities portfolio increased $855,000, or 0.2%, to $339.1 million at March 31, 2019, compared to $338.2 million at December 31, 2018. Total deposits increased $27.5 million, or 1.2%, to $2.30 billion at March 31, 2019, compared to $2.28 billion at December 31, 2018.</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 Forma Income Tax Expense and Net Income</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9"/>
          <w:szCs w:val="19"/>
          <w:color w:val="auto"/>
        </w:rPr>
        <w:t>As a result of our prior status as an S Corporation, we had no U.S. federal income tax expense for the three months ended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March 31, 2018. The pro forma impact of being taxed as a C Corporation is illustrated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860" w:type="dxa"/>
            <w:vAlign w:val="bottom"/>
            <w:gridSpan w:val="3"/>
          </w:tcPr>
          <w:p>
            <w:pPr>
              <w:ind w:left="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 2018</w:t>
            </w:r>
          </w:p>
        </w:tc>
        <w:tc>
          <w:tcPr>
            <w:tcW w:w="0" w:type="dxa"/>
            <w:vAlign w:val="bottom"/>
          </w:tcPr>
          <w:p>
            <w:pPr>
              <w:spacing w:after="0"/>
              <w:rPr>
                <w:sz w:val="1"/>
                <w:szCs w:val="1"/>
                <w:color w:val="auto"/>
              </w:rPr>
            </w:pPr>
          </w:p>
        </w:tc>
      </w:tr>
      <w:tr>
        <w:trPr>
          <w:trHeight w:val="234"/>
        </w:trPr>
        <w:tc>
          <w:tcPr>
            <w:tcW w:w="9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 Corporation</w:t>
            </w:r>
          </w:p>
        </w:tc>
        <w:tc>
          <w:tcPr>
            <w:tcW w:w="1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(Dollars in thousands)</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95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Net income</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C Corporation</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60"/>
              <w:spacing w:after="0" w:line="216" w:lineRule="exact"/>
              <w:rPr>
                <w:sz w:val="20"/>
                <w:szCs w:val="20"/>
                <w:color w:val="auto"/>
              </w:rPr>
            </w:pPr>
            <w:r>
              <w:rPr>
                <w:rFonts w:ascii="Arial" w:cs="Arial" w:eastAsia="Arial" w:hAnsi="Arial"/>
                <w:sz w:val="16"/>
                <w:szCs w:val="16"/>
                <w:color w:val="auto"/>
              </w:rPr>
              <w:t>Combined effective income tax rate</w:t>
            </w:r>
            <w:r>
              <w:rPr>
                <w:rFonts w:ascii="Arial" w:cs="Arial" w:eastAsia="Arial" w:hAnsi="Arial"/>
                <w:sz w:val="25"/>
                <w:szCs w:val="25"/>
                <w:color w:val="auto"/>
                <w:vertAlign w:val="superscript"/>
              </w:rPr>
              <w:t>(2)</w:t>
            </w:r>
          </w:p>
        </w:tc>
        <w:tc>
          <w:tcPr>
            <w:tcW w:w="18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38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portion of our net income in this period was derived from non-taxable investment income, offset by nondeductible expenses. This has the effect of lowering the statutory tax rate.</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a statutory federal income tax rate of 21%. As our state income taxes are insignificant, they are not reflected in these calculations.</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Income</w:t>
      </w:r>
    </w:p>
    <w:p>
      <w:pPr>
        <w:spacing w:after="0" w:line="233" w:lineRule="exact"/>
        <w:rPr>
          <w:sz w:val="20"/>
          <w:szCs w:val="20"/>
          <w:color w:val="auto"/>
        </w:rPr>
      </w:pPr>
    </w:p>
    <w:p>
      <w:pPr>
        <w:jc w:val="both"/>
        <w:ind w:right="100" w:firstLine="567"/>
        <w:spacing w:after="0" w:line="297" w:lineRule="auto"/>
        <w:rPr>
          <w:sz w:val="20"/>
          <w:szCs w:val="20"/>
          <w:color w:val="auto"/>
        </w:rPr>
      </w:pPr>
      <w:r>
        <w:rPr>
          <w:rFonts w:ascii="Arial" w:cs="Arial" w:eastAsia="Arial" w:hAnsi="Arial"/>
          <w:sz w:val="19"/>
          <w:szCs w:val="19"/>
          <w:color w:val="auto"/>
        </w:rPr>
        <w:t>Net income increased by $125,000 to $4.8 million for the three months ended March 31, 2019, compared to $4.6 million for the three months ended March 31, 2018. This increase was primarily the result of an increase of $1.8 million in net interest income and an increase of $607,000 in noninterest income, offset by an increase of $2.2 million in noninterest expense.</w:t>
      </w:r>
    </w:p>
    <w:p>
      <w:pPr>
        <w:sectPr>
          <w:pgSz w:w="11900" w:h="16838" w:orient="portrait"/>
          <w:cols w:equalWidth="0" w:num="1">
            <w:col w:w="11420"/>
          </w:cols>
          <w:pgMar w:left="240" w:top="121" w:right="239" w:bottom="268"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268" w:gutter="0" w:footer="0" w:header="0"/>
          <w:type w:val="continuous"/>
        </w:sectPr>
      </w:pPr>
    </w:p>
    <w:bookmarkStart w:id="34" w:name="page35"/>
    <w:bookmarkEnd w:id="34"/>
    <w:p>
      <w:pPr>
        <w:spacing w:after="0" w:line="16"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ind w:right="20" w:firstLine="522"/>
        <w:spacing w:after="0" w:line="245" w:lineRule="auto"/>
        <w:rPr>
          <w:sz w:val="20"/>
          <w:szCs w:val="20"/>
          <w:color w:val="auto"/>
        </w:rPr>
      </w:pPr>
      <w:r>
        <w:rPr>
          <w:rFonts w:ascii="Arial" w:cs="Arial" w:eastAsia="Arial" w:hAnsi="Arial"/>
          <w:sz w:val="21"/>
          <w:szCs w:val="21"/>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212" w:lineRule="exact"/>
        <w:rPr>
          <w:sz w:val="20"/>
          <w:szCs w:val="20"/>
          <w:color w:val="auto"/>
        </w:rPr>
      </w:pPr>
    </w:p>
    <w:p>
      <w:pPr>
        <w:jc w:val="both"/>
        <w:ind w:right="60" w:firstLine="522"/>
        <w:spacing w:after="0" w:line="258"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194" w:lineRule="exact"/>
        <w:rPr>
          <w:sz w:val="20"/>
          <w:szCs w:val="20"/>
          <w:color w:val="auto"/>
        </w:rPr>
      </w:pPr>
    </w:p>
    <w:p>
      <w:pPr>
        <w:ind w:right="300" w:firstLine="522"/>
        <w:spacing w:after="0" w:line="287" w:lineRule="auto"/>
        <w:rPr>
          <w:sz w:val="20"/>
          <w:szCs w:val="20"/>
          <w:color w:val="auto"/>
        </w:rPr>
      </w:pPr>
      <w:r>
        <w:rPr>
          <w:rFonts w:ascii="Arial" w:cs="Arial" w:eastAsia="Arial" w:hAnsi="Arial"/>
          <w:sz w:val="19"/>
          <w:szCs w:val="19"/>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rPr>
              <w:t>Three Months Ended March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8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6"/>
          </w:tcPr>
          <w:p>
            <w:pPr>
              <w:ind w:left="42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Interest-earning assets: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color w:val="auto"/>
              </w:rPr>
              <w:t>Total loans</w:t>
            </w:r>
            <w:r>
              <w:rPr>
                <w:rFonts w:ascii="Arial" w:cs="Arial" w:eastAsia="Arial" w:hAnsi="Arial"/>
                <w:sz w:val="25"/>
                <w:szCs w:val="25"/>
                <w:color w:val="auto"/>
                <w:vertAlign w:val="superscript"/>
              </w:rPr>
              <w:t>(1)</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28,141</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5.84%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24,158</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Investment securities – taxable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309,670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2,109</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2.76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118,267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32,172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154,460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16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243,610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1,571</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2.62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319,984</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1,320</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interest-earning assets</w:t>
            </w: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2,541,235</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32,107</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5"/>
              </w:rPr>
              <w:t>5.12</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2,419,102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27,623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5"/>
              </w:rPr>
              <w:t>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176,437</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172,891</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2,717,672</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2,591,993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Liabilities and Shareholders’ Equity: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NOW, savings and money market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1,470,199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4,534</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1.25%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1,360,833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2,409</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309,687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324,113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1,084</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22,722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160"/>
              <w:spacing w:after="0" w:line="201" w:lineRule="exact"/>
              <w:rPr>
                <w:sz w:val="20"/>
                <w:szCs w:val="20"/>
                <w:color w:val="auto"/>
              </w:rPr>
            </w:pPr>
            <w:r>
              <w:rPr>
                <w:rFonts w:ascii="Arial" w:cs="Arial" w:eastAsia="Arial" w:hAnsi="Arial"/>
                <w:sz w:val="18"/>
                <w:szCs w:val="18"/>
                <w:color w:val="auto"/>
              </w:rPr>
              <w:t>Notes payable &amp; other longer-term</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539</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Subordinated debt securities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27,727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5.94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ind w:left="160"/>
              <w:spacing w:after="0" w:line="201" w:lineRule="exact"/>
              <w:rPr>
                <w:sz w:val="20"/>
                <w:szCs w:val="20"/>
                <w:color w:val="auto"/>
              </w:rPr>
            </w:pPr>
            <w:r>
              <w:rPr>
                <w:rFonts w:ascii="Arial" w:cs="Arial" w:eastAsia="Arial" w:hAnsi="Arial"/>
                <w:sz w:val="18"/>
                <w:szCs w:val="18"/>
                <w:color w:val="auto"/>
                <w:w w:val="95"/>
              </w:rPr>
              <w:t>Junior subordinated deferrable interest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280"/>
              <w:spacing w:after="0"/>
              <w:rPr>
                <w:sz w:val="20"/>
                <w:szCs w:val="20"/>
                <w:color w:val="auto"/>
              </w:rPr>
            </w:pPr>
            <w:r>
              <w:rPr>
                <w:rFonts w:ascii="Arial" w:cs="Arial" w:eastAsia="Arial" w:hAnsi="Arial"/>
                <w:sz w:val="18"/>
                <w:szCs w:val="18"/>
                <w:color w:val="auto"/>
              </w:rPr>
              <w:t>debentures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interest-bearing liabilities</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1,971,728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1.53%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1,872,660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0.99%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Arial" w:cs="Arial" w:eastAsia="Arial" w:hAnsi="Arial"/>
                <w:sz w:val="18"/>
                <w:szCs w:val="18"/>
                <w:color w:val="auto"/>
              </w:rPr>
              <w:t>Noninterest-bearing deposits</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501,120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473,993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29,153</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320"/>
              <w:spacing w:after="0"/>
              <w:rPr>
                <w:sz w:val="20"/>
                <w:szCs w:val="20"/>
                <w:color w:val="auto"/>
              </w:rPr>
            </w:pPr>
            <w:r>
              <w:rPr>
                <w:rFonts w:ascii="Arial" w:cs="Arial" w:eastAsia="Arial" w:hAnsi="Arial"/>
                <w:sz w:val="18"/>
                <w:szCs w:val="18"/>
                <w:color w:val="auto"/>
              </w:rPr>
              <w:t>Total noninterest-bearing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530,273</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503,403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215,671</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215,930</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Borders>
              <w:top w:val="single" w:sz="8" w:color="CCEEFF"/>
            </w:tcBorders>
          </w:tcPr>
          <w:p>
            <w:pPr>
              <w:ind w:left="480"/>
              <w:spacing w:after="0" w:line="201" w:lineRule="exact"/>
              <w:rPr>
                <w:sz w:val="20"/>
                <w:szCs w:val="20"/>
                <w:color w:val="auto"/>
              </w:rPr>
            </w:pPr>
            <w:r>
              <w:rPr>
                <w:rFonts w:ascii="Arial" w:cs="Arial" w:eastAsia="Arial" w:hAnsi="Arial"/>
                <w:sz w:val="18"/>
                <w:szCs w:val="18"/>
                <w:color w:val="auto"/>
              </w:rPr>
              <w:t>Total liabilities and shareholders’</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ind w:left="600"/>
              <w:spacing w:after="0"/>
              <w:rPr>
                <w:sz w:val="20"/>
                <w:szCs w:val="20"/>
                <w:color w:val="auto"/>
              </w:rPr>
            </w:pPr>
            <w:r>
              <w:rPr>
                <w:rFonts w:ascii="Arial" w:cs="Arial" w:eastAsia="Arial" w:hAnsi="Arial"/>
                <w:sz w:val="18"/>
                <w:szCs w:val="18"/>
                <w:color w:val="auto"/>
              </w:rPr>
              <w:t>equity</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2,717,672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2,591,993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24,649</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23,058</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3.59%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0"/>
              </w:rPr>
              <w:t>3.64%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3.93%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w w:val="90"/>
              </w:rPr>
              <w:t>3.87%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52" w:lineRule="exact"/>
        <w:rPr>
          <w:rFonts w:ascii="Arial" w:cs="Arial" w:eastAsia="Arial" w:hAnsi="Arial"/>
          <w:sz w:val="18"/>
          <w:szCs w:val="18"/>
          <w:color w:val="auto"/>
        </w:rPr>
      </w:pPr>
    </w:p>
    <w:p>
      <w:pPr>
        <w:ind w:left="340" w:right="16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interest margin is calculated as the annualized net interest income, on a fully tax-equivalent basis, divided by average interest-earning assets.</w:t>
      </w:r>
    </w:p>
    <w:p>
      <w:pPr>
        <w:sectPr>
          <w:pgSz w:w="11900" w:h="16855" w:orient="portrait"/>
          <w:cols w:equalWidth="0" w:num="1">
            <w:col w:w="11420"/>
          </w:cols>
          <w:pgMar w:left="240" w:top="122" w:right="239"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55" w:orient="portrait"/>
          <w:cols w:equalWidth="0" w:num="1">
            <w:col w:w="11420"/>
          </w:cols>
          <w:pgMar w:left="240" w:top="122" w:right="239" w:bottom="0" w:gutter="0" w:footer="0" w:header="0"/>
          <w:type w:val="continuous"/>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522"/>
        <w:spacing w:after="0" w:line="235" w:lineRule="auto"/>
        <w:rPr>
          <w:sz w:val="20"/>
          <w:szCs w:val="20"/>
          <w:color w:val="auto"/>
        </w:rPr>
      </w:pPr>
      <w:r>
        <w:rPr>
          <w:rFonts w:ascii="Arial" w:cs="Arial" w:eastAsia="Arial" w:hAnsi="Arial"/>
          <w:sz w:val="22"/>
          <w:szCs w:val="22"/>
          <w:color w:val="auto"/>
        </w:rPr>
        <w:t>Increases and decreases in interest income and interest expense result from changes in average balances (volume) of interest-earning assets and interest-bearing liabilities, as well as changes in average interest rates. The following table sets forth the effects of changing rates and volumes on our net interest income during the period shown. Information is provided with respect to (i) 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8"/>
          </w:tcPr>
          <w:p>
            <w:pPr>
              <w:jc w:val="center"/>
              <w:ind w:left="310"/>
              <w:spacing w:after="0"/>
              <w:rPr>
                <w:sz w:val="20"/>
                <w:szCs w:val="20"/>
                <w:color w:val="auto"/>
              </w:rPr>
            </w:pPr>
            <w:r>
              <w:rPr>
                <w:rFonts w:ascii="Arial" w:cs="Arial" w:eastAsia="Arial" w:hAnsi="Arial"/>
                <w:sz w:val="18"/>
                <w:szCs w:val="18"/>
                <w:b w:val="1"/>
                <w:bCs w:val="1"/>
                <w:color w:val="auto"/>
                <w:w w:val="92"/>
              </w:rPr>
              <w:t>Three Months Ended March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2019 over 2018</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Change due to:</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Total 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20" w:type="dxa"/>
            <w:vAlign w:val="bottom"/>
            <w:gridSpan w:val="7"/>
          </w:tcPr>
          <w:p>
            <w:pPr>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2,272</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Investment securities – taxable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NOW, Savings, MMDAs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Time deposits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Notes payable &amp; other borrowings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Subordinated debt securities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Junior subordinated deferrable interest debentures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increase (decrease) interest expense: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2,675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282</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0" w:firstLine="522"/>
        <w:spacing w:after="0" w:line="247" w:lineRule="auto"/>
        <w:rPr>
          <w:sz w:val="20"/>
          <w:szCs w:val="20"/>
          <w:color w:val="auto"/>
        </w:rPr>
      </w:pPr>
      <w:r>
        <w:rPr>
          <w:rFonts w:ascii="Arial" w:cs="Arial" w:eastAsia="Arial" w:hAnsi="Arial"/>
          <w:sz w:val="21"/>
          <w:szCs w:val="21"/>
          <w:color w:val="auto"/>
        </w:rPr>
        <w:t>Net interest income for the three months ended March 31, 2019 was $24.5 million, compared to $22.7 million for the three months ended March 31, 2018, an increase of $1.8 million, or 8.0%. The increase in net interest income was comprised of a $4.7 million, or 17.3%, increase in interest income offset by a $2.9 million, or 63.4%, increase in interest expense. The growth in interest income was primarily attributable to a $129.4 million, or 7.1%, increase in average loans outstanding for the three-month period ended March 31, 2019, compared to the three-month period ended March 31, 2018, and by a 0.48% increase in the yield on total loans. The increase in average loans outstanding was primarily due to organic growth in 1-4 family residential loans and in the auto loan sector of our portfolio.</w:t>
      </w:r>
    </w:p>
    <w:p>
      <w:pPr>
        <w:spacing w:after="0" w:line="205" w:lineRule="exact"/>
        <w:rPr>
          <w:sz w:val="20"/>
          <w:szCs w:val="20"/>
          <w:color w:val="auto"/>
        </w:rPr>
      </w:pPr>
    </w:p>
    <w:p>
      <w:pPr>
        <w:ind w:right="20" w:firstLine="522"/>
        <w:spacing w:after="0" w:line="235" w:lineRule="auto"/>
        <w:rPr>
          <w:sz w:val="20"/>
          <w:szCs w:val="20"/>
          <w:color w:val="auto"/>
        </w:rPr>
      </w:pPr>
      <w:r>
        <w:rPr>
          <w:rFonts w:ascii="Arial" w:cs="Arial" w:eastAsia="Arial" w:hAnsi="Arial"/>
          <w:sz w:val="22"/>
          <w:szCs w:val="22"/>
          <w:color w:val="auto"/>
        </w:rPr>
        <w:t>The $2.9 million increase in interest expense for the period ended March 31, 2019 was primarily related to a 0.54% increase in the rate paid on interest-bearing liabilities and an increase of $94.9 million, or 5.6%, in average interest-bearing deposits over the same period in 2018. The increase in average interest-bearing liabilities from March 31, 2018 to March 31, 2019 was due primarily to an increase in money market accounts of $114.1 million, offset by a decrease in time deposits of $14.4 million. Additionally, average noninterest-bearing demand deposits increased to $501.1 million at March 31, 2019 from $474.0 million at March 31, 2018.</w:t>
      </w:r>
    </w:p>
    <w:p>
      <w:pPr>
        <w:spacing w:after="0" w:line="215" w:lineRule="exact"/>
        <w:rPr>
          <w:sz w:val="20"/>
          <w:szCs w:val="20"/>
          <w:color w:val="auto"/>
        </w:rPr>
      </w:pPr>
    </w:p>
    <w:p>
      <w:pPr>
        <w:jc w:val="both"/>
        <w:ind w:right="60" w:firstLine="522"/>
        <w:spacing w:after="0"/>
        <w:rPr>
          <w:sz w:val="20"/>
          <w:szCs w:val="20"/>
          <w:color w:val="auto"/>
        </w:rPr>
      </w:pPr>
      <w:r>
        <w:rPr>
          <w:rFonts w:ascii="Arial" w:cs="Arial" w:eastAsia="Arial" w:hAnsi="Arial"/>
          <w:sz w:val="22"/>
          <w:szCs w:val="22"/>
          <w:color w:val="auto"/>
        </w:rPr>
        <w:t>For the three months ended March 31, 2019, net interest margin and net interest spread were 3.93% and 3.59%, respectively, compared to 3.87% and 3.64% for the same period in 2018, which reflects the increases in interest income discussed above relative to the increases in interest expense.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ind w:right="40" w:firstLine="522"/>
        <w:spacing w:after="0" w:line="275"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the amount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w:t>
      </w:r>
    </w:p>
    <w:p>
      <w:pPr>
        <w:sectPr>
          <w:pgSz w:w="11900" w:h="16838" w:orient="portrait"/>
          <w:cols w:equalWidth="0" w:num="1">
            <w:col w:w="11420"/>
          </w:cols>
          <w:pgMar w:left="240" w:top="121"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100" w:firstLine="522"/>
        <w:spacing w:after="0"/>
        <w:rPr>
          <w:sz w:val="20"/>
          <w:szCs w:val="20"/>
          <w:color w:val="auto"/>
        </w:rPr>
      </w:pPr>
      <w:r>
        <w:rPr>
          <w:rFonts w:ascii="Arial" w:cs="Arial" w:eastAsia="Arial" w:hAnsi="Arial"/>
          <w:sz w:val="22"/>
          <w:szCs w:val="22"/>
          <w:color w:val="auto"/>
        </w:rPr>
        <w:t>The provision for loan losses for the three months ended March 31, 2019 was $608,000, compared to $778,000 for the three months ended March 31, 2018. The allowance for loan losses as a percentage of loans held for investment was 1.22% at March 31, 2019 and 1.18% at December 31, 2018.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ind w:firstLine="522"/>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ind w:right="280" w:firstLine="522"/>
        <w:spacing w:after="0"/>
        <w:rPr>
          <w:sz w:val="20"/>
          <w:szCs w:val="20"/>
          <w:color w:val="auto"/>
        </w:rPr>
      </w:pPr>
      <w:r>
        <w:rPr>
          <w:rFonts w:ascii="Arial" w:cs="Arial" w:eastAsia="Arial" w:hAnsi="Arial"/>
          <w:sz w:val="22"/>
          <w:szCs w:val="22"/>
          <w:color w:val="auto"/>
        </w:rPr>
        <w:t>Noninterest income for the three months ended March 31, 2019 was $12.1 million, compared to $11.5 million for the three months ended March 31, 2018, an increase of $607,000, or 5.3%. The following table sets forth the major components of our noninterest income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12,075</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11,468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income and fees includes the increase in the cash surrender value of life insurance, safe deposit box rental, check printing, collections, wire transfer and other miscellaneous services.</w:t>
      </w:r>
    </w:p>
    <w:p>
      <w:pPr>
        <w:spacing w:after="0" w:line="190" w:lineRule="exact"/>
        <w:rPr>
          <w:sz w:val="20"/>
          <w:szCs w:val="20"/>
          <w:color w:val="auto"/>
        </w:rPr>
      </w:pPr>
    </w:p>
    <w:p>
      <w:pPr>
        <w:ind w:right="80" w:firstLine="522"/>
        <w:spacing w:after="0" w:line="238" w:lineRule="auto"/>
        <w:rPr>
          <w:sz w:val="20"/>
          <w:szCs w:val="20"/>
          <w:color w:val="auto"/>
        </w:rPr>
      </w:pPr>
      <w:r>
        <w:rPr>
          <w:rFonts w:ascii="Arial" w:cs="Arial" w:eastAsia="Arial" w:hAnsi="Arial"/>
          <w:sz w:val="22"/>
          <w:szCs w:val="22"/>
          <w:color w:val="auto"/>
        </w:rPr>
        <w:t>Income from insurance activities is primarily derived from our insurance agency subsidiary, Windmark Insurance. Insurance income increased $355,000, or 25.4%, to $1.8 million for the three months ended March 31, 2019 from $1.4 million for the three months ended March 31, 2018. This increase was attributable to an increase in commissions and bonuses for insurance sales due to an expanded customer base during 2018 and 2019.</w:t>
      </w:r>
    </w:p>
    <w:p>
      <w:pPr>
        <w:spacing w:after="0" w:line="212" w:lineRule="exact"/>
        <w:rPr>
          <w:sz w:val="20"/>
          <w:szCs w:val="20"/>
          <w:color w:val="auto"/>
        </w:rPr>
      </w:pPr>
    </w:p>
    <w:p>
      <w:pPr>
        <w:ind w:right="240" w:firstLine="522"/>
        <w:spacing w:after="0" w:line="248" w:lineRule="auto"/>
        <w:rPr>
          <w:sz w:val="20"/>
          <w:szCs w:val="20"/>
          <w:color w:val="auto"/>
        </w:rPr>
      </w:pPr>
      <w:r>
        <w:rPr>
          <w:rFonts w:ascii="Arial" w:cs="Arial" w:eastAsia="Arial" w:hAnsi="Arial"/>
          <w:sz w:val="21"/>
          <w:szCs w:val="21"/>
          <w:color w:val="auto"/>
        </w:rPr>
        <w:t>Income from mortgage banking activities includes gains on the sale of mortgage loans originated for sale in the secondary market, servicing income on mortgages sold with retained servicing, and related mortgage loan service charges. Income from mortgage banking activities increased $199,000, or 4.3%, to $4.9 million for the three months ended March 31, 2019 from $4.7 million for the three months ended March 31, 2018. The increase was due primarily to an increase in net gain on sales of loans of $349,000 from 2018 to 2019 as a result of an increase of $26.8 million in sales of mortgage loans. Production of mortgage loans increased by 11.1% from 2018 to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jc w:val="both"/>
        <w:ind w:right="260" w:firstLine="522"/>
        <w:spacing w:after="0"/>
        <w:rPr>
          <w:sz w:val="20"/>
          <w:szCs w:val="20"/>
          <w:color w:val="auto"/>
        </w:rPr>
      </w:pPr>
      <w:r>
        <w:rPr>
          <w:rFonts w:ascii="Arial" w:cs="Arial" w:eastAsia="Arial" w:hAnsi="Arial"/>
          <w:sz w:val="22"/>
          <w:szCs w:val="22"/>
          <w:color w:val="auto"/>
        </w:rPr>
        <w:t>Noninterest expense for the three months ended March 31, 2019 was $30.0 million compared to $27.9 million for the three months ended March 31, 2018, an increase of $2.2 million, or 7.7%. The following table sets forth the major components of our noninterest expense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8"/>
              </w:rPr>
              <w:t>Increase</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40" w:type="dxa"/>
            <w:vAlign w:val="bottom"/>
            <w:vMerge w:val="restart"/>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2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19,125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23"/>
        </w:trPr>
        <w:tc>
          <w:tcPr>
            <w:tcW w:w="744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30,036</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45" w:lineRule="exact"/>
        <w:rPr>
          <w:sz w:val="20"/>
          <w:szCs w:val="20"/>
          <w:color w:val="auto"/>
        </w:rPr>
      </w:pPr>
    </w:p>
    <w:p>
      <w:pPr>
        <w:ind w:right="200" w:firstLine="522"/>
        <w:spacing w:after="0" w:line="279" w:lineRule="auto"/>
        <w:rPr>
          <w:sz w:val="20"/>
          <w:szCs w:val="20"/>
          <w:color w:val="auto"/>
        </w:rPr>
      </w:pPr>
      <w:r>
        <w:rPr>
          <w:rFonts w:ascii="Arial" w:cs="Arial" w:eastAsia="Arial" w:hAnsi="Arial"/>
          <w:sz w:val="19"/>
          <w:szCs w:val="19"/>
          <w:color w:val="auto"/>
        </w:rPr>
        <w:t>Salaries and employee benefits include (i) amounts paid to employees for base pay, commissions, incentive compensation, and bonuses, (ii) health and other related insurance paid by the Bank on behalf of our employees, and (iii) the annual cost for any increases in the liability for non-qualified plans maintained for certain key employees. Salaries and employee benefits increased $1.5 million, or 8.7%, from $17.6 million for the three months ended March 31, 2018 to $19.1 million for the three months ended March 31, 2019. There was an increase of 28 full-time equivalent employees for the first quarter of 2019 compared to the first quarter of 2018. The primary reason for the increase in employees was related to our mortgage acquisition in November 2018.</w:t>
      </w:r>
    </w:p>
    <w:p>
      <w:pPr>
        <w:spacing w:after="0" w:line="178" w:lineRule="exact"/>
        <w:rPr>
          <w:sz w:val="20"/>
          <w:szCs w:val="20"/>
          <w:color w:val="auto"/>
        </w:rPr>
      </w:pPr>
    </w:p>
    <w:p>
      <w:pPr>
        <w:ind w:right="120" w:firstLine="522"/>
        <w:spacing w:after="0" w:line="282" w:lineRule="auto"/>
        <w:rPr>
          <w:sz w:val="20"/>
          <w:szCs w:val="20"/>
          <w:color w:val="auto"/>
        </w:rPr>
      </w:pPr>
      <w:r>
        <w:rPr>
          <w:rFonts w:ascii="Arial" w:cs="Arial" w:eastAsia="Arial" w:hAnsi="Arial"/>
          <w:sz w:val="19"/>
          <w:szCs w:val="19"/>
          <w:color w:val="auto"/>
        </w:rPr>
        <w:t>Net occupancy expenses are comprised of depreciation on property, premises, equipment and software, rent expense for leased facilities and equipment, maintenance agreements on equipment and software, property taxes, and other expenses related to maintaining owned or leased assets. Net occupancy expense for the three months ended March 31, 2019 was $3.4 million, compared to $3.3 million for the three months ended March 31, 2018, an increase of $83,000, or 2.5%. The increase was primarily attributable to increased rent expense during the first quarter of 2019 for the location for our mortgage acquisition.</w:t>
      </w:r>
    </w:p>
    <w:p>
      <w:pPr>
        <w:spacing w:after="0" w:line="175" w:lineRule="exact"/>
        <w:rPr>
          <w:sz w:val="20"/>
          <w:szCs w:val="20"/>
          <w:color w:val="auto"/>
        </w:rPr>
      </w:pPr>
    </w:p>
    <w:p>
      <w:pPr>
        <w:jc w:val="both"/>
        <w:ind w:right="60" w:firstLine="522"/>
        <w:spacing w:after="0" w:line="297" w:lineRule="auto"/>
        <w:rPr>
          <w:sz w:val="20"/>
          <w:szCs w:val="20"/>
          <w:color w:val="auto"/>
        </w:rPr>
      </w:pPr>
      <w:r>
        <w:rPr>
          <w:rFonts w:ascii="Arial" w:cs="Arial" w:eastAsia="Arial" w:hAnsi="Arial"/>
          <w:sz w:val="19"/>
          <w:szCs w:val="19"/>
          <w:color w:val="auto"/>
        </w:rPr>
        <w:t>Professional services expenses, which include legal fees, audit and accounting fees, and consulting fees, increased $277,000 for the three months ended March 31, 2019. This increase was primarily due to $146,000 in legal expenses during the three months ended March 31, 2019 related to the Company’s preparation for its initial public offering and related activities.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ind w:right="40" w:firstLine="522"/>
        <w:spacing w:after="0" w:line="236" w:lineRule="auto"/>
        <w:rPr>
          <w:sz w:val="20"/>
          <w:szCs w:val="20"/>
          <w:color w:val="auto"/>
        </w:rPr>
      </w:pPr>
      <w:r>
        <w:rPr>
          <w:rFonts w:ascii="Arial" w:cs="Arial" w:eastAsia="Arial" w:hAnsi="Arial"/>
          <w:sz w:val="22"/>
          <w:szCs w:val="22"/>
          <w:color w:val="auto"/>
        </w:rPr>
        <w:t>Total assets increased $33.3 million, or 1.2%, to $2.75 billion at March 31, 2019, compared to $2.71 billion at December 31, 2018. Our gross loans held for investment decreased $42.0 million, or 2.1%, to $1.92 billion at March 31, 2019, compared to $1.96 billion at December 31, 2018. Our securities portfolio increased $855,000, or 0.2%, to $339.1 million at March 31, 2019, compared to $338.2 million at December 31, 2018. Total deposits increased $27.5 million, or 1.2% to $2.30 billion at March 31, 2019, compared to $2.28 billion at December 31, 2018.</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ind w:right="180" w:firstLine="522"/>
        <w:spacing w:after="0" w:line="238" w:lineRule="auto"/>
        <w:rPr>
          <w:sz w:val="20"/>
          <w:szCs w:val="20"/>
          <w:color w:val="auto"/>
        </w:rPr>
      </w:pPr>
      <w:r>
        <w:rPr>
          <w:rFonts w:ascii="Arial" w:cs="Arial" w:eastAsia="Arial" w:hAnsi="Arial"/>
          <w:sz w:val="22"/>
          <w:szCs w:val="22"/>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20" w:firstLine="522"/>
        <w:spacing w:after="0" w:line="251" w:lineRule="auto"/>
        <w:rPr>
          <w:sz w:val="20"/>
          <w:szCs w:val="20"/>
          <w:color w:val="auto"/>
        </w:rPr>
      </w:pPr>
      <w:r>
        <w:rPr>
          <w:rFonts w:ascii="Arial" w:cs="Arial" w:eastAsia="Arial" w:hAnsi="Arial"/>
          <w:sz w:val="22"/>
          <w:szCs w:val="22"/>
          <w:color w:val="auto"/>
        </w:rPr>
        <w:t>The following table presents the balance and associated percentage of each major category in our gross loan portfolio at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Pr>
          <w:p>
            <w:pPr>
              <w:spacing w:after="0"/>
              <w:rPr>
                <w:sz w:val="20"/>
                <w:szCs w:val="20"/>
                <w:color w:val="auto"/>
              </w:rPr>
            </w:pPr>
          </w:p>
        </w:tc>
        <w:tc>
          <w:tcPr>
            <w:tcW w:w="248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March 31, 2018</w:t>
            </w:r>
          </w:p>
        </w:tc>
      </w:tr>
      <w:tr>
        <w:trPr>
          <w:trHeight w:val="198"/>
        </w:trPr>
        <w:tc>
          <w:tcPr>
            <w:tcW w:w="2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16"/>
        </w:trPr>
        <w:tc>
          <w:tcPr>
            <w:tcW w:w="2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528,598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538,037</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526,339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258,975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305,022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273,805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413,093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427,728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418,426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Consumer:</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354,981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346,153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304,906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r>
      <w:tr>
        <w:trPr>
          <w:trHeight w:val="216"/>
        </w:trPr>
        <w:tc>
          <w:tcPr>
            <w:tcW w:w="27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200,366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191,647</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158,534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71,939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70,209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66,722</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Construction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87,231</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78,401</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75,425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r>
      <w:tr>
        <w:trPr>
          <w:trHeight w:val="27"/>
        </w:trPr>
        <w:tc>
          <w:tcPr>
            <w:tcW w:w="2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1,915,183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1,824,157</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23"/>
        </w:trPr>
        <w:tc>
          <w:tcPr>
            <w:tcW w:w="2720" w:type="dxa"/>
            <w:vAlign w:val="bottom"/>
          </w:tcPr>
          <w:p>
            <w:pPr>
              <w:ind w:left="340"/>
              <w:spacing w:after="0"/>
              <w:rPr>
                <w:sz w:val="20"/>
                <w:szCs w:val="20"/>
                <w:color w:val="auto"/>
              </w:rPr>
            </w:pPr>
            <w:r>
              <w:rPr>
                <w:rFonts w:ascii="Arial" w:cs="Arial" w:eastAsia="Arial" w:hAnsi="Arial"/>
                <w:sz w:val="18"/>
                <w:szCs w:val="18"/>
                <w:color w:val="auto"/>
              </w:rPr>
              <w:t>Allowance for loan losses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(23,381)</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(23,126)</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(21,969)</w:t>
            </w: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2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loans</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1,891,802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1,802,188</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80" w:firstLine="522"/>
        <w:spacing w:after="0"/>
        <w:rPr>
          <w:sz w:val="20"/>
          <w:szCs w:val="20"/>
          <w:color w:val="auto"/>
        </w:rPr>
      </w:pPr>
      <w:r>
        <w:rPr>
          <w:rFonts w:ascii="Arial" w:cs="Arial" w:eastAsia="Arial" w:hAnsi="Arial"/>
          <w:sz w:val="22"/>
          <w:szCs w:val="22"/>
          <w:color w:val="auto"/>
        </w:rPr>
        <w:t>Loans held for investment decreased $42.0 million, or 2.1%, to $1.92 billion at March 31, 2019, compared to $1.96 billion at December 31, 2018. This decrease in our loans was due to a net reduction of $43.4 million from seasonal annual paydowns on agricultural productions loans.</w:t>
      </w:r>
    </w:p>
    <w:p>
      <w:pPr>
        <w:spacing w:after="0" w:line="213" w:lineRule="exact"/>
        <w:rPr>
          <w:sz w:val="20"/>
          <w:szCs w:val="20"/>
          <w:color w:val="auto"/>
        </w:rPr>
      </w:pPr>
    </w:p>
    <w:p>
      <w:pPr>
        <w:ind w:firstLine="522"/>
        <w:spacing w:after="0" w:line="247" w:lineRule="auto"/>
        <w:rPr>
          <w:sz w:val="20"/>
          <w:szCs w:val="20"/>
          <w:color w:val="auto"/>
        </w:rPr>
      </w:pPr>
      <w:r>
        <w:rPr>
          <w:rFonts w:ascii="Arial" w:cs="Arial" w:eastAsia="Arial" w:hAnsi="Arial"/>
          <w:sz w:val="21"/>
          <w:szCs w:val="21"/>
          <w:color w:val="auto"/>
        </w:rPr>
        <w:t>The Bank is primarily involved in real estate, commercial, agricultural and consumer lending activities with customers throughout Texas and Eastern New Mexico. We have a collateral concentration, as 64.8% of our loans held for investment were secured by real property as of March 31, 2019, compared to 64.9% as of December 31, 2018.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w:t>
      </w:r>
    </w:p>
    <w:p>
      <w:pPr>
        <w:spacing w:after="0" w:line="205" w:lineRule="exact"/>
        <w:rPr>
          <w:sz w:val="20"/>
          <w:szCs w:val="20"/>
          <w:color w:val="auto"/>
        </w:rPr>
      </w:pPr>
    </w:p>
    <w:p>
      <w:pPr>
        <w:ind w:right="40" w:firstLine="522"/>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5" w:lineRule="exact"/>
        <w:rPr>
          <w:sz w:val="20"/>
          <w:szCs w:val="20"/>
          <w:color w:val="auto"/>
        </w:rPr>
      </w:pPr>
    </w:p>
    <w:p>
      <w:pPr>
        <w:ind w:right="20" w:firstLine="522"/>
        <w:spacing w:after="0" w:line="245" w:lineRule="auto"/>
        <w:rPr>
          <w:sz w:val="20"/>
          <w:szCs w:val="20"/>
          <w:color w:val="auto"/>
        </w:rPr>
      </w:pPr>
      <w:r>
        <w:rPr>
          <w:rFonts w:ascii="Arial" w:cs="Arial" w:eastAsia="Arial" w:hAnsi="Arial"/>
          <w:sz w:val="21"/>
          <w:szCs w:val="21"/>
          <w:i w:val="1"/>
          <w:iCs w:val="1"/>
          <w:color w:val="auto"/>
        </w:rPr>
        <w:t>Commercial Real Estate</w:t>
      </w:r>
      <w:r>
        <w:rPr>
          <w:rFonts w:ascii="Arial" w:cs="Arial" w:eastAsia="Arial" w:hAnsi="Arial"/>
          <w:sz w:val="21"/>
          <w:szCs w:val="21"/>
          <w:color w:val="auto"/>
        </w:rPr>
        <w:t>. Our commercial real estate portfolio includes loans for commercial property that is owned by real</w:t>
      </w:r>
      <w:r>
        <w:rPr>
          <w:rFonts w:ascii="Arial" w:cs="Arial" w:eastAsia="Arial" w:hAnsi="Arial"/>
          <w:sz w:val="21"/>
          <w:szCs w:val="21"/>
          <w:i w:val="1"/>
          <w:iCs w:val="1"/>
          <w:color w:val="auto"/>
        </w:rPr>
        <w:t xml:space="preserve"> </w:t>
      </w:r>
      <w:r>
        <w:rPr>
          <w:rFonts w:ascii="Arial" w:cs="Arial" w:eastAsia="Arial" w:hAnsi="Arial"/>
          <w:sz w:val="21"/>
          <w:szCs w:val="21"/>
          <w:color w:val="auto"/>
        </w:rPr>
        <w:t>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12" w:lineRule="exact"/>
        <w:rPr>
          <w:sz w:val="20"/>
          <w:szCs w:val="20"/>
          <w:color w:val="auto"/>
        </w:rPr>
      </w:pPr>
    </w:p>
    <w:p>
      <w:pPr>
        <w:ind w:right="40" w:firstLine="522"/>
        <w:spacing w:after="0"/>
        <w:rPr>
          <w:sz w:val="20"/>
          <w:szCs w:val="20"/>
          <w:color w:val="auto"/>
        </w:rPr>
      </w:pPr>
      <w:r>
        <w:rPr>
          <w:rFonts w:ascii="Arial" w:cs="Arial" w:eastAsia="Arial" w:hAnsi="Arial"/>
          <w:sz w:val="22"/>
          <w:szCs w:val="22"/>
          <w:color w:val="auto"/>
        </w:rPr>
        <w:t>Commercial real estate loans decreased $9.4 million, or 1.8%, to $528.6 million as of March 31, 2019 from $538.0 million as of December 31, 2018. The decrease in commercial real estate loans during this period was mostly driven by the payoff of two relationships totaling $7.6 million during the first quarter of 2019.</w:t>
      </w:r>
    </w:p>
    <w:p>
      <w:pPr>
        <w:spacing w:after="0" w:line="213" w:lineRule="exact"/>
        <w:rPr>
          <w:sz w:val="20"/>
          <w:szCs w:val="20"/>
          <w:color w:val="auto"/>
        </w:rPr>
      </w:pPr>
    </w:p>
    <w:p>
      <w:pPr>
        <w:ind w:right="80" w:firstLine="522"/>
        <w:spacing w:after="0" w:line="272" w:lineRule="auto"/>
        <w:rPr>
          <w:sz w:val="20"/>
          <w:szCs w:val="20"/>
          <w:color w:val="auto"/>
        </w:rPr>
      </w:pPr>
      <w:r>
        <w:rPr>
          <w:rFonts w:ascii="Arial" w:cs="Arial" w:eastAsia="Arial" w:hAnsi="Arial"/>
          <w:sz w:val="19"/>
          <w:szCs w:val="19"/>
          <w:i w:val="1"/>
          <w:iCs w:val="1"/>
          <w:color w:val="auto"/>
        </w:rPr>
        <w:t>Commercial – General and Specialized</w:t>
      </w:r>
      <w:r>
        <w:rPr>
          <w:rFonts w:ascii="Arial" w:cs="Arial" w:eastAsia="Arial" w:hAnsi="Arial"/>
          <w:sz w:val="19"/>
          <w:szCs w:val="19"/>
          <w:color w:val="auto"/>
        </w:rPr>
        <w:t>. Commercial loans are underwritten after evaluating and understanding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borrower’s 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and retail, construction, and other industries.</w:t>
      </w:r>
    </w:p>
    <w:p>
      <w:pPr>
        <w:spacing w:after="0" w:line="189" w:lineRule="exact"/>
        <w:rPr>
          <w:sz w:val="20"/>
          <w:szCs w:val="20"/>
          <w:color w:val="auto"/>
        </w:rPr>
      </w:pPr>
    </w:p>
    <w:p>
      <w:pPr>
        <w:ind w:right="180" w:firstLine="522"/>
        <w:spacing w:after="0"/>
        <w:rPr>
          <w:sz w:val="20"/>
          <w:szCs w:val="20"/>
          <w:color w:val="auto"/>
        </w:rPr>
      </w:pPr>
      <w:r>
        <w:rPr>
          <w:rFonts w:ascii="Arial" w:cs="Arial" w:eastAsia="Arial" w:hAnsi="Arial"/>
          <w:sz w:val="22"/>
          <w:szCs w:val="22"/>
          <w:color w:val="auto"/>
        </w:rPr>
        <w:t>Commercial general loans decreased $14.6 million, or 3.4%, to $413.1 million as of March 31, 2019 from $427.7 million as of December 31, 2018. The decrease in commercial general loans was primarily due to the early payoff of two relationships totaling $16.0 million during the first quarter of 2019.</w:t>
      </w:r>
    </w:p>
    <w:p>
      <w:pPr>
        <w:sectPr>
          <w:pgSz w:w="11900" w:h="16838" w:orient="portrait"/>
          <w:cols w:equalWidth="0" w:num="1">
            <w:col w:w="11420"/>
          </w:cols>
          <w:pgMar w:left="240" w:top="122" w:right="239" w:bottom="0" w:gutter="0" w:footer="0" w:header="0"/>
        </w:sectPr>
      </w:pPr>
    </w:p>
    <w:bookmarkStart w:id="40" w:name="page41"/>
    <w:bookmarkEnd w:id="40"/>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40" w:firstLine="522"/>
        <w:spacing w:after="0"/>
        <w:rPr>
          <w:sz w:val="20"/>
          <w:szCs w:val="20"/>
          <w:color w:val="auto"/>
        </w:rPr>
      </w:pPr>
      <w:r>
        <w:rPr>
          <w:rFonts w:ascii="Arial" w:cs="Arial" w:eastAsia="Arial" w:hAnsi="Arial"/>
          <w:sz w:val="22"/>
          <w:szCs w:val="22"/>
          <w:color w:val="auto"/>
        </w:rPr>
        <w:t>Commercial specialized loans decreased $46.0 million, or 15.1%, to $259.0 million as of March 31, 2019 from $305.0 million as of December 31, 2018. This decrease was due to a net reduction of $43.4 million from seasonal annual paydowns on agricultural productions loans.</w:t>
      </w:r>
    </w:p>
    <w:p>
      <w:pPr>
        <w:spacing w:after="0" w:line="213" w:lineRule="exact"/>
        <w:rPr>
          <w:sz w:val="20"/>
          <w:szCs w:val="20"/>
          <w:color w:val="auto"/>
        </w:rPr>
      </w:pPr>
    </w:p>
    <w:p>
      <w:pPr>
        <w:ind w:right="100" w:firstLine="522"/>
        <w:spacing w:after="0" w:line="249" w:lineRule="auto"/>
        <w:rPr>
          <w:sz w:val="20"/>
          <w:szCs w:val="20"/>
          <w:color w:val="auto"/>
        </w:rPr>
      </w:pPr>
      <w:r>
        <w:rPr>
          <w:rFonts w:ascii="Arial" w:cs="Arial" w:eastAsia="Arial" w:hAnsi="Arial"/>
          <w:sz w:val="21"/>
          <w:szCs w:val="21"/>
          <w:i w:val="1"/>
          <w:iCs w:val="1"/>
          <w:color w:val="auto"/>
        </w:rPr>
        <w:t>Consumer</w:t>
      </w:r>
      <w:r>
        <w:rPr>
          <w:rFonts w:ascii="Arial" w:cs="Arial" w:eastAsia="Arial" w:hAnsi="Arial"/>
          <w:sz w:val="21"/>
          <w:szCs w:val="21"/>
          <w:color w:val="auto"/>
        </w:rPr>
        <w:t>. We utilize a computer-based credit scoring analysis to supplement our policies and procedures in underwriting</w:t>
      </w:r>
      <w:r>
        <w:rPr>
          <w:rFonts w:ascii="Arial" w:cs="Arial" w:eastAsia="Arial" w:hAnsi="Arial"/>
          <w:sz w:val="21"/>
          <w:szCs w:val="21"/>
          <w:i w:val="1"/>
          <w:iCs w:val="1"/>
          <w:color w:val="auto"/>
        </w:rPr>
        <w:t xml:space="preserve"> </w:t>
      </w:r>
      <w:r>
        <w:rPr>
          <w:rFonts w:ascii="Arial" w:cs="Arial" w:eastAsia="Arial" w:hAnsi="Arial"/>
          <w:sz w:val="21"/>
          <w:szCs w:val="21"/>
          <w:color w:val="auto"/>
        </w:rPr>
        <w:t>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206" w:lineRule="exact"/>
        <w:rPr>
          <w:sz w:val="20"/>
          <w:szCs w:val="20"/>
          <w:color w:val="auto"/>
        </w:rPr>
      </w:pPr>
    </w:p>
    <w:p>
      <w:pPr>
        <w:ind w:right="140" w:firstLine="522"/>
        <w:spacing w:after="0" w:line="236" w:lineRule="auto"/>
        <w:rPr>
          <w:sz w:val="20"/>
          <w:szCs w:val="20"/>
          <w:color w:val="auto"/>
        </w:rPr>
      </w:pPr>
      <w:r>
        <w:rPr>
          <w:rFonts w:ascii="Arial" w:cs="Arial" w:eastAsia="Arial" w:hAnsi="Arial"/>
          <w:sz w:val="22"/>
          <w:szCs w:val="22"/>
          <w:color w:val="auto"/>
        </w:rPr>
        <w:t>Consumer and other loans increased $19.3 million, or 3.2%, to $627.3 million as of March 31, 2019, from $608.0 million as of December 31, 2018. The increases in these loans were primarily a result of expanded lending in the auto loan portfolio in the Lubbock/South Plains market as well as an increase in 1-4 family residential loans. As of March 31, 2019, our consumer loan portfolio was comprised of $355.0 million in 1-4 family residential loans, $200.4 million in indirect auto loans, and $71.9 million in other consumer loans.</w:t>
      </w:r>
    </w:p>
    <w:p>
      <w:pPr>
        <w:spacing w:after="0" w:line="215" w:lineRule="exact"/>
        <w:rPr>
          <w:sz w:val="20"/>
          <w:szCs w:val="20"/>
          <w:color w:val="auto"/>
        </w:rPr>
      </w:pPr>
    </w:p>
    <w:p>
      <w:pPr>
        <w:ind w:right="160" w:firstLine="522"/>
        <w:spacing w:after="0" w:line="238" w:lineRule="auto"/>
        <w:rPr>
          <w:sz w:val="20"/>
          <w:szCs w:val="20"/>
          <w:color w:val="auto"/>
        </w:rPr>
      </w:pPr>
      <w:r>
        <w:rPr>
          <w:rFonts w:ascii="Arial" w:cs="Arial" w:eastAsia="Arial" w:hAnsi="Arial"/>
          <w:sz w:val="22"/>
          <w:szCs w:val="22"/>
          <w:i w:val="1"/>
          <w:iCs w:val="1"/>
          <w:color w:val="auto"/>
        </w:rPr>
        <w:t>Construction</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ind w:right="240" w:firstLine="522"/>
        <w:spacing w:after="0"/>
        <w:rPr>
          <w:sz w:val="20"/>
          <w:szCs w:val="20"/>
          <w:color w:val="auto"/>
        </w:rPr>
      </w:pPr>
      <w:r>
        <w:rPr>
          <w:rFonts w:ascii="Arial" w:cs="Arial" w:eastAsia="Arial" w:hAnsi="Arial"/>
          <w:sz w:val="22"/>
          <w:szCs w:val="22"/>
          <w:color w:val="auto"/>
        </w:rPr>
        <w:t>Construction loans increased $8.8 million, or 11.3%, to $87.2 million as of March 31, 2019 from $78.4 million as of December 31, 2018. The increase resulted from continued organic growth, especially in our Lubbock/South Plains and Dallas/Ft. Worth markets.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ind w:firstLine="522"/>
        <w:spacing w:after="0" w:line="274" w:lineRule="auto"/>
        <w:rPr>
          <w:sz w:val="20"/>
          <w:szCs w:val="20"/>
          <w:color w:val="auto"/>
        </w:rPr>
      </w:pPr>
      <w:r>
        <w:rPr>
          <w:rFonts w:ascii="Arial" w:cs="Arial" w:eastAsia="Arial" w:hAnsi="Arial"/>
          <w:sz w:val="19"/>
          <w:szCs w:val="19"/>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 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522"/>
        <w:spacing w:after="0" w:line="273" w:lineRule="auto"/>
        <w:rPr>
          <w:sz w:val="20"/>
          <w:szCs w:val="20"/>
          <w:color w:val="auto"/>
        </w:rPr>
      </w:pPr>
      <w:r>
        <w:rPr>
          <w:rFonts w:ascii="Arial" w:cs="Arial" w:eastAsia="Arial" w:hAnsi="Arial"/>
          <w:sz w:val="19"/>
          <w:szCs w:val="19"/>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9" w:lineRule="exact"/>
        <w:rPr>
          <w:sz w:val="20"/>
          <w:szCs w:val="20"/>
          <w:color w:val="auto"/>
        </w:rPr>
      </w:pPr>
    </w:p>
    <w:p>
      <w:pPr>
        <w:ind w:right="400" w:firstLine="522"/>
        <w:spacing w:after="0" w:line="251" w:lineRule="auto"/>
        <w:rPr>
          <w:sz w:val="20"/>
          <w:szCs w:val="20"/>
          <w:color w:val="auto"/>
        </w:rPr>
      </w:pPr>
      <w:r>
        <w:rPr>
          <w:rFonts w:ascii="Arial" w:cs="Arial" w:eastAsia="Arial" w:hAnsi="Arial"/>
          <w:sz w:val="22"/>
          <w:szCs w:val="22"/>
          <w:color w:val="auto"/>
        </w:rPr>
        <w:t>The allowance for loan losses was $23.4 million at March 31, 2019, compared to $23.1 million at December 31, 2018, an increase of $255,000, or 1.1%.</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provides an analysis of the allowance for loan losses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w w:val="93"/>
              </w:rPr>
              <w:t>Beginning</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2"/>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Recoveries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Provision</w:t>
            </w:r>
          </w:p>
        </w:tc>
        <w:tc>
          <w:tcPr>
            <w:tcW w:w="1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Ending Balance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7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(352)</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86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4"/>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Beginning</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Charge-offs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9"/>
              </w:rPr>
              <w:t>Recoveries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Provision</w:t>
            </w:r>
          </w:p>
        </w:tc>
        <w:tc>
          <w:tcPr>
            <w:tcW w:w="140" w:type="dxa"/>
            <w:vAlign w:val="bottom"/>
          </w:tcPr>
          <w:p>
            <w:pPr>
              <w:spacing w:after="0"/>
              <w:rPr>
                <w:sz w:val="20"/>
                <w:szCs w:val="20"/>
                <w:color w:val="auto"/>
              </w:rPr>
            </w:pPr>
          </w:p>
        </w:tc>
        <w:tc>
          <w:tcPr>
            <w:tcW w:w="140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Ending Balance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7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20" w:type="dxa"/>
            <w:vAlign w:val="bottom"/>
            <w:gridSpan w:val="5"/>
          </w:tcPr>
          <w:p>
            <w:pPr>
              <w:jc w:val="right"/>
              <w:spacing w:after="0"/>
              <w:rPr>
                <w:sz w:val="20"/>
                <w:szCs w:val="20"/>
                <w:color w:val="auto"/>
              </w:rPr>
            </w:pPr>
            <w:r>
              <w:rPr>
                <w:rFonts w:ascii="Arial" w:cs="Arial" w:eastAsia="Arial" w:hAnsi="Arial"/>
                <w:sz w:val="18"/>
                <w:szCs w:val="18"/>
                <w:b w:val="1"/>
                <w:bCs w:val="1"/>
                <w:color w:val="auto"/>
                <w:w w:val="87"/>
              </w:rPr>
              <w:t>(Dollars in thousands)</w:t>
            </w: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4700" w:type="dxa"/>
            <w:vAlign w:val="bottom"/>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1,360</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tcPr>
          <w:p>
            <w:pPr>
              <w:ind w:left="16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311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40" w:firstLine="522"/>
        <w:spacing w:after="0" w:line="238" w:lineRule="auto"/>
        <w:rPr>
          <w:sz w:val="20"/>
          <w:szCs w:val="20"/>
          <w:color w:val="auto"/>
        </w:rPr>
      </w:pPr>
      <w:r>
        <w:rPr>
          <w:rFonts w:ascii="Arial" w:cs="Arial" w:eastAsia="Arial" w:hAnsi="Arial"/>
          <w:sz w:val="22"/>
          <w:szCs w:val="22"/>
          <w:color w:val="auto"/>
        </w:rPr>
        <w:t>Net charge-offs for the first three months of 2019 totaled $353,000 compared to $270,000 for the first three months of 2018. The allowance for loan losses as a percentage of loans held for investment was 1.22% at March 31,2019 and 1.18% at December 31, 2018. Annualized net charge-offs as a percentage of average loans was 0.07% for the three months ended March 31, 2019 and 0.06% for the three months ended March 31, 2018.</w:t>
      </w:r>
    </w:p>
    <w:p>
      <w:pPr>
        <w:spacing w:after="0" w:line="212" w:lineRule="exact"/>
        <w:rPr>
          <w:sz w:val="20"/>
          <w:szCs w:val="20"/>
          <w:color w:val="auto"/>
        </w:rPr>
      </w:pPr>
    </w:p>
    <w:p>
      <w:pPr>
        <w:jc w:val="both"/>
        <w:ind w:right="160" w:firstLine="522"/>
        <w:spacing w:after="0"/>
        <w:rPr>
          <w:sz w:val="20"/>
          <w:szCs w:val="20"/>
          <w:color w:val="auto"/>
        </w:rPr>
      </w:pPr>
      <w:r>
        <w:rPr>
          <w:rFonts w:ascii="Arial" w:cs="Arial" w:eastAsia="Arial" w:hAnsi="Arial"/>
          <w:sz w:val="22"/>
          <w:szCs w:val="22"/>
          <w:color w:val="auto"/>
        </w:rPr>
        <w:t>While the entire allowance is available to absorb losses from any part of our loan portfolio, the following table sets forth the allocation of the allowance for loan losses for the periods presented and the percentage of allowance in each classification to total allowance:</w:t>
      </w:r>
    </w:p>
    <w:p>
      <w:pPr>
        <w:spacing w:after="0" w:line="21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4"/>
          </w:tcPr>
          <w:p>
            <w:pPr>
              <w:jc w:val="right"/>
              <w:ind w:right="825"/>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2018</w:t>
            </w:r>
          </w:p>
        </w:tc>
      </w:tr>
      <w:tr>
        <w:trPr>
          <w:trHeight w:val="198"/>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 of</w:t>
            </w:r>
          </w:p>
        </w:tc>
        <w:tc>
          <w:tcPr>
            <w:tcW w:w="18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380" w:type="dxa"/>
            <w:vAlign w:val="bottom"/>
            <w:gridSpan w:val="2"/>
          </w:tcPr>
          <w:p>
            <w:pPr>
              <w:jc w:val="right"/>
              <w:ind w:right="565"/>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60" w:type="dxa"/>
            <w:vAlign w:val="bottom"/>
          </w:tcPr>
          <w:p>
            <w:pPr>
              <w:jc w:val="right"/>
              <w:ind w:right="65"/>
              <w:spacing w:after="0"/>
              <w:rPr>
                <w:sz w:val="20"/>
                <w:szCs w:val="20"/>
                <w:color w:val="auto"/>
              </w:rPr>
            </w:pPr>
            <w:r>
              <w:rPr>
                <w:rFonts w:ascii="Arial" w:cs="Arial" w:eastAsia="Arial" w:hAnsi="Arial"/>
                <w:sz w:val="15"/>
                <w:szCs w:val="15"/>
                <w:b w:val="1"/>
                <w:bCs w:val="1"/>
                <w:color w:val="auto"/>
                <w:w w:val="74"/>
              </w:rPr>
              <w:t>in</w:t>
            </w: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w:t>
            </w:r>
          </w:p>
        </w:tc>
        <w:tc>
          <w:tcPr>
            <w:tcW w:w="1580" w:type="dxa"/>
            <w:vAlign w:val="bottom"/>
            <w:tcBorders>
              <w:right w:val="single" w:sz="8" w:color="CCEEFF"/>
            </w:tcBorders>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Consumer: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1-4 family residential</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Auto loans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consumer</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Construction</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allowance for loan losses</w:t>
            </w: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0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Asset Quality</w:t>
      </w:r>
    </w:p>
    <w:p>
      <w:pPr>
        <w:spacing w:after="0" w:line="233" w:lineRule="exact"/>
        <w:rPr>
          <w:sz w:val="20"/>
          <w:szCs w:val="20"/>
          <w:color w:val="auto"/>
        </w:rPr>
      </w:pPr>
    </w:p>
    <w:p>
      <w:pPr>
        <w:ind w:right="260" w:firstLine="522"/>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5" w:lineRule="exact"/>
        <w:rPr>
          <w:sz w:val="20"/>
          <w:szCs w:val="20"/>
          <w:color w:val="auto"/>
        </w:rPr>
      </w:pPr>
    </w:p>
    <w:p>
      <w:pPr>
        <w:ind w:right="20" w:firstLine="522"/>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ectPr>
          <w:pgSz w:w="11900" w:h="16838" w:orient="portrait"/>
          <w:cols w:equalWidth="0" w:num="1">
            <w:col w:w="11420"/>
          </w:cols>
          <w:pgMar w:left="240" w:top="114" w:right="239" w:bottom="1132"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132"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40" w:firstLine="522"/>
        <w:spacing w:after="0" w:line="328" w:lineRule="auto"/>
        <w:rPr>
          <w:sz w:val="20"/>
          <w:szCs w:val="20"/>
          <w:color w:val="auto"/>
        </w:rPr>
      </w:pPr>
      <w:r>
        <w:rPr>
          <w:rFonts w:ascii="Arial" w:cs="Arial" w:eastAsia="Arial" w:hAnsi="Arial"/>
          <w:sz w:val="19"/>
          <w:szCs w:val="19"/>
          <w:color w:val="auto"/>
        </w:rPr>
        <w:t>Real estate we acquire as a result of foreclosure or by deed-in-lieu of foreclosure is classified as other real estate owned, or OREO, until sold and is initially recorded at fair value less costs to sell when acquired, establishing a new cost basis.</w:t>
      </w:r>
    </w:p>
    <w:p>
      <w:pPr>
        <w:spacing w:after="0" w:line="132" w:lineRule="exact"/>
        <w:rPr>
          <w:sz w:val="20"/>
          <w:szCs w:val="20"/>
          <w:color w:val="auto"/>
        </w:rPr>
      </w:pPr>
    </w:p>
    <w:p>
      <w:pPr>
        <w:ind w:right="140" w:firstLine="522"/>
        <w:spacing w:after="0" w:line="251"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March 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Nonaccrual loans: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200" w:type="dxa"/>
            <w:vAlign w:val="bottom"/>
          </w:tcPr>
          <w:p>
            <w:pPr>
              <w:spacing w:after="0"/>
              <w:rPr>
                <w:sz w:val="20"/>
                <w:szCs w:val="20"/>
                <w:color w:val="auto"/>
              </w:rPr>
            </w:pPr>
            <w:r>
              <w:rPr>
                <w:rFonts w:ascii="Arial" w:cs="Arial" w:eastAsia="Arial" w:hAnsi="Arial"/>
                <w:sz w:val="18"/>
                <w:szCs w:val="18"/>
                <w:b w:val="1"/>
                <w:bCs w:val="1"/>
                <w:color w:val="auto"/>
              </w:rPr>
              <w:t>in</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2"/>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8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Commercial – specialized</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 general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1-4 family residential</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20"/>
              <w:spacing w:after="0"/>
              <w:rPr>
                <w:sz w:val="20"/>
                <w:szCs w:val="20"/>
                <w:color w:val="auto"/>
              </w:rPr>
            </w:pPr>
            <w:r>
              <w:rPr>
                <w:rFonts w:ascii="Arial" w:cs="Arial" w:eastAsia="Arial" w:hAnsi="Arial"/>
                <w:sz w:val="18"/>
                <w:szCs w:val="18"/>
                <w:color w:val="auto"/>
              </w:rPr>
              <w:t>Auto loans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consumer</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Construction</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nonaccrual loans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nonperforming loans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nonperforming assets</w:t>
            </w: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5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pacing w:after="0" w:line="245" w:lineRule="exact"/>
        <w:rPr>
          <w:sz w:val="20"/>
          <w:szCs w:val="20"/>
          <w:color w:val="auto"/>
        </w:rPr>
      </w:pPr>
    </w:p>
    <w:p>
      <w:pPr>
        <w:ind w:firstLine="522"/>
        <w:spacing w:after="0" w:line="248" w:lineRule="auto"/>
        <w:rPr>
          <w:sz w:val="20"/>
          <w:szCs w:val="20"/>
          <w:color w:val="auto"/>
        </w:rPr>
      </w:pPr>
      <w:r>
        <w:rPr>
          <w:rFonts w:ascii="Arial" w:cs="Arial" w:eastAsia="Arial" w:hAnsi="Arial"/>
          <w:sz w:val="21"/>
          <w:szCs w:val="21"/>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4" w:lineRule="exact"/>
        <w:rPr>
          <w:sz w:val="20"/>
          <w:szCs w:val="20"/>
          <w:color w:val="auto"/>
        </w:rPr>
      </w:pPr>
    </w:p>
    <w:p>
      <w:pPr>
        <w:ind w:right="100" w:firstLine="522"/>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6" w:lineRule="exact"/>
        <w:rPr>
          <w:sz w:val="20"/>
          <w:szCs w:val="20"/>
          <w:color w:val="auto"/>
        </w:rPr>
      </w:pPr>
    </w:p>
    <w:p>
      <w:pPr>
        <w:ind w:right="1000" w:firstLine="522"/>
        <w:spacing w:after="0" w:line="328" w:lineRule="auto"/>
        <w:rPr>
          <w:sz w:val="20"/>
          <w:szCs w:val="20"/>
          <w:color w:val="auto"/>
        </w:rPr>
      </w:pPr>
      <w:r>
        <w:rPr>
          <w:rFonts w:ascii="Arial" w:cs="Arial" w:eastAsia="Arial" w:hAnsi="Arial"/>
          <w:sz w:val="19"/>
          <w:szCs w:val="19"/>
          <w:color w:val="auto"/>
        </w:rPr>
        <w:t>We had no loans restructured as TDRs during the first three months of 2019 or 2018. TDRs are excluded from our nonperforming loans unless they otherwise meet the definition of nonaccrual loans or past due 90 days or more.</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ind w:right="100" w:firstLine="522"/>
        <w:spacing w:after="0" w:line="246" w:lineRule="auto"/>
        <w:rPr>
          <w:sz w:val="20"/>
          <w:szCs w:val="20"/>
          <w:color w:val="auto"/>
        </w:rPr>
      </w:pPr>
      <w:r>
        <w:rPr>
          <w:rFonts w:ascii="Arial" w:cs="Arial" w:eastAsia="Arial" w:hAnsi="Arial"/>
          <w:sz w:val="21"/>
          <w:szCs w:val="21"/>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ectPr>
          <w:pgSz w:w="11900" w:h="16838" w:orient="portrait"/>
          <w:cols w:equalWidth="0" w:num="1">
            <w:col w:w="11400"/>
          </w:cols>
          <w:pgMar w:left="240" w:top="121" w:right="25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0" w:firstLine="522"/>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All held-to-maturity securities are reported at amortized cost, adjusted for premiums and discounts that are recognized in interest income using the interest method over the period to maturity. All available-for-sale securities are reported at fair value. Securities available-for-sale consist primarily of state and municipal securities, mortgage-backed securities and U.S. government sponsored agency securities. We determine the appropriate classification at the time of purchase.</w:t>
      </w:r>
    </w:p>
    <w:p>
      <w:pPr>
        <w:spacing w:after="0" w:line="206"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The following table summarizes the fair value of the securities portfolio as of the dates presented. As of these dates, there were no securities classified as held-to-maturity.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3"/>
              </w:rPr>
              <w:t>March 31, 2019</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w w:val="90"/>
              </w:rPr>
              <w:t>December 31, 2018</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Amortized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93"/>
              </w:rPr>
              <w:t>Amortized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Gain/(Loss)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Cost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Gain/(Loss)</w:t>
            </w:r>
          </w:p>
        </w:tc>
        <w:tc>
          <w:tcPr>
            <w:tcW w:w="0" w:type="dxa"/>
            <w:vAlign w:val="bottom"/>
          </w:tcPr>
          <w:p>
            <w:pPr>
              <w:spacing w:after="0"/>
              <w:rPr>
                <w:sz w:val="1"/>
                <w:szCs w:val="1"/>
                <w:color w:val="auto"/>
              </w:rPr>
            </w:pPr>
          </w:p>
        </w:tc>
      </w:tr>
      <w:tr>
        <w:trPr>
          <w:trHeight w:val="234"/>
        </w:trPr>
        <w:tc>
          <w:tcPr>
            <w:tcW w:w="334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gridSpan w:val="2"/>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84,765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84,707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32,521</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32,205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32,310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182,784</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184,267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182,256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30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38,965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38,545</w:t>
            </w:r>
          </w:p>
        </w:tc>
        <w:tc>
          <w:tcPr>
            <w:tcW w:w="1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39,799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38,923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339,051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80" w:firstLine="522"/>
        <w:spacing w:after="0" w:line="282" w:lineRule="auto"/>
        <w:rPr>
          <w:sz w:val="20"/>
          <w:szCs w:val="20"/>
          <w:color w:val="auto"/>
        </w:rPr>
      </w:pPr>
      <w:r>
        <w:rPr>
          <w:rFonts w:ascii="Arial" w:cs="Arial" w:eastAsia="Arial" w:hAnsi="Arial"/>
          <w:sz w:val="19"/>
          <w:szCs w:val="19"/>
          <w:color w:val="auto"/>
        </w:rPr>
        <w:t>Certain securities have fair values less than amortized cost and, therefore, contain unrealized losses. At March 31, 2019,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5" w:lineRule="exact"/>
        <w:rPr>
          <w:sz w:val="20"/>
          <w:szCs w:val="20"/>
          <w:color w:val="auto"/>
        </w:rPr>
      </w:pPr>
    </w:p>
    <w:p>
      <w:pPr>
        <w:jc w:val="both"/>
        <w:ind w:right="400" w:firstLine="522"/>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 presented. Expected maturities may differ from contractual maturities if borrowers have the right to call or prepay obligation with or without call or prepayment penalties.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92"/>
              </w:rPr>
              <w:t>As of March 31, 2019</w:t>
            </w: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Due after One Year</w:t>
            </w:r>
          </w:p>
        </w:tc>
        <w:tc>
          <w:tcPr>
            <w:tcW w:w="160" w:type="dxa"/>
            <w:vAlign w:val="bottom"/>
          </w:tcPr>
          <w:p>
            <w:pPr>
              <w:spacing w:after="0"/>
              <w:rPr>
                <w:sz w:val="17"/>
                <w:szCs w:val="17"/>
                <w:color w:val="auto"/>
              </w:rPr>
            </w:pPr>
          </w:p>
        </w:tc>
        <w:tc>
          <w:tcPr>
            <w:tcW w:w="2140" w:type="dxa"/>
            <w:vAlign w:val="bottom"/>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Due in One Year or Less</w:t>
            </w:r>
          </w:p>
        </w:tc>
        <w:tc>
          <w:tcPr>
            <w:tcW w:w="180" w:type="dxa"/>
            <w:vAlign w:val="bottom"/>
          </w:tcPr>
          <w:p>
            <w:pPr>
              <w:spacing w:after="0"/>
              <w:rPr>
                <w:sz w:val="20"/>
                <w:szCs w:val="20"/>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60" w:type="dxa"/>
            <w:vAlign w:val="bottom"/>
          </w:tcPr>
          <w:p>
            <w:pPr>
              <w:spacing w:after="0"/>
              <w:rPr>
                <w:sz w:val="20"/>
                <w:szCs w:val="20"/>
                <w:color w:val="auto"/>
              </w:rPr>
            </w:pP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Through Ten Years</w:t>
            </w:r>
          </w:p>
        </w:tc>
        <w:tc>
          <w:tcPr>
            <w:tcW w:w="16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b w:val="1"/>
                <w:bCs w:val="1"/>
                <w:color w:val="auto"/>
              </w:rPr>
              <w:t>Due after Ten Years</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(Dollars in thousands)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6,847</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12,006</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19,642</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Mortgage-backed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28,866</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152,436</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2"/>
        </w:trPr>
        <w:tc>
          <w:tcPr>
            <w:tcW w:w="2260" w:type="dxa"/>
            <w:vAlign w:val="bottom"/>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300"/>
              <w:spacing w:after="0"/>
              <w:rPr>
                <w:sz w:val="20"/>
                <w:szCs w:val="20"/>
                <w:color w:val="auto"/>
              </w:rPr>
            </w:pPr>
            <w:r>
              <w:rPr>
                <w:rFonts w:ascii="Arial" w:cs="Arial" w:eastAsia="Arial" w:hAnsi="Arial"/>
                <w:sz w:val="18"/>
                <w:szCs w:val="18"/>
                <w:color w:val="auto"/>
              </w:rPr>
              <w:t>amortizing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38,965</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78,370</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22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40,872</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211,043</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2.97%</w:t>
            </w: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8"/>
                <w:szCs w:val="18"/>
                <w:b w:val="1"/>
                <w:bCs w:val="1"/>
                <w:color w:val="auto"/>
                <w:w w:val="88"/>
              </w:rPr>
              <w:t>As of December 31, 2018</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4"/>
          </w:tcPr>
          <w:p>
            <w:pPr>
              <w:ind w:left="80"/>
              <w:spacing w:after="0" w:line="198" w:lineRule="exact"/>
              <w:rPr>
                <w:sz w:val="20"/>
                <w:szCs w:val="20"/>
                <w:color w:val="auto"/>
              </w:rPr>
            </w:pPr>
            <w:r>
              <w:rPr>
                <w:rFonts w:ascii="Arial" w:cs="Arial" w:eastAsia="Arial" w:hAnsi="Arial"/>
                <w:sz w:val="18"/>
                <w:szCs w:val="18"/>
                <w:b w:val="1"/>
                <w:bCs w:val="1"/>
                <w:color w:val="auto"/>
              </w:rPr>
              <w:t>Due after One Year</w:t>
            </w:r>
          </w:p>
        </w:tc>
        <w:tc>
          <w:tcPr>
            <w:tcW w:w="160" w:type="dxa"/>
            <w:vAlign w:val="bottom"/>
          </w:tcPr>
          <w:p>
            <w:pPr>
              <w:spacing w:after="0"/>
              <w:rPr>
                <w:sz w:val="17"/>
                <w:szCs w:val="17"/>
                <w:color w:val="auto"/>
              </w:rPr>
            </w:pPr>
          </w:p>
        </w:tc>
        <w:tc>
          <w:tcPr>
            <w:tcW w:w="2140" w:type="dxa"/>
            <w:vAlign w:val="bottom"/>
            <w:gridSpan w:val="4"/>
          </w:tcPr>
          <w:p>
            <w:pPr>
              <w:jc w:val="right"/>
              <w:ind w:right="50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Due in One Year or Less</w:t>
            </w:r>
          </w:p>
        </w:tc>
        <w:tc>
          <w:tcPr>
            <w:tcW w:w="180" w:type="dxa"/>
            <w:vAlign w:val="bottom"/>
          </w:tcPr>
          <w:p>
            <w:pPr>
              <w:spacing w:after="0"/>
              <w:rPr>
                <w:sz w:val="20"/>
                <w:szCs w:val="20"/>
                <w:color w:val="auto"/>
              </w:rPr>
            </w:pPr>
          </w:p>
        </w:tc>
        <w:tc>
          <w:tcPr>
            <w:tcW w:w="21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Through Five Years</w:t>
            </w:r>
          </w:p>
        </w:tc>
        <w:tc>
          <w:tcPr>
            <w:tcW w:w="160" w:type="dxa"/>
            <w:vAlign w:val="bottom"/>
          </w:tcPr>
          <w:p>
            <w:pPr>
              <w:spacing w:after="0"/>
              <w:rPr>
                <w:sz w:val="20"/>
                <w:szCs w:val="20"/>
                <w:color w:val="auto"/>
              </w:rPr>
            </w:pPr>
          </w:p>
        </w:tc>
        <w:tc>
          <w:tcPr>
            <w:tcW w:w="2140" w:type="dxa"/>
            <w:vAlign w:val="bottom"/>
            <w:gridSpan w:val="4"/>
          </w:tcPr>
          <w:p>
            <w:pPr>
              <w:ind w:left="100"/>
              <w:spacing w:after="0"/>
              <w:rPr>
                <w:sz w:val="20"/>
                <w:szCs w:val="20"/>
                <w:color w:val="auto"/>
              </w:rPr>
            </w:pPr>
            <w:r>
              <w:rPr>
                <w:rFonts w:ascii="Arial" w:cs="Arial" w:eastAsia="Arial" w:hAnsi="Arial"/>
                <w:sz w:val="18"/>
                <w:szCs w:val="18"/>
                <w:b w:val="1"/>
                <w:bCs w:val="1"/>
                <w:color w:val="auto"/>
              </w:rPr>
              <w:t>Through Ten Years</w:t>
            </w:r>
          </w:p>
        </w:tc>
        <w:tc>
          <w:tcPr>
            <w:tcW w:w="160" w:type="dxa"/>
            <w:vAlign w:val="bottom"/>
          </w:tcPr>
          <w:p>
            <w:pPr>
              <w:spacing w:after="0"/>
              <w:rPr>
                <w:sz w:val="20"/>
                <w:szCs w:val="20"/>
                <w:color w:val="auto"/>
              </w:rPr>
            </w:pPr>
          </w:p>
        </w:tc>
        <w:tc>
          <w:tcPr>
            <w:tcW w:w="2020" w:type="dxa"/>
            <w:vAlign w:val="bottom"/>
            <w:gridSpan w:val="4"/>
          </w:tcPr>
          <w:p>
            <w:pPr>
              <w:ind w:left="80"/>
              <w:spacing w:after="0"/>
              <w:rPr>
                <w:sz w:val="20"/>
                <w:szCs w:val="20"/>
                <w:color w:val="auto"/>
              </w:rPr>
            </w:pPr>
            <w:r>
              <w:rPr>
                <w:rFonts w:ascii="Arial" w:cs="Arial" w:eastAsia="Arial" w:hAnsi="Arial"/>
                <w:sz w:val="18"/>
                <w:szCs w:val="18"/>
                <w:b w:val="1"/>
                <w:bCs w:val="1"/>
                <w:color w:val="auto"/>
              </w:rPr>
              <w:t>Due after Ten Years</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Amortized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6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(Dollars in thousands)</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6,847</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16"/>
        </w:trPr>
        <w:tc>
          <w:tcPr>
            <w:tcW w:w="226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8,995</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22,740</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Mortgage-backed securities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1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32,037</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152,133</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2"/>
        </w:trPr>
        <w:tc>
          <w:tcPr>
            <w:tcW w:w="2260" w:type="dxa"/>
            <w:vAlign w:val="bottom"/>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300"/>
              <w:spacing w:after="0"/>
              <w:rPr>
                <w:sz w:val="20"/>
                <w:szCs w:val="20"/>
                <w:color w:val="auto"/>
              </w:rPr>
            </w:pPr>
            <w:r>
              <w:rPr>
                <w:rFonts w:ascii="Arial" w:cs="Arial" w:eastAsia="Arial" w:hAnsi="Arial"/>
                <w:sz w:val="18"/>
                <w:szCs w:val="18"/>
                <w:color w:val="auto"/>
              </w:rPr>
              <w:t>amortizing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39,799</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available-for-sale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77,918</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7,414</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41,032</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214,672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0"/>
              </w:rPr>
              <w:t>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916"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916"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ind w:right="240" w:firstLine="522"/>
        <w:spacing w:after="0" w:line="252" w:lineRule="auto"/>
        <w:rPr>
          <w:sz w:val="20"/>
          <w:szCs w:val="20"/>
          <w:color w:val="auto"/>
        </w:rPr>
      </w:pPr>
      <w:r>
        <w:rPr>
          <w:rFonts w:ascii="Arial" w:cs="Arial" w:eastAsia="Arial" w:hAnsi="Arial"/>
          <w:sz w:val="21"/>
          <w:szCs w:val="21"/>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01" w:lineRule="exact"/>
        <w:rPr>
          <w:sz w:val="20"/>
          <w:szCs w:val="20"/>
          <w:color w:val="auto"/>
        </w:rPr>
      </w:pPr>
    </w:p>
    <w:p>
      <w:pPr>
        <w:ind w:right="260" w:firstLine="522"/>
        <w:spacing w:after="0" w:line="258" w:lineRule="auto"/>
        <w:rPr>
          <w:sz w:val="20"/>
          <w:szCs w:val="20"/>
          <w:color w:val="auto"/>
        </w:rPr>
      </w:pPr>
      <w:r>
        <w:rPr>
          <w:rFonts w:ascii="Arial" w:cs="Arial" w:eastAsia="Arial" w:hAnsi="Arial"/>
          <w:sz w:val="21"/>
          <w:szCs w:val="21"/>
          <w:color w:val="auto"/>
        </w:rPr>
        <w:t>Total deposits at March 31, 2019 were $2.30 billion, representing an increase of $27.5 million, or 1.2%, compared to $2.28 billion at December 31, 2018. As of March 31, 2019, 21.6% of total deposits were comprised of noninterest-bearing demand accounts, 64.7% of interest-bearing non-maturity accounts and 13.7% of time deposits.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following table shows the deposit mix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20"/>
                <w:szCs w:val="20"/>
                <w:color w:val="auto"/>
              </w:rPr>
            </w:pPr>
          </w:p>
        </w:tc>
        <w:tc>
          <w:tcPr>
            <w:tcW w:w="24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December 31, 2018</w:t>
            </w:r>
          </w:p>
        </w:tc>
      </w:tr>
      <w:tr>
        <w:trPr>
          <w:trHeight w:val="223"/>
        </w:trPr>
        <w:tc>
          <w:tcPr>
            <w:tcW w:w="4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Total</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 of Total</w:t>
            </w:r>
          </w:p>
        </w:tc>
        <w:tc>
          <w:tcPr>
            <w:tcW w:w="160" w:type="dxa"/>
            <w:vAlign w:val="bottom"/>
          </w:tcPr>
          <w:p>
            <w:pPr>
              <w:spacing w:after="0"/>
              <w:rPr>
                <w:sz w:val="19"/>
                <w:szCs w:val="19"/>
                <w:color w:val="auto"/>
              </w:rPr>
            </w:pPr>
          </w:p>
        </w:tc>
      </w:tr>
      <w:tr>
        <w:trPr>
          <w:trHeight w:val="216"/>
        </w:trPr>
        <w:tc>
          <w:tcPr>
            <w:tcW w:w="4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(Dollars in thousands)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497,566</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510,067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NOW and other transaction accounts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285,962</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277,041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Money market and other savings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1,204,702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1,178,809</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Time deposits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316,699</w:t>
            </w: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311,537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r>
      <w:tr>
        <w:trPr>
          <w:trHeight w:val="27"/>
        </w:trPr>
        <w:tc>
          <w:tcPr>
            <w:tcW w:w="4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deposits</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2,304,929</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2,277,454</w:t>
            </w: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tables set forth the remaining maturity of time deposits of $100,000 and greater as of the date indicated:</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17145</wp:posOffset>
            </wp:positionV>
            <wp:extent cx="42024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2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Time deposits $100,000 or greater with remaining maturity of:</w:t>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Three months or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After three months through six months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After six months through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-130810</wp:posOffset>
            </wp:positionV>
            <wp:extent cx="50685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After twelve months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-121920</wp:posOffset>
            </wp:positionV>
            <wp:extent cx="506857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857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815"/>
        <w:spacing w:after="0"/>
        <w:rPr>
          <w:sz w:val="20"/>
          <w:szCs w:val="20"/>
          <w:color w:val="auto"/>
        </w:rPr>
      </w:pPr>
      <w:r>
        <w:rPr>
          <w:rFonts w:ascii="Arial" w:cs="Arial" w:eastAsia="Arial" w:hAnsi="Arial"/>
          <w:sz w:val="18"/>
          <w:szCs w:val="18"/>
          <w:b w:val="1"/>
          <w:bCs w:val="1"/>
          <w:color w:val="auto"/>
        </w:rPr>
        <w:t>March 31,</w:t>
      </w:r>
    </w:p>
    <w:p>
      <w:pPr>
        <w:spacing w:after="0" w:line="27" w:lineRule="exact"/>
        <w:rPr>
          <w:sz w:val="20"/>
          <w:szCs w:val="20"/>
          <w:color w:val="auto"/>
        </w:rPr>
      </w:pPr>
    </w:p>
    <w:p>
      <w:pPr>
        <w:jc w:val="center"/>
        <w:ind w:right="1815"/>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18" w:lineRule="exact"/>
        <w:rPr>
          <w:sz w:val="20"/>
          <w:szCs w:val="20"/>
          <w:color w:val="auto"/>
        </w:rPr>
      </w:pPr>
    </w:p>
    <w:p>
      <w:pPr>
        <w:ind w:left="665" w:hanging="665"/>
        <w:spacing w:after="0"/>
        <w:tabs>
          <w:tab w:leader="none" w:pos="665" w:val="left"/>
        </w:tabs>
        <w:numPr>
          <w:ilvl w:val="0"/>
          <w:numId w:val="21"/>
        </w:numPr>
        <w:rPr>
          <w:rFonts w:ascii="Arial" w:cs="Arial" w:eastAsia="Arial" w:hAnsi="Arial"/>
          <w:sz w:val="16"/>
          <w:szCs w:val="16"/>
          <w:color w:val="auto"/>
        </w:rPr>
      </w:pPr>
      <w:r>
        <w:rPr>
          <w:rFonts w:ascii="Arial" w:cs="Arial" w:eastAsia="Arial" w:hAnsi="Arial"/>
          <w:sz w:val="16"/>
          <w:szCs w:val="16"/>
          <w:color w:val="auto"/>
        </w:rPr>
        <w:t>26,731</w:t>
      </w:r>
    </w:p>
    <w:p>
      <w:pPr>
        <w:spacing w:after="0" w:line="46" w:lineRule="exact"/>
        <w:rPr>
          <w:rFonts w:ascii="Arial" w:cs="Arial" w:eastAsia="Arial" w:hAnsi="Arial"/>
          <w:sz w:val="16"/>
          <w:szCs w:val="16"/>
          <w:color w:val="auto"/>
        </w:rPr>
      </w:pPr>
    </w:p>
    <w:p>
      <w:pPr>
        <w:ind w:left="665"/>
        <w:spacing w:after="0"/>
        <w:rPr>
          <w:rFonts w:ascii="Arial" w:cs="Arial" w:eastAsia="Arial" w:hAnsi="Arial"/>
          <w:sz w:val="16"/>
          <w:szCs w:val="16"/>
          <w:color w:val="auto"/>
        </w:rPr>
      </w:pPr>
      <w:r>
        <w:rPr>
          <w:rFonts w:ascii="Arial" w:cs="Arial" w:eastAsia="Arial" w:hAnsi="Arial"/>
          <w:sz w:val="16"/>
          <w:szCs w:val="16"/>
          <w:color w:val="auto"/>
        </w:rPr>
        <w:t>32,144</w:t>
      </w:r>
    </w:p>
    <w:p>
      <w:pPr>
        <w:spacing w:after="0" w:line="32" w:lineRule="exact"/>
        <w:rPr>
          <w:sz w:val="20"/>
          <w:szCs w:val="20"/>
          <w:color w:val="auto"/>
        </w:rPr>
      </w:pPr>
    </w:p>
    <w:p>
      <w:pPr>
        <w:ind w:left="665"/>
        <w:spacing w:after="0"/>
        <w:rPr>
          <w:sz w:val="20"/>
          <w:szCs w:val="20"/>
          <w:color w:val="auto"/>
        </w:rPr>
      </w:pPr>
      <w:r>
        <w:rPr>
          <w:rFonts w:ascii="Arial" w:cs="Arial" w:eastAsia="Arial" w:hAnsi="Arial"/>
          <w:sz w:val="16"/>
          <w:szCs w:val="16"/>
          <w:color w:val="auto"/>
        </w:rPr>
        <w:t>54,911</w:t>
      </w:r>
    </w:p>
    <w:p>
      <w:pPr>
        <w:spacing w:after="0" w:line="32" w:lineRule="exact"/>
        <w:rPr>
          <w:sz w:val="20"/>
          <w:szCs w:val="20"/>
          <w:color w:val="auto"/>
        </w:rPr>
      </w:pPr>
    </w:p>
    <w:p>
      <w:pPr>
        <w:ind w:left="585"/>
        <w:spacing w:after="0"/>
        <w:rPr>
          <w:sz w:val="20"/>
          <w:szCs w:val="20"/>
          <w:color w:val="auto"/>
        </w:rPr>
      </w:pPr>
      <w:r>
        <w:rPr>
          <w:rFonts w:ascii="Arial" w:cs="Arial" w:eastAsia="Arial" w:hAnsi="Arial"/>
          <w:sz w:val="16"/>
          <w:szCs w:val="16"/>
          <w:color w:val="auto"/>
        </w:rPr>
        <w:t>123,996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3723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7235" cy="17145"/>
                    </a:xfrm>
                    <a:prstGeom prst="rect">
                      <a:avLst/>
                    </a:prstGeom>
                    <a:noFill/>
                  </pic:spPr>
                </pic:pic>
              </a:graphicData>
            </a:graphic>
          </wp:anchor>
        </w:drawing>
      </w:r>
    </w:p>
    <w:p>
      <w:pPr>
        <w:spacing w:after="0" w:line="25" w:lineRule="exact"/>
        <w:rPr>
          <w:sz w:val="20"/>
          <w:szCs w:val="20"/>
          <w:color w:val="auto"/>
        </w:rPr>
      </w:pPr>
    </w:p>
    <w:p>
      <w:pPr>
        <w:ind w:left="585" w:hanging="585"/>
        <w:spacing w:after="0"/>
        <w:tabs>
          <w:tab w:leader="none" w:pos="5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237,782</w:t>
      </w:r>
    </w:p>
    <w:p>
      <w:pPr>
        <w:spacing w:after="0" w:line="222" w:lineRule="exact"/>
        <w:rPr>
          <w:sz w:val="20"/>
          <w:szCs w:val="20"/>
          <w:color w:val="auto"/>
        </w:rPr>
      </w:pPr>
    </w:p>
    <w:p>
      <w:pPr>
        <w:sectPr>
          <w:pgSz w:w="11900" w:h="16838" w:orient="portrait"/>
          <w:cols w:equalWidth="0" w:num="2">
            <w:col w:w="7715" w:space="720"/>
            <w:col w:w="2985"/>
          </w:cols>
          <w:pgMar w:left="240" w:top="122" w:right="23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ind w:right="60" w:firstLine="522"/>
        <w:spacing w:after="0" w:line="251" w:lineRule="auto"/>
        <w:rPr>
          <w:sz w:val="20"/>
          <w:szCs w:val="20"/>
          <w:color w:val="auto"/>
        </w:rPr>
      </w:pPr>
      <w:r>
        <w:rPr>
          <w:rFonts w:ascii="Arial" w:cs="Arial" w:eastAsia="Arial" w:hAnsi="Arial"/>
          <w:sz w:val="22"/>
          <w:szCs w:val="22"/>
          <w:color w:val="auto"/>
        </w:rPr>
        <w:t>In addition to deposits, we utilize advances from the Federal Home Loan Bank of Dallas, or the FHLB, and other borrowings as a supplementary funding source to finance our operations.</w:t>
      </w:r>
    </w:p>
    <w:p>
      <w:pPr>
        <w:spacing w:after="0" w:line="200" w:lineRule="exact"/>
        <w:rPr>
          <w:sz w:val="20"/>
          <w:szCs w:val="20"/>
          <w:color w:val="auto"/>
        </w:rPr>
      </w:pPr>
    </w:p>
    <w:p>
      <w:pPr>
        <w:ind w:right="80" w:firstLine="522"/>
        <w:spacing w:after="0" w:line="275" w:lineRule="auto"/>
        <w:rPr>
          <w:sz w:val="20"/>
          <w:szCs w:val="20"/>
          <w:color w:val="auto"/>
        </w:rPr>
      </w:pPr>
      <w:r>
        <w:rPr>
          <w:rFonts w:ascii="Arial" w:cs="Arial" w:eastAsia="Arial" w:hAnsi="Arial"/>
          <w:sz w:val="19"/>
          <w:szCs w:val="19"/>
          <w:i w:val="1"/>
          <w:iCs w:val="1"/>
          <w:color w:val="auto"/>
        </w:rPr>
        <w:t>FHLB Advances</w:t>
      </w:r>
      <w:r>
        <w:rPr>
          <w:rFonts w:ascii="Arial" w:cs="Arial" w:eastAsia="Arial" w:hAnsi="Arial"/>
          <w:sz w:val="19"/>
          <w:szCs w:val="19"/>
          <w:color w:val="auto"/>
        </w:rPr>
        <w:t>. The FHLB allows us to borrow, both short and long-term, on a blanket floating lien status collateralized by</w:t>
      </w:r>
      <w:r>
        <w:rPr>
          <w:rFonts w:ascii="Arial" w:cs="Arial" w:eastAsia="Arial" w:hAnsi="Arial"/>
          <w:sz w:val="19"/>
          <w:szCs w:val="19"/>
          <w:i w:val="1"/>
          <w:iCs w:val="1"/>
          <w:color w:val="auto"/>
        </w:rPr>
        <w:t xml:space="preserve"> </w:t>
      </w:r>
      <w:r>
        <w:rPr>
          <w:rFonts w:ascii="Arial" w:cs="Arial" w:eastAsia="Arial" w:hAnsi="Arial"/>
          <w:sz w:val="19"/>
          <w:szCs w:val="19"/>
          <w:color w:val="auto"/>
        </w:rPr>
        <w:t>first mortgage loans and commercial real estate loans as well as FHLB stock. At March 31, 2019 and December 31, 2018, we had maximum borrowing capacity from the FHLB of $759.9 million and $724.8 million, respectively. We had $199.0 million in off-balance sheet liabilities for letters of credit at March 31, 2019 and December 31, 2018, respectively. These letters of credit are used to pledge as collateral for public funds deposits. We had no short-term FHLB borrowings as of March 31, 2019 and December 31, 2018. We had long-term FHLB borrowings of $95.0 million as of March 31, 2019 and December 31, 2018. As of March 31, 2019 and December 31, 2018, total remaining borrowing capacity of $456.9 million and $425.4 million, respectively, was available under this arrangement. Our current FHLB borrowings mature within seven years.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our FHLB borrowings as of and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March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r>
      <w:tr>
        <w:trPr>
          <w:trHeight w:val="241"/>
        </w:trPr>
        <w:tc>
          <w:tcPr>
            <w:tcW w:w="8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r>
      <w:tr>
        <w:trPr>
          <w:trHeight w:val="216"/>
        </w:trPr>
        <w:tc>
          <w:tcPr>
            <w:tcW w:w="8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end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 average interest rate at end of the period</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Average balance outstanding during the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period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type w:val="continuous"/>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60" w:firstLine="522"/>
        <w:spacing w:after="0" w:line="236" w:lineRule="auto"/>
        <w:rPr>
          <w:sz w:val="20"/>
          <w:szCs w:val="20"/>
          <w:color w:val="auto"/>
        </w:rPr>
      </w:pPr>
      <w:r>
        <w:rPr>
          <w:rFonts w:ascii="Arial" w:cs="Arial" w:eastAsia="Arial" w:hAnsi="Arial"/>
          <w:sz w:val="22"/>
          <w:szCs w:val="22"/>
          <w:i w:val="1"/>
          <w:iCs w:val="1"/>
          <w:color w:val="auto"/>
        </w:rPr>
        <w:t>Federal Reserve Bank of Dallas</w:t>
      </w:r>
      <w:r>
        <w:rPr>
          <w:rFonts w:ascii="Arial" w:cs="Arial" w:eastAsia="Arial" w:hAnsi="Arial"/>
          <w:sz w:val="22"/>
          <w:szCs w:val="22"/>
          <w:color w:val="auto"/>
        </w:rPr>
        <w:t>. The Bank has a line of credit with the Federal Reserve Bank of Dallas, or the Federal</w:t>
      </w:r>
      <w:r>
        <w:rPr>
          <w:rFonts w:ascii="Arial" w:cs="Arial" w:eastAsia="Arial" w:hAnsi="Arial"/>
          <w:sz w:val="22"/>
          <w:szCs w:val="22"/>
          <w:i w:val="1"/>
          <w:iCs w:val="1"/>
          <w:color w:val="auto"/>
        </w:rPr>
        <w:t xml:space="preserve"> </w:t>
      </w:r>
      <w:r>
        <w:rPr>
          <w:rFonts w:ascii="Arial" w:cs="Arial" w:eastAsia="Arial" w:hAnsi="Arial"/>
          <w:sz w:val="22"/>
          <w:szCs w:val="22"/>
          <w:color w:val="auto"/>
        </w:rPr>
        <w:t>Reserve. The amount of the line is determined on a monthly basis by the Federal Reserve. The line is collateralized by a blanket floating lien on all agriculture, commercial and consumer loans. The amount of the line was $487.5 million and $531.9 million at March 31, 2019 and December 31, 2018, respectively. The line was not used during the three month period ended March 31, 2019 or December 31, 2018.</w:t>
      </w:r>
    </w:p>
    <w:p>
      <w:pPr>
        <w:spacing w:after="0" w:line="215" w:lineRule="exact"/>
        <w:rPr>
          <w:sz w:val="20"/>
          <w:szCs w:val="20"/>
          <w:color w:val="auto"/>
        </w:rPr>
      </w:pPr>
    </w:p>
    <w:p>
      <w:pPr>
        <w:ind w:right="260" w:firstLine="522"/>
        <w:spacing w:after="0"/>
        <w:rPr>
          <w:sz w:val="20"/>
          <w:szCs w:val="20"/>
          <w:color w:val="auto"/>
        </w:rPr>
      </w:pPr>
      <w:r>
        <w:rPr>
          <w:rFonts w:ascii="Arial" w:cs="Arial" w:eastAsia="Arial" w:hAnsi="Arial"/>
          <w:sz w:val="22"/>
          <w:szCs w:val="22"/>
          <w:i w:val="1"/>
          <w:iCs w:val="1"/>
          <w:color w:val="auto"/>
        </w:rPr>
        <w:t>Lines of Credit</w:t>
      </w:r>
      <w:r>
        <w:rPr>
          <w:rFonts w:ascii="Arial" w:cs="Arial" w:eastAsia="Arial" w:hAnsi="Arial"/>
          <w:sz w:val="22"/>
          <w:szCs w:val="22"/>
          <w:color w:val="auto"/>
        </w:rPr>
        <w:t>. The Bank has uncollateralized lines of credit with multiple banks as a source of funding for liquidity</w:t>
      </w:r>
      <w:r>
        <w:rPr>
          <w:rFonts w:ascii="Arial" w:cs="Arial" w:eastAsia="Arial" w:hAnsi="Arial"/>
          <w:sz w:val="22"/>
          <w:szCs w:val="22"/>
          <w:i w:val="1"/>
          <w:iCs w:val="1"/>
          <w:color w:val="auto"/>
        </w:rPr>
        <w:t xml:space="preserve"> </w:t>
      </w:r>
      <w:r>
        <w:rPr>
          <w:rFonts w:ascii="Arial" w:cs="Arial" w:eastAsia="Arial" w:hAnsi="Arial"/>
          <w:sz w:val="22"/>
          <w:szCs w:val="22"/>
          <w:color w:val="auto"/>
        </w:rPr>
        <w:t>management. The total amount of the lines was $135.0 million as of March 31, 2019 and December 31, 2018. The lines were not used during the three month period ended March 31, 2019 or December 31, 2018.</w:t>
      </w:r>
    </w:p>
    <w:p>
      <w:pPr>
        <w:spacing w:after="0" w:line="213" w:lineRule="exact"/>
        <w:rPr>
          <w:sz w:val="20"/>
          <w:szCs w:val="20"/>
          <w:color w:val="auto"/>
        </w:rPr>
      </w:pPr>
    </w:p>
    <w:p>
      <w:pPr>
        <w:ind w:right="20" w:firstLine="522"/>
        <w:spacing w:after="0" w:line="274" w:lineRule="auto"/>
        <w:rPr>
          <w:sz w:val="20"/>
          <w:szCs w:val="20"/>
          <w:color w:val="auto"/>
        </w:rPr>
      </w:pPr>
      <w:r>
        <w:rPr>
          <w:rFonts w:ascii="Arial" w:cs="Arial" w:eastAsia="Arial" w:hAnsi="Arial"/>
          <w:sz w:val="19"/>
          <w:szCs w:val="19"/>
          <w:i w:val="1"/>
          <w:iCs w:val="1"/>
          <w:color w:val="auto"/>
        </w:rPr>
        <w:t>Subordinated Debt Securities</w:t>
      </w:r>
      <w:r>
        <w:rPr>
          <w:rFonts w:ascii="Arial" w:cs="Arial" w:eastAsia="Arial" w:hAnsi="Arial"/>
          <w:sz w:val="19"/>
          <w:szCs w:val="19"/>
          <w:color w:val="auto"/>
        </w:rPr>
        <w:t>. In January 2014, the Company issued $20.9 million in subordinated debt securities. These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securities pay interest quarterly and mature January 2024. There was $14.4 million issued at an initial rate of 5.0% and $6.5 million issued at an initial rate of 4.0% at March 31, 2019. These rates are fixed for five years from issuance and then float at the </w:t>
      </w:r>
      <w:r>
        <w:rPr>
          <w:rFonts w:ascii="Arial" w:cs="Arial" w:eastAsia="Arial" w:hAnsi="Arial"/>
          <w:sz w:val="19"/>
          <w:szCs w:val="19"/>
          <w:i w:val="1"/>
          <w:iCs w:val="1"/>
          <w:color w:val="auto"/>
        </w:rPr>
        <w:t>Wall</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Street Journal </w:t>
      </w:r>
      <w:r>
        <w:rPr>
          <w:rFonts w:ascii="Arial" w:cs="Arial" w:eastAsia="Arial" w:hAnsi="Arial"/>
          <w:sz w:val="19"/>
          <w:szCs w:val="19"/>
          <w:color w:val="auto"/>
        </w:rPr>
        <w:t>prime rate, with a floor of 4.0% and a ceiling of 7.5%. The securities are unsecured and could be called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at any time after January 2019, and they qualify for tier 2 capital treatment, subject to regulatory limitations. In December 2018, we notified all holders of our subordinated debt securities that we intended to call these securities in January 2019 and provided holders the option to exchange their current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redeemed.</w:t>
      </w:r>
    </w:p>
    <w:p>
      <w:pPr>
        <w:spacing w:after="0" w:line="186" w:lineRule="exact"/>
        <w:rPr>
          <w:sz w:val="20"/>
          <w:szCs w:val="20"/>
          <w:color w:val="auto"/>
        </w:rPr>
      </w:pPr>
    </w:p>
    <w:p>
      <w:pPr>
        <w:ind w:right="40" w:firstLine="522"/>
        <w:spacing w:after="0" w:line="275" w:lineRule="auto"/>
        <w:rPr>
          <w:sz w:val="20"/>
          <w:szCs w:val="20"/>
          <w:color w:val="auto"/>
        </w:rPr>
      </w:pPr>
      <w:r>
        <w:rPr>
          <w:rFonts w:ascii="Arial" w:cs="Arial" w:eastAsia="Arial" w:hAnsi="Arial"/>
          <w:sz w:val="19"/>
          <w:szCs w:val="19"/>
          <w:color w:val="auto"/>
        </w:rPr>
        <w:t>In December 2018, the Company issued $26.5 million in subordinated debt securities, including $13.4 million issued in exchange for our previously issued notes as described above. Securities totaling $12.4 million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The balance of subordinated debt securities as of March 31, 2019 was $26.5 million, compared to $34.0 million as of December 31, 2018.</w:t>
      </w:r>
    </w:p>
    <w:p>
      <w:pPr>
        <w:spacing w:after="0" w:line="185" w:lineRule="exact"/>
        <w:rPr>
          <w:sz w:val="20"/>
          <w:szCs w:val="20"/>
          <w:color w:val="auto"/>
        </w:rPr>
      </w:pPr>
    </w:p>
    <w:p>
      <w:pPr>
        <w:ind w:firstLine="522"/>
        <w:spacing w:after="0" w:line="246" w:lineRule="auto"/>
        <w:rPr>
          <w:sz w:val="20"/>
          <w:szCs w:val="20"/>
          <w:color w:val="auto"/>
        </w:rPr>
      </w:pPr>
      <w:r>
        <w:rPr>
          <w:rFonts w:ascii="Arial" w:cs="Arial" w:eastAsia="Arial" w:hAnsi="Arial"/>
          <w:sz w:val="21"/>
          <w:szCs w:val="21"/>
          <w:i w:val="1"/>
          <w:iCs w:val="1"/>
          <w:color w:val="auto"/>
        </w:rPr>
        <w:t>Junior Subordinated Deferrable Interest Debentures and Trust Preferred Securities</w:t>
      </w:r>
      <w:r>
        <w:rPr>
          <w:rFonts w:ascii="Arial" w:cs="Arial" w:eastAsia="Arial" w:hAnsi="Arial"/>
          <w:sz w:val="21"/>
          <w:szCs w:val="21"/>
          <w:color w:val="auto"/>
        </w:rPr>
        <w:t>. Between March 2004 and June 2007, the</w:t>
      </w:r>
      <w:r>
        <w:rPr>
          <w:rFonts w:ascii="Arial" w:cs="Arial" w:eastAsia="Arial" w:hAnsi="Arial"/>
          <w:sz w:val="21"/>
          <w:szCs w:val="21"/>
          <w:i w:val="1"/>
          <w:iCs w:val="1"/>
          <w:color w:val="auto"/>
        </w:rPr>
        <w:t xml:space="preserve"> </w:t>
      </w:r>
      <w:r>
        <w:rPr>
          <w:rFonts w:ascii="Arial" w:cs="Arial" w:eastAsia="Arial" w:hAnsi="Arial"/>
          <w:sz w:val="21"/>
          <w:szCs w:val="21"/>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March 31, 2019 and December 31, 2018. The Company has the right, as has been exercised in the past, to defer payments of interest on the securities for up to twenty consecutive quarters. During such time, corporate dividends may not be paid. The Company is current in its interest payments on the debentures.</w:t>
      </w:r>
    </w:p>
    <w:p>
      <w:pPr>
        <w:spacing w:after="0" w:line="208" w:lineRule="exact"/>
        <w:rPr>
          <w:sz w:val="20"/>
          <w:szCs w:val="20"/>
          <w:color w:val="auto"/>
        </w:rPr>
      </w:pPr>
    </w:p>
    <w:p>
      <w:pPr>
        <w:ind w:right="40" w:firstLine="522"/>
        <w:spacing w:after="0" w:line="287" w:lineRule="auto"/>
        <w:rPr>
          <w:sz w:val="20"/>
          <w:szCs w:val="20"/>
          <w:color w:val="auto"/>
        </w:rPr>
      </w:pPr>
      <w:r>
        <w:rPr>
          <w:rFonts w:ascii="Arial" w:cs="Arial" w:eastAsia="Arial" w:hAnsi="Arial"/>
          <w:sz w:val="19"/>
          <w:szCs w:val="19"/>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45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67"/>
        </w:trPr>
        <w:tc>
          <w:tcPr>
            <w:tcW w:w="2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Stated</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Maturity Date</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 Trust</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of Trust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Issue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Preferred</w:t>
            </w:r>
          </w:p>
        </w:tc>
        <w:tc>
          <w:tcPr>
            <w:tcW w:w="100" w:type="dxa"/>
            <w:vAlign w:val="bottom"/>
          </w:tcPr>
          <w:p>
            <w:pPr>
              <w:spacing w:after="0"/>
              <w:rPr>
                <w:sz w:val="17"/>
                <w:szCs w:val="17"/>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5"/>
              </w:rPr>
              <w:t>Amount of</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Securities and</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Date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1"/>
                <w:szCs w:val="21"/>
                <w:color w:val="auto"/>
              </w:rPr>
            </w:pPr>
          </w:p>
        </w:tc>
        <w:tc>
          <w:tcPr>
            <w:tcW w:w="12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w w:val="88"/>
              </w:rPr>
              <w:t>Debentures</w:t>
            </w:r>
          </w:p>
        </w:tc>
        <w:tc>
          <w:tcPr>
            <w:tcW w:w="1140" w:type="dxa"/>
            <w:vAlign w:val="bottom"/>
          </w:tcPr>
          <w:p>
            <w:pPr>
              <w:jc w:val="center"/>
              <w:spacing w:after="0" w:line="245"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100" w:type="dxa"/>
            <w:vAlign w:val="bottom"/>
          </w:tcPr>
          <w:p>
            <w:pPr>
              <w:spacing w:after="0"/>
              <w:rPr>
                <w:sz w:val="21"/>
                <w:szCs w:val="21"/>
                <w:color w:val="auto"/>
              </w:rPr>
            </w:pPr>
          </w:p>
        </w:tc>
        <w:tc>
          <w:tcPr>
            <w:tcW w:w="1600" w:type="dxa"/>
            <w:vAlign w:val="bottom"/>
          </w:tcPr>
          <w:p>
            <w:pPr>
              <w:jc w:val="center"/>
              <w:spacing w:after="0" w:line="245"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16"/>
        </w:trPr>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thousands)</w:t>
            </w: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III</w:t>
            </w:r>
          </w:p>
        </w:tc>
        <w:tc>
          <w:tcPr>
            <w:tcW w:w="116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2004</w:t>
            </w:r>
          </w:p>
        </w:tc>
        <w:tc>
          <w:tcPr>
            <w:tcW w:w="26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10,310</w:t>
            </w:r>
          </w:p>
        </w:tc>
        <w:tc>
          <w:tcPr>
            <w:tcW w:w="114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2034</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3-mo. LIBOR</w:t>
            </w:r>
          </w:p>
        </w:tc>
      </w:tr>
      <w:tr>
        <w:trPr>
          <w:trHeight w:val="230"/>
        </w:trPr>
        <w:tc>
          <w:tcPr>
            <w:tcW w:w="2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+ 265 bps; 5.42%</w:t>
            </w:r>
          </w:p>
        </w:tc>
      </w:tr>
      <w:tr>
        <w:trPr>
          <w:trHeight w:val="202"/>
        </w:trPr>
        <w:tc>
          <w:tcPr>
            <w:tcW w:w="20" w:type="dxa"/>
            <w:vAlign w:val="bottom"/>
          </w:tcPr>
          <w:p>
            <w:pPr>
              <w:spacing w:after="0"/>
              <w:rPr>
                <w:sz w:val="17"/>
                <w:szCs w:val="17"/>
                <w:color w:val="auto"/>
              </w:rPr>
            </w:pPr>
          </w:p>
        </w:tc>
        <w:tc>
          <w:tcPr>
            <w:tcW w:w="4560" w:type="dxa"/>
            <w:vAlign w:val="bottom"/>
            <w:gridSpan w:val="2"/>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160" w:type="dxa"/>
            <w:vAlign w:val="bottom"/>
            <w:gridSpan w:val="2"/>
          </w:tcPr>
          <w:p>
            <w:pPr>
              <w:ind w:left="460"/>
              <w:spacing w:after="0" w:line="201" w:lineRule="exact"/>
              <w:rPr>
                <w:sz w:val="20"/>
                <w:szCs w:val="20"/>
                <w:color w:val="auto"/>
              </w:rPr>
            </w:pPr>
            <w:r>
              <w:rPr>
                <w:rFonts w:ascii="Arial" w:cs="Arial" w:eastAsia="Arial" w:hAnsi="Arial"/>
                <w:sz w:val="18"/>
                <w:szCs w:val="18"/>
                <w:color w:val="auto"/>
              </w:rPr>
              <w:t>2005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20,000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30"/>
              <w:spacing w:after="0" w:line="201" w:lineRule="exact"/>
              <w:rPr>
                <w:sz w:val="20"/>
                <w:szCs w:val="20"/>
                <w:color w:val="auto"/>
              </w:rPr>
            </w:pPr>
            <w:r>
              <w:rPr>
                <w:rFonts w:ascii="Arial" w:cs="Arial" w:eastAsia="Arial" w:hAnsi="Arial"/>
                <w:sz w:val="18"/>
                <w:szCs w:val="18"/>
                <w:color w:val="auto"/>
              </w:rPr>
              <w:t>20,619</w:t>
            </w:r>
          </w:p>
        </w:tc>
        <w:tc>
          <w:tcPr>
            <w:tcW w:w="1140" w:type="dxa"/>
            <w:vAlign w:val="bottom"/>
          </w:tcPr>
          <w:p>
            <w:pPr>
              <w:jc w:val="right"/>
              <w:ind w:right="250"/>
              <w:spacing w:after="0" w:line="201" w:lineRule="exact"/>
              <w:rPr>
                <w:sz w:val="20"/>
                <w:szCs w:val="20"/>
                <w:color w:val="auto"/>
              </w:rPr>
            </w:pPr>
            <w:r>
              <w:rPr>
                <w:rFonts w:ascii="Arial" w:cs="Arial" w:eastAsia="Arial" w:hAnsi="Arial"/>
                <w:sz w:val="18"/>
                <w:szCs w:val="18"/>
                <w:color w:val="auto"/>
              </w:rPr>
              <w:t>2035</w:t>
            </w:r>
          </w:p>
        </w:tc>
        <w:tc>
          <w:tcPr>
            <w:tcW w:w="100" w:type="dxa"/>
            <w:vAlign w:val="bottom"/>
          </w:tcPr>
          <w:p>
            <w:pPr>
              <w:spacing w:after="0"/>
              <w:rPr>
                <w:sz w:val="17"/>
                <w:szCs w:val="17"/>
                <w:color w:val="auto"/>
              </w:rPr>
            </w:pPr>
          </w:p>
        </w:tc>
        <w:tc>
          <w:tcPr>
            <w:tcW w:w="1600" w:type="dxa"/>
            <w:vAlign w:val="bottom"/>
          </w:tcPr>
          <w:p>
            <w:pPr>
              <w:spacing w:after="0" w:line="201" w:lineRule="exact"/>
              <w:rPr>
                <w:sz w:val="20"/>
                <w:szCs w:val="20"/>
                <w:color w:val="auto"/>
              </w:rPr>
            </w:pPr>
            <w:r>
              <w:rPr>
                <w:rFonts w:ascii="Arial" w:cs="Arial" w:eastAsia="Arial" w:hAnsi="Arial"/>
                <w:sz w:val="18"/>
                <w:szCs w:val="18"/>
                <w:color w:val="auto"/>
              </w:rPr>
              <w:t>3-mo. LIBOR</w:t>
            </w: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+ 139 bps; 4.00%</w:t>
            </w:r>
          </w:p>
        </w:tc>
      </w:tr>
      <w:tr>
        <w:trPr>
          <w:trHeight w:val="202"/>
        </w:trPr>
        <w:tc>
          <w:tcPr>
            <w:tcW w:w="20" w:type="dxa"/>
            <w:vAlign w:val="bottom"/>
          </w:tcPr>
          <w:p>
            <w:pPr>
              <w:spacing w:after="0"/>
              <w:rPr>
                <w:sz w:val="17"/>
                <w:szCs w:val="17"/>
                <w:color w:val="auto"/>
              </w:rPr>
            </w:pPr>
          </w:p>
        </w:tc>
        <w:tc>
          <w:tcPr>
            <w:tcW w:w="4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V</w:t>
            </w:r>
          </w:p>
        </w:tc>
        <w:tc>
          <w:tcPr>
            <w:tcW w:w="116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30"/>
              <w:spacing w:after="0" w:line="201" w:lineRule="exact"/>
              <w:rPr>
                <w:sz w:val="20"/>
                <w:szCs w:val="20"/>
                <w:color w:val="auto"/>
              </w:rPr>
            </w:pPr>
            <w:r>
              <w:rPr>
                <w:rFonts w:ascii="Arial" w:cs="Arial" w:eastAsia="Arial" w:hAnsi="Arial"/>
                <w:sz w:val="18"/>
                <w:szCs w:val="18"/>
                <w:color w:val="auto"/>
              </w:rPr>
              <w:t>15,464</w:t>
            </w:r>
          </w:p>
        </w:tc>
        <w:tc>
          <w:tcPr>
            <w:tcW w:w="1140" w:type="dxa"/>
            <w:vAlign w:val="bottom"/>
            <w:shd w:val="clear" w:color="auto" w:fill="CCEEFF"/>
          </w:tcPr>
          <w:p>
            <w:pPr>
              <w:jc w:val="right"/>
              <w:ind w:right="250"/>
              <w:spacing w:after="0" w:line="201" w:lineRule="exact"/>
              <w:rPr>
                <w:sz w:val="20"/>
                <w:szCs w:val="20"/>
                <w:color w:val="auto"/>
              </w:rPr>
            </w:pPr>
            <w:r>
              <w:rPr>
                <w:rFonts w:ascii="Arial" w:cs="Arial" w:eastAsia="Arial" w:hAnsi="Arial"/>
                <w:sz w:val="18"/>
                <w:szCs w:val="18"/>
                <w:color w:val="auto"/>
              </w:rPr>
              <w:t>2037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3-mo. LIBOR</w:t>
            </w:r>
          </w:p>
        </w:tc>
      </w:tr>
      <w:tr>
        <w:trPr>
          <w:trHeight w:val="237"/>
        </w:trPr>
        <w:tc>
          <w:tcPr>
            <w:tcW w:w="20" w:type="dxa"/>
            <w:vAlign w:val="bottom"/>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+ 150 bps; 4.11%</w:t>
            </w: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45,000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46,393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Rate as of last reset date, prior to March 31, 2019.</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ind w:right="220" w:firstLine="522"/>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5" w:lineRule="exact"/>
        <w:rPr>
          <w:sz w:val="20"/>
          <w:szCs w:val="20"/>
          <w:color w:val="auto"/>
        </w:rPr>
      </w:pPr>
    </w:p>
    <w:p>
      <w:pPr>
        <w:ind w:right="260" w:firstLine="522"/>
        <w:spacing w:after="0" w:line="279" w:lineRule="auto"/>
        <w:rPr>
          <w:sz w:val="20"/>
          <w:szCs w:val="20"/>
          <w:color w:val="auto"/>
        </w:rPr>
      </w:pPr>
      <w:r>
        <w:rPr>
          <w:rFonts w:ascii="Arial" w:cs="Arial" w:eastAsia="Arial" w:hAnsi="Arial"/>
          <w:sz w:val="19"/>
          <w:szCs w:val="19"/>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the ALCO Committee, reviews this information to determine if the projected future net interest income levels would be acceptable. The Company attempts to stay within acceptable net interest income levels.</w:t>
      </w:r>
    </w:p>
    <w:p>
      <w:pPr>
        <w:spacing w:after="0" w:line="178" w:lineRule="exact"/>
        <w:rPr>
          <w:sz w:val="20"/>
          <w:szCs w:val="20"/>
          <w:color w:val="auto"/>
        </w:rPr>
      </w:pPr>
    </w:p>
    <w:p>
      <w:pPr>
        <w:ind w:right="320" w:firstLine="522"/>
        <w:spacing w:after="0" w:line="238" w:lineRule="auto"/>
        <w:rPr>
          <w:sz w:val="20"/>
          <w:szCs w:val="20"/>
          <w:color w:val="auto"/>
        </w:rPr>
      </w:pPr>
      <w:r>
        <w:rPr>
          <w:rFonts w:ascii="Arial" w:cs="Arial" w:eastAsia="Arial" w:hAnsi="Arial"/>
          <w:sz w:val="22"/>
          <w:szCs w:val="22"/>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212" w:lineRule="exact"/>
        <w:rPr>
          <w:sz w:val="20"/>
          <w:szCs w:val="20"/>
          <w:color w:val="auto"/>
        </w:rPr>
      </w:pPr>
    </w:p>
    <w:p>
      <w:pPr>
        <w:ind w:right="60" w:firstLine="522"/>
        <w:spacing w:after="0" w:line="238" w:lineRule="auto"/>
        <w:rPr>
          <w:sz w:val="20"/>
          <w:szCs w:val="20"/>
          <w:color w:val="auto"/>
        </w:rPr>
      </w:pPr>
      <w:r>
        <w:rPr>
          <w:rFonts w:ascii="Arial" w:cs="Arial" w:eastAsia="Arial" w:hAnsi="Arial"/>
          <w:sz w:val="22"/>
          <w:szCs w:val="22"/>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ind w:firstLine="522"/>
        <w:spacing w:after="0" w:line="275" w:lineRule="auto"/>
        <w:rPr>
          <w:sz w:val="20"/>
          <w:szCs w:val="20"/>
          <w:color w:val="auto"/>
        </w:rPr>
      </w:pPr>
      <w:r>
        <w:rPr>
          <w:rFonts w:ascii="Arial" w:cs="Arial" w:eastAsia="Arial" w:hAnsi="Arial"/>
          <w:sz w:val="19"/>
          <w:szCs w:val="19"/>
          <w:color w:val="auto"/>
        </w:rPr>
        <w:t>Total shareholders’ equity, taking into account the ESOP Repurchase Right Termination, increased to $218.6 million as of March 31, 2019, compared to $212.8 million as of December 31, 2018, an increase of $5.8 million, or 2.7%. The increase from December 31, 2018 was primarily the result of $4.8 million in net earnings for the three months ended March 31, 2019, a change in accumulated other comprehensive income of $2.3 million, related to the decrease in the unrealized losses on securities available for sale. The increases were offset by a $1.3 million cumulative-effect adjustment to retained earnings for a change in accounting principle. This related to the Company changing the accounting method for its stock appreciation rights from the intrinsic value method to fair value. See Note 1, Summary of Significant Accounting Policies, in the notes to the consolidated financial statements included elsewhere in this Form 10-Q regarding further details on this change.</w:t>
      </w:r>
    </w:p>
    <w:p>
      <w:pPr>
        <w:sectPr>
          <w:pgSz w:w="11900" w:h="16838" w:orient="portrait"/>
          <w:cols w:equalWidth="0" w:num="1">
            <w:col w:w="11420"/>
          </w:cols>
          <w:pgMar w:left="240" w:top="114"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522"/>
        <w:spacing w:after="0" w:line="274"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common equity tier1, or CET1 capital, tier 1 capital and total capital to risk-weighted assets and of tier 1 capital to average consolidated assets, referred to as the “leverage ratio.”</w:t>
      </w:r>
    </w:p>
    <w:p>
      <w:pPr>
        <w:spacing w:after="0" w:line="186" w:lineRule="exact"/>
        <w:rPr>
          <w:sz w:val="20"/>
          <w:szCs w:val="20"/>
          <w:color w:val="auto"/>
        </w:rPr>
      </w:pPr>
    </w:p>
    <w:p>
      <w:pPr>
        <w:ind w:right="20" w:firstLine="522"/>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5" w:lineRule="exact"/>
        <w:rPr>
          <w:sz w:val="20"/>
          <w:szCs w:val="20"/>
          <w:color w:val="auto"/>
        </w:rPr>
      </w:pPr>
    </w:p>
    <w:p>
      <w:pPr>
        <w:ind w:firstLine="522"/>
        <w:spacing w:after="0" w:line="236" w:lineRule="auto"/>
        <w:rPr>
          <w:sz w:val="20"/>
          <w:szCs w:val="20"/>
          <w:color w:val="auto"/>
        </w:rPr>
      </w:pPr>
      <w:r>
        <w:rPr>
          <w:rFonts w:ascii="Arial" w:cs="Arial" w:eastAsia="Arial" w:hAnsi="Arial"/>
          <w:sz w:val="22"/>
          <w:szCs w:val="22"/>
          <w:color w:val="auto"/>
        </w:rPr>
        <w:t>At March 31, 2019, both we and the Bank met all the capital adequacy requirements to which we and the Bank were subject. At March 31, 2019, the Bank was “well capitalized” under the regulatory framework for prompt corrective action. Management believes that no conditions or events have occurred since March 31, 2019 that would materially adversely change such capital classifications. From time to time, we may need to raise additional capital to support our and the Bank’s further growth and to maintain our “well capitalized” status.</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The following table presents our regulatory capital ratios as of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4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March 31, 2019</w:t>
            </w:r>
          </w:p>
        </w:tc>
        <w:tc>
          <w:tcPr>
            <w:tcW w:w="180" w:type="dxa"/>
            <w:vAlign w:val="bottom"/>
          </w:tcPr>
          <w:p>
            <w:pPr>
              <w:spacing w:after="0"/>
              <w:rPr>
                <w:sz w:val="20"/>
                <w:szCs w:val="20"/>
                <w:color w:val="auto"/>
              </w:rPr>
            </w:pPr>
          </w:p>
        </w:tc>
        <w:tc>
          <w:tcPr>
            <w:tcW w:w="2520" w:type="dxa"/>
            <w:vAlign w:val="bottom"/>
            <w:gridSpan w:val="4"/>
          </w:tcPr>
          <w:p>
            <w:pPr>
              <w:jc w:val="right"/>
              <w:ind w:right="720"/>
              <w:spacing w:after="0"/>
              <w:rPr>
                <w:sz w:val="20"/>
                <w:szCs w:val="20"/>
                <w:color w:val="auto"/>
              </w:rPr>
            </w:pPr>
            <w:r>
              <w:rPr>
                <w:rFonts w:ascii="Arial" w:cs="Arial" w:eastAsia="Arial" w:hAnsi="Arial"/>
                <w:sz w:val="18"/>
                <w:szCs w:val="18"/>
                <w:b w:val="1"/>
                <w:bCs w:val="1"/>
                <w:color w:val="auto"/>
              </w:rPr>
              <w:t>December 31, 2018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1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Ratio</w:t>
            </w:r>
          </w:p>
        </w:tc>
        <w:tc>
          <w:tcPr>
            <w:tcW w:w="2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8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South Plains Financial, Inc.</w:t>
            </w: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4"/>
              </w:rPr>
              <w:t>in</w:t>
            </w: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3280" w:type="dxa"/>
            <w:vAlign w:val="bottom"/>
            <w:gridSpan w:val="4"/>
            <w:vMerge w:val="continue"/>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313,545</w:t>
            </w:r>
          </w:p>
        </w:tc>
        <w:tc>
          <w:tcPr>
            <w:tcW w:w="15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309,798</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263,512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11.98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218,512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215,020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263,512</w:t>
            </w:r>
          </w:p>
        </w:tc>
        <w:tc>
          <w:tcPr>
            <w:tcW w:w="1580" w:type="dxa"/>
            <w:vAlign w:val="bottom"/>
            <w:gridSpan w:val="3"/>
          </w:tcPr>
          <w:p>
            <w:pPr>
              <w:jc w:val="right"/>
              <w:ind w:right="190"/>
              <w:spacing w:after="0"/>
              <w:rPr>
                <w:sz w:val="20"/>
                <w:szCs w:val="20"/>
                <w:color w:val="auto"/>
              </w:rPr>
            </w:pPr>
            <w:r>
              <w:rPr>
                <w:rFonts w:ascii="Arial" w:cs="Arial" w:eastAsia="Arial" w:hAnsi="Arial"/>
                <w:sz w:val="18"/>
                <w:szCs w:val="18"/>
                <w:color w:val="auto"/>
              </w:rPr>
              <w:t>9.70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260,020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9.63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26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City Bank:</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capital (to risk-weighted assets)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299,764</w:t>
            </w:r>
          </w:p>
        </w:tc>
        <w:tc>
          <w:tcPr>
            <w:tcW w:w="15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14.10%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294,572</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risk-weighted assets)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276,203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12.99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271,266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CET 1 capital (to risk-weighted assets)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276,203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271,266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Tier 1 capital (to average assets)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276,203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271,266</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10.05</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2"/>
          </w:tcPr>
          <w:p>
            <w:pPr>
              <w:jc w:val="right"/>
              <w:ind w:right="290"/>
              <w:spacing w:after="0"/>
              <w:rPr>
                <w:sz w:val="20"/>
                <w:szCs w:val="20"/>
                <w:color w:val="auto"/>
              </w:rPr>
            </w:pPr>
            <w:r>
              <w:rPr>
                <w:rFonts w:ascii="Arial" w:cs="Arial" w:eastAsia="Arial" w:hAnsi="Arial"/>
                <w:sz w:val="14"/>
                <w:szCs w:val="14"/>
                <w:color w:val="auto"/>
              </w:rPr>
              <w:t>48</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ind w:right="60" w:firstLine="522"/>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5" w:lineRule="exact"/>
        <w:rPr>
          <w:sz w:val="20"/>
          <w:szCs w:val="20"/>
          <w:color w:val="auto"/>
        </w:rPr>
      </w:pPr>
    </w:p>
    <w:p>
      <w:pPr>
        <w:ind w:right="40" w:firstLine="522"/>
        <w:spacing w:after="0" w:line="279" w:lineRule="auto"/>
        <w:rPr>
          <w:sz w:val="20"/>
          <w:szCs w:val="20"/>
          <w:color w:val="auto"/>
        </w:rPr>
      </w:pPr>
      <w:r>
        <w:rPr>
          <w:rFonts w:ascii="Arial" w:cs="Arial" w:eastAsia="Arial" w:hAnsi="Arial"/>
          <w:sz w:val="19"/>
          <w:szCs w:val="19"/>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178" w:lineRule="exact"/>
        <w:rPr>
          <w:sz w:val="20"/>
          <w:szCs w:val="20"/>
          <w:color w:val="auto"/>
        </w:rPr>
      </w:pPr>
    </w:p>
    <w:p>
      <w:pPr>
        <w:ind w:right="140" w:firstLine="522"/>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6"/>
          </w:tcPr>
          <w:p>
            <w:pPr>
              <w:ind w:left="28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387,170</w:t>
            </w:r>
          </w:p>
        </w:tc>
        <w:tc>
          <w:tcPr>
            <w:tcW w:w="440" w:type="dxa"/>
            <w:vAlign w:val="bottom"/>
            <w:tcBorders>
              <w:top w:val="single" w:sz="8" w:color="auto"/>
            </w:tcBorders>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6,054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393,224</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280" w:firstLine="522"/>
        <w:spacing w:after="0" w:line="258" w:lineRule="auto"/>
        <w:rPr>
          <w:sz w:val="20"/>
          <w:szCs w:val="20"/>
          <w:color w:val="auto"/>
        </w:rPr>
      </w:pPr>
      <w:r>
        <w:rPr>
          <w:rFonts w:ascii="Arial" w:cs="Arial" w:eastAsia="Arial" w:hAnsi="Arial"/>
          <w:sz w:val="21"/>
          <w:szCs w:val="21"/>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See “Borrowed Funds” FHLB Advances discussion for amounts of letters of credit.</w:t>
      </w:r>
    </w:p>
    <w:p>
      <w:pPr>
        <w:spacing w:after="0" w:line="194" w:lineRule="exact"/>
        <w:rPr>
          <w:sz w:val="20"/>
          <w:szCs w:val="20"/>
          <w:color w:val="auto"/>
        </w:rPr>
      </w:pPr>
    </w:p>
    <w:p>
      <w:pPr>
        <w:ind w:right="280" w:firstLine="522"/>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ind w:right="320" w:firstLine="522"/>
        <w:spacing w:after="0" w:line="238" w:lineRule="auto"/>
        <w:rPr>
          <w:sz w:val="20"/>
          <w:szCs w:val="20"/>
          <w:color w:val="auto"/>
        </w:rPr>
      </w:pPr>
      <w:r>
        <w:rPr>
          <w:rFonts w:ascii="Arial" w:cs="Arial" w:eastAsia="Arial" w:hAnsi="Arial"/>
          <w:sz w:val="22"/>
          <w:szCs w:val="22"/>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212" w:lineRule="exact"/>
        <w:rPr>
          <w:sz w:val="20"/>
          <w:szCs w:val="20"/>
          <w:color w:val="auto"/>
        </w:rPr>
      </w:pPr>
    </w:p>
    <w:p>
      <w:pPr>
        <w:ind w:right="60" w:firstLine="522"/>
        <w:spacing w:after="0" w:line="282" w:lineRule="auto"/>
        <w:rPr>
          <w:sz w:val="20"/>
          <w:szCs w:val="20"/>
          <w:color w:val="auto"/>
        </w:rPr>
      </w:pPr>
      <w:r>
        <w:rPr>
          <w:rFonts w:ascii="Arial" w:cs="Arial" w:eastAsia="Arial" w:hAnsi="Arial"/>
          <w:sz w:val="19"/>
          <w:szCs w:val="19"/>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175" w:lineRule="exact"/>
        <w:rPr>
          <w:sz w:val="20"/>
          <w:szCs w:val="20"/>
          <w:color w:val="auto"/>
        </w:rPr>
      </w:pPr>
    </w:p>
    <w:p>
      <w:pPr>
        <w:ind w:right="120" w:firstLine="522"/>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ectPr>
          <w:pgSz w:w="11900" w:h="16838" w:orient="portrait"/>
          <w:cols w:equalWidth="0" w:num="1">
            <w:col w:w="11420"/>
          </w:cols>
          <w:pgMar w:left="240" w:top="122"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522"/>
        <w:spacing w:after="0" w:line="274" w:lineRule="auto"/>
        <w:rPr>
          <w:sz w:val="20"/>
          <w:szCs w:val="20"/>
          <w:color w:val="auto"/>
        </w:rPr>
      </w:pPr>
      <w:r>
        <w:rPr>
          <w:rFonts w:ascii="Arial" w:cs="Arial" w:eastAsia="Arial" w:hAnsi="Arial"/>
          <w:sz w:val="19"/>
          <w:szCs w:val="19"/>
          <w:color w:val="auto"/>
        </w:rPr>
        <w:t>Our exposure to interest rate risk is managed by the ALCO Committee, in accordance with policies approved by the Bank’s board of directors.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186" w:lineRule="exact"/>
        <w:rPr>
          <w:sz w:val="20"/>
          <w:szCs w:val="20"/>
          <w:color w:val="auto"/>
        </w:rPr>
      </w:pPr>
    </w:p>
    <w:p>
      <w:pPr>
        <w:ind w:right="140" w:firstLine="522"/>
        <w:spacing w:after="0" w:line="246" w:lineRule="auto"/>
        <w:rPr>
          <w:sz w:val="20"/>
          <w:szCs w:val="20"/>
          <w:color w:val="auto"/>
        </w:rPr>
      </w:pPr>
      <w:r>
        <w:rPr>
          <w:rFonts w:ascii="Arial" w:cs="Arial" w:eastAsia="Arial" w:hAnsi="Arial"/>
          <w:sz w:val="21"/>
          <w:szCs w:val="21"/>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522"/>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pacing w:after="0" w:line="185" w:lineRule="exact"/>
        <w:rPr>
          <w:sz w:val="20"/>
          <w:szCs w:val="20"/>
          <w:color w:val="auto"/>
        </w:rPr>
      </w:pPr>
    </w:p>
    <w:p>
      <w:pPr>
        <w:ind w:right="820" w:firstLine="522"/>
        <w:spacing w:after="0" w:line="251" w:lineRule="auto"/>
        <w:rPr>
          <w:sz w:val="20"/>
          <w:szCs w:val="20"/>
          <w:color w:val="auto"/>
        </w:rPr>
      </w:pPr>
      <w:r>
        <w:rPr>
          <w:rFonts w:ascii="Arial" w:cs="Arial" w:eastAsia="Arial" w:hAnsi="Arial"/>
          <w:sz w:val="22"/>
          <w:szCs w:val="22"/>
          <w:color w:val="auto"/>
        </w:rPr>
        <w:t>The following tables summarize the simulated change in net interest income over a 12-month horizon as of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198"/>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Percent</w:t>
            </w: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7"/>
              </w:rPr>
              <w:t>Percent</w:t>
            </w:r>
          </w:p>
        </w:tc>
        <w:tc>
          <w:tcPr>
            <w:tcW w:w="100" w:type="dxa"/>
            <w:vAlign w:val="bottom"/>
          </w:tcPr>
          <w:p>
            <w:pPr>
              <w:spacing w:after="0"/>
              <w:rPr>
                <w:sz w:val="17"/>
                <w:szCs w:val="17"/>
                <w:color w:val="auto"/>
              </w:rPr>
            </w:pPr>
          </w:p>
        </w:tc>
      </w:tr>
      <w:tr>
        <w:trPr>
          <w:trHeight w:val="216"/>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Change in</w:t>
            </w:r>
          </w:p>
        </w:tc>
      </w:tr>
      <w:tr>
        <w:trPr>
          <w:trHeight w:val="216"/>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Net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Net</w:t>
            </w:r>
          </w:p>
        </w:tc>
      </w:tr>
      <w:tr>
        <w:trPr>
          <w:trHeight w:val="216"/>
        </w:trPr>
        <w:tc>
          <w:tcPr>
            <w:tcW w:w="8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Interest</w:t>
            </w: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Income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Income</w:t>
            </w:r>
          </w:p>
        </w:tc>
      </w:tr>
      <w:tr>
        <w:trPr>
          <w:trHeight w:val="216"/>
        </w:trPr>
        <w:tc>
          <w:tcPr>
            <w:tcW w:w="8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0.97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ind w:right="320" w:firstLine="486"/>
        <w:spacing w:after="0" w:line="238" w:lineRule="auto"/>
        <w:rPr>
          <w:sz w:val="20"/>
          <w:szCs w:val="20"/>
          <w:color w:val="auto"/>
        </w:rPr>
      </w:pPr>
      <w:r>
        <w:rPr>
          <w:rFonts w:ascii="Arial" w:cs="Arial" w:eastAsia="Arial" w:hAnsi="Arial"/>
          <w:sz w:val="22"/>
          <w:szCs w:val="22"/>
          <w:color w:val="auto"/>
        </w:rPr>
        <w:t>Our consolidated financial statements and related notes included elsewhere in this Form 10-Q have been prepared in accordance with U.S. generally accepted accounting principles, or GAAP. GAAP requires the measurement of financial position and operating results in terms of historical dollars, without considering changes in the relative value of money over time due to inflation or recession.</w:t>
      </w:r>
    </w:p>
    <w:p>
      <w:pPr>
        <w:spacing w:after="0" w:line="212" w:lineRule="exact"/>
        <w:rPr>
          <w:sz w:val="20"/>
          <w:szCs w:val="20"/>
          <w:color w:val="auto"/>
        </w:rPr>
      </w:pPr>
    </w:p>
    <w:p>
      <w:pPr>
        <w:ind w:right="300" w:firstLine="522"/>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39" w:lineRule="exact"/>
        <w:rPr>
          <w:sz w:val="20"/>
          <w:szCs w:val="20"/>
          <w:color w:val="auto"/>
        </w:rPr>
      </w:pPr>
    </w:p>
    <w:p>
      <w:pPr>
        <w:ind w:right="40" w:firstLine="522"/>
        <w:spacing w:after="0" w:line="245" w:lineRule="auto"/>
        <w:rPr>
          <w:sz w:val="20"/>
          <w:szCs w:val="20"/>
          <w:color w:val="auto"/>
        </w:rPr>
      </w:pPr>
      <w:r>
        <w:rPr>
          <w:rFonts w:ascii="Arial" w:cs="Arial" w:eastAsia="Arial" w:hAnsi="Arial"/>
          <w:sz w:val="21"/>
          <w:szCs w:val="21"/>
          <w:color w:val="auto"/>
        </w:rPr>
        <w:t>Our accounting and reporting policies conform to GAAP and the prevailing practices in the banking industry. However, we also evaluate our performance based on certain additional financial measures discussed in this Form 10-Q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2" w:lineRule="exact"/>
        <w:rPr>
          <w:sz w:val="20"/>
          <w:szCs w:val="20"/>
          <w:color w:val="auto"/>
        </w:rPr>
      </w:pPr>
    </w:p>
    <w:p>
      <w:pPr>
        <w:ind w:firstLine="522"/>
        <w:spacing w:after="0" w:line="235" w:lineRule="auto"/>
        <w:rPr>
          <w:sz w:val="20"/>
          <w:szCs w:val="20"/>
          <w:color w:val="auto"/>
        </w:rPr>
      </w:pPr>
      <w:r>
        <w:rPr>
          <w:rFonts w:ascii="Arial" w:cs="Arial" w:eastAsia="Arial" w:hAnsi="Arial"/>
          <w:sz w:val="22"/>
          <w:szCs w:val="22"/>
          <w:color w:val="auto"/>
        </w:rPr>
        <w:t>The non-GAAP financial measures that we discuss in this Form 10-Q should not be considered in isolation or as a substitute for the most directly comparable or other financial measures calculated in accordance with GAAP. Moreover, the manner in which we calculate the non-GAAP financial measures that we discuss in this Form 10-Q may differ from that of other companies reporting measures with similar names. It is important to understand how other banking organizations calculate their financial measures with names similar to the non-GAAP financial measures we have discussed in this Form 10-Q when comparing such non-GAAP financial measures.</w:t>
      </w:r>
    </w:p>
    <w:p>
      <w:pPr>
        <w:spacing w:after="0" w:line="215" w:lineRule="exact"/>
        <w:rPr>
          <w:sz w:val="20"/>
          <w:szCs w:val="20"/>
          <w:color w:val="auto"/>
        </w:rPr>
      </w:pPr>
    </w:p>
    <w:p>
      <w:pPr>
        <w:ind w:right="20" w:firstLine="522"/>
        <w:spacing w:after="0" w:line="248" w:lineRule="auto"/>
        <w:rPr>
          <w:sz w:val="20"/>
          <w:szCs w:val="20"/>
          <w:color w:val="auto"/>
        </w:rPr>
      </w:pPr>
      <w:r>
        <w:rPr>
          <w:rFonts w:ascii="Arial" w:cs="Arial" w:eastAsia="Arial" w:hAnsi="Arial"/>
          <w:sz w:val="21"/>
          <w:szCs w:val="21"/>
          <w:i w:val="1"/>
          <w:iCs w:val="1"/>
          <w:color w:val="auto"/>
        </w:rPr>
        <w:t>Tangible Book Value Per Common Share</w:t>
      </w:r>
      <w:r>
        <w:rPr>
          <w:rFonts w:ascii="Arial" w:cs="Arial" w:eastAsia="Arial" w:hAnsi="Arial"/>
          <w:sz w:val="21"/>
          <w:szCs w:val="21"/>
          <w:color w:val="auto"/>
        </w:rPr>
        <w:t>. Tangible book value per share is a non-GAAP measure generally used by investors,</w:t>
      </w:r>
      <w:r>
        <w:rPr>
          <w:rFonts w:ascii="Arial" w:cs="Arial" w:eastAsia="Arial" w:hAnsi="Arial"/>
          <w:sz w:val="21"/>
          <w:szCs w:val="21"/>
          <w:i w:val="1"/>
          <w:iCs w:val="1"/>
          <w:color w:val="auto"/>
        </w:rPr>
        <w:t xml:space="preserve"> </w:t>
      </w:r>
      <w:r>
        <w:rPr>
          <w:rFonts w:ascii="Arial" w:cs="Arial" w:eastAsia="Arial" w:hAnsi="Arial"/>
          <w:sz w:val="21"/>
          <w:szCs w:val="21"/>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ectPr>
          <w:pgSz w:w="11900" w:h="16838" w:orient="portrait"/>
          <w:cols w:equalWidth="0" w:num="1">
            <w:col w:w="11420"/>
          </w:cols>
          <w:pgMar w:left="240" w:top="122" w:right="239" w:bottom="673"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673"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20" w:firstLine="522"/>
        <w:spacing w:after="0" w:line="251" w:lineRule="auto"/>
        <w:rPr>
          <w:sz w:val="20"/>
          <w:szCs w:val="20"/>
          <w:color w:val="auto"/>
        </w:rPr>
      </w:pPr>
      <w:r>
        <w:rPr>
          <w:rFonts w:ascii="Arial" w:cs="Arial" w:eastAsia="Arial" w:hAnsi="Arial"/>
          <w:sz w:val="22"/>
          <w:szCs w:val="22"/>
          <w:color w:val="auto"/>
        </w:rPr>
        <w:t>As we did not have any goodwill or other intangible assets for the periods presented, our tangible book value per common share for such periods ended was the same as our respective book value per common share.</w:t>
      </w:r>
    </w:p>
    <w:p>
      <w:pPr>
        <w:spacing w:after="0" w:line="200" w:lineRule="exact"/>
        <w:rPr>
          <w:sz w:val="20"/>
          <w:szCs w:val="20"/>
          <w:color w:val="auto"/>
        </w:rPr>
      </w:pPr>
    </w:p>
    <w:p>
      <w:pPr>
        <w:ind w:firstLine="522"/>
        <w:spacing w:after="0" w:line="275" w:lineRule="auto"/>
        <w:rPr>
          <w:sz w:val="20"/>
          <w:szCs w:val="20"/>
          <w:color w:val="auto"/>
        </w:rPr>
      </w:pPr>
      <w:r>
        <w:rPr>
          <w:rFonts w:ascii="Arial" w:cs="Arial" w:eastAsia="Arial" w:hAnsi="Arial"/>
          <w:sz w:val="19"/>
          <w:szCs w:val="19"/>
          <w:i w:val="1"/>
          <w:iCs w:val="1"/>
          <w:color w:val="auto"/>
        </w:rPr>
        <w:t>Tangible Common Equity to Tangible Assets</w:t>
      </w:r>
      <w:r>
        <w:rPr>
          <w:rFonts w:ascii="Arial" w:cs="Arial" w:eastAsia="Arial" w:hAnsi="Arial"/>
          <w:sz w:val="19"/>
          <w:szCs w:val="19"/>
          <w:color w:val="auto"/>
        </w:rPr>
        <w:t>. Tangible common equity to tangible assets is a non-GAAP measure generally</w:t>
      </w:r>
      <w:r>
        <w:rPr>
          <w:rFonts w:ascii="Arial" w:cs="Arial" w:eastAsia="Arial" w:hAnsi="Arial"/>
          <w:sz w:val="19"/>
          <w:szCs w:val="19"/>
          <w:i w:val="1"/>
          <w:iCs w:val="1"/>
          <w:color w:val="auto"/>
        </w:rPr>
        <w:t xml:space="preserve"> </w:t>
      </w:r>
      <w:r>
        <w:rPr>
          <w:rFonts w:ascii="Arial" w:cs="Arial" w:eastAsia="Arial" w:hAnsi="Arial"/>
          <w:sz w:val="19"/>
          <w:szCs w:val="19"/>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pacing w:after="0" w:line="185" w:lineRule="exact"/>
        <w:rPr>
          <w:sz w:val="20"/>
          <w:szCs w:val="20"/>
          <w:color w:val="auto"/>
        </w:rPr>
      </w:pPr>
    </w:p>
    <w:p>
      <w:pPr>
        <w:ind w:right="80" w:firstLine="522"/>
        <w:spacing w:after="0" w:line="274" w:lineRule="auto"/>
        <w:rPr>
          <w:sz w:val="20"/>
          <w:szCs w:val="20"/>
          <w:color w:val="auto"/>
        </w:rPr>
      </w:pPr>
      <w:r>
        <w:rPr>
          <w:rFonts w:ascii="Arial" w:cs="Arial" w:eastAsia="Arial" w:hAnsi="Arial"/>
          <w:sz w:val="21"/>
          <w:szCs w:val="21"/>
          <w:color w:val="auto"/>
        </w:rPr>
        <w:t>As we did not have any goodwill or other intangible assets for the periods presented, our tangible common equity to tangible assets for such periods ended was the same as our respective common shareholders’ equity to total assets.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firstLine="522"/>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180" w:lineRule="exact"/>
        <w:rPr>
          <w:sz w:val="20"/>
          <w:szCs w:val="20"/>
          <w:color w:val="auto"/>
        </w:rPr>
      </w:pPr>
    </w:p>
    <w:p>
      <w:pPr>
        <w:ind w:right="60" w:firstLine="522"/>
        <w:spacing w:after="0" w:line="235" w:lineRule="auto"/>
        <w:rPr>
          <w:sz w:val="20"/>
          <w:szCs w:val="20"/>
          <w:color w:val="auto"/>
        </w:rPr>
      </w:pPr>
      <w:r>
        <w:rPr>
          <w:rFonts w:ascii="Arial" w:cs="Arial" w:eastAsia="Arial" w:hAnsi="Arial"/>
          <w:sz w:val="22"/>
          <w:szCs w:val="22"/>
          <w:color w:val="auto"/>
        </w:rPr>
        <w:t>The Jumpstart Our Business Startups Act, or the JOBS Act, permits us an extended transition period for complying with new or revised accounting standards affecting public companies. We have elected to take advantage of this extended transition period, which means that the financial statements included in this Form 10-Q,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215" w:lineRule="exact"/>
        <w:rPr>
          <w:sz w:val="20"/>
          <w:szCs w:val="20"/>
          <w:color w:val="auto"/>
        </w:rPr>
      </w:pPr>
    </w:p>
    <w:p>
      <w:pPr>
        <w:ind w:right="60" w:firstLine="522"/>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March 31, 2019.</w:t>
      </w:r>
    </w:p>
    <w:p>
      <w:pPr>
        <w:spacing w:after="0" w:line="213" w:lineRule="exact"/>
        <w:rPr>
          <w:sz w:val="20"/>
          <w:szCs w:val="20"/>
          <w:color w:val="auto"/>
        </w:rPr>
      </w:pPr>
    </w:p>
    <w:p>
      <w:pPr>
        <w:ind w:right="120" w:firstLine="522"/>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pacing w:after="0" w:line="213" w:lineRule="exact"/>
        <w:rPr>
          <w:sz w:val="20"/>
          <w:szCs w:val="20"/>
          <w:color w:val="auto"/>
        </w:rPr>
      </w:pPr>
    </w:p>
    <w:p>
      <w:pPr>
        <w:ind w:right="40" w:firstLine="522"/>
        <w:spacing w:after="0" w:line="251"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w:t>
      </w:r>
      <w:r>
        <w:rPr>
          <w:rFonts w:ascii="Arial" w:cs="Arial" w:eastAsia="Arial" w:hAnsi="Arial"/>
          <w:sz w:val="22"/>
          <w:szCs w:val="22"/>
          <w:i w:val="1"/>
          <w:iCs w:val="1"/>
          <w:color w:val="auto"/>
        </w:rPr>
        <w:t xml:space="preserve"> </w:t>
      </w:r>
      <w:r>
        <w:rPr>
          <w:rFonts w:ascii="Arial" w:cs="Arial" w:eastAsia="Arial" w:hAnsi="Arial"/>
          <w:sz w:val="22"/>
          <w:szCs w:val="22"/>
          <w:color w:val="auto"/>
        </w:rPr>
        <w:t>all of which have original maturities within three months, as cash and cash equivalents.</w:t>
      </w:r>
    </w:p>
    <w:p>
      <w:pPr>
        <w:spacing w:after="0" w:line="200" w:lineRule="exact"/>
        <w:rPr>
          <w:sz w:val="20"/>
          <w:szCs w:val="20"/>
          <w:color w:val="auto"/>
        </w:rPr>
      </w:pPr>
    </w:p>
    <w:p>
      <w:pPr>
        <w:ind w:right="40" w:firstLine="522"/>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ectPr>
          <w:pgSz w:w="11900" w:h="16838" w:orient="portrait"/>
          <w:cols w:equalWidth="0" w:num="1">
            <w:col w:w="11400"/>
          </w:cols>
          <w:pgMar w:left="240" w:top="122" w:right="25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522"/>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5" w:lineRule="exact"/>
        <w:rPr>
          <w:sz w:val="20"/>
          <w:szCs w:val="20"/>
          <w:color w:val="auto"/>
        </w:rPr>
      </w:pPr>
    </w:p>
    <w:p>
      <w:pPr>
        <w:ind w:right="120" w:firstLine="522"/>
        <w:spacing w:after="0" w:line="282" w:lineRule="auto"/>
        <w:rPr>
          <w:sz w:val="20"/>
          <w:szCs w:val="20"/>
          <w:color w:val="auto"/>
        </w:rPr>
      </w:pPr>
      <w:r>
        <w:rPr>
          <w:rFonts w:ascii="Arial" w:cs="Arial" w:eastAsia="Arial" w:hAnsi="Arial"/>
          <w:sz w:val="19"/>
          <w:szCs w:val="19"/>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5" w:lineRule="exact"/>
        <w:rPr>
          <w:sz w:val="20"/>
          <w:szCs w:val="20"/>
          <w:color w:val="auto"/>
        </w:rPr>
      </w:pPr>
    </w:p>
    <w:p>
      <w:pPr>
        <w:ind w:right="220" w:firstLine="522"/>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8" w:lineRule="exact"/>
        <w:rPr>
          <w:sz w:val="20"/>
          <w:szCs w:val="20"/>
          <w:color w:val="auto"/>
        </w:rPr>
      </w:pPr>
    </w:p>
    <w:p>
      <w:pPr>
        <w:ind w:right="40" w:firstLine="522"/>
        <w:spacing w:after="0" w:line="275" w:lineRule="auto"/>
        <w:rPr>
          <w:sz w:val="20"/>
          <w:szCs w:val="20"/>
          <w:color w:val="auto"/>
        </w:rPr>
      </w:pPr>
      <w:r>
        <w:rPr>
          <w:rFonts w:ascii="Arial" w:cs="Arial" w:eastAsia="Arial" w:hAnsi="Arial"/>
          <w:sz w:val="19"/>
          <w:szCs w:val="19"/>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185" w:lineRule="exact"/>
        <w:rPr>
          <w:sz w:val="20"/>
          <w:szCs w:val="20"/>
          <w:color w:val="auto"/>
        </w:rPr>
      </w:pPr>
    </w:p>
    <w:p>
      <w:pPr>
        <w:ind w:firstLine="522"/>
        <w:spacing w:after="0" w:line="235" w:lineRule="auto"/>
        <w:rPr>
          <w:sz w:val="20"/>
          <w:szCs w:val="20"/>
          <w:color w:val="auto"/>
        </w:rPr>
      </w:pPr>
      <w:r>
        <w:rPr>
          <w:rFonts w:ascii="Arial" w:cs="Arial" w:eastAsia="Arial" w:hAnsi="Arial"/>
          <w:sz w:val="22"/>
          <w:szCs w:val="22"/>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15" w:lineRule="exact"/>
        <w:rPr>
          <w:sz w:val="20"/>
          <w:szCs w:val="20"/>
          <w:color w:val="auto"/>
        </w:rPr>
      </w:pPr>
    </w:p>
    <w:p>
      <w:pPr>
        <w:ind w:right="20" w:firstLine="522"/>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522"/>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6" w:lineRule="exact"/>
        <w:rPr>
          <w:sz w:val="20"/>
          <w:szCs w:val="20"/>
          <w:color w:val="auto"/>
        </w:rPr>
      </w:pPr>
    </w:p>
    <w:p>
      <w:pPr>
        <w:ind w:right="100" w:firstLine="522"/>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w:t>
      </w:r>
      <w:r>
        <w:rPr>
          <w:rFonts w:ascii="Arial" w:cs="Arial" w:eastAsia="Arial" w:hAnsi="Arial"/>
          <w:sz w:val="22"/>
          <w:szCs w:val="22"/>
          <w:i w:val="1"/>
          <w:iCs w:val="1"/>
          <w:color w:val="auto"/>
        </w:rPr>
        <w:t xml:space="preserve"> </w:t>
      </w:r>
      <w:r>
        <w:rPr>
          <w:rFonts w:ascii="Arial" w:cs="Arial" w:eastAsia="Arial" w:hAnsi="Arial"/>
          <w:sz w:val="22"/>
          <w:szCs w:val="22"/>
          <w:color w:val="auto"/>
        </w:rPr>
        <w:t>efforts 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ind w:right="480" w:firstLine="522"/>
        <w:spacing w:after="0" w:line="328" w:lineRule="auto"/>
        <w:rPr>
          <w:sz w:val="20"/>
          <w:szCs w:val="20"/>
          <w:color w:val="auto"/>
        </w:rPr>
      </w:pPr>
      <w:r>
        <w:rPr>
          <w:rFonts w:ascii="Arial" w:cs="Arial" w:eastAsia="Arial" w:hAnsi="Arial"/>
          <w:sz w:val="19"/>
          <w:szCs w:val="19"/>
          <w:color w:val="auto"/>
        </w:rPr>
        <w:t>See Note 1, Summary of Significant Accounting Policies, in the notes to the consolidated financial statements included elsewhere in this Form 10-Q regarding the impact of new accounting pronouncements which we have adopted.</w:t>
      </w:r>
    </w:p>
    <w:p>
      <w:pPr>
        <w:spacing w:after="0" w:line="32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49" w:lineRule="exact"/>
        <w:rPr>
          <w:sz w:val="20"/>
          <w:szCs w:val="20"/>
          <w:color w:val="auto"/>
        </w:rPr>
      </w:pPr>
    </w:p>
    <w:p>
      <w:pPr>
        <w:ind w:right="120" w:firstLine="486"/>
        <w:spacing w:after="0" w:line="282" w:lineRule="auto"/>
        <w:rPr>
          <w:sz w:val="20"/>
          <w:szCs w:val="20"/>
          <w:color w:val="auto"/>
        </w:rPr>
      </w:pPr>
      <w:r>
        <w:rPr>
          <w:rFonts w:ascii="Arial" w:cs="Arial" w:eastAsia="Arial" w:hAnsi="Arial"/>
          <w:sz w:val="19"/>
          <w:szCs w:val="19"/>
          <w:color w:val="auto"/>
        </w:rPr>
        <w:t>The Company manages market risk, which, as a financial institution is primarily interest rate volatility, through the ALCO Committee of the Bank, in accordance with policies approved by its board of directors. The Company uses an interest rate risk simulation model and shock analysis to test the interest rate sensitivity of net interest income and fair value of equity, and the impact of changes in interest rates on other financial metrics. See “Management’s Discussion and Analysis of Financial Condition and Results of Operations—Interest Rate Sensitivity and Market Risk” herein for a discussion of how we manage market risk.</w:t>
      </w:r>
    </w:p>
    <w:p>
      <w:pPr>
        <w:spacing w:after="0" w:line="17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Evaluation of Disclosure Controls and Procedures</w:t>
      </w:r>
    </w:p>
    <w:p>
      <w:pPr>
        <w:spacing w:after="0" w:line="233" w:lineRule="exact"/>
        <w:rPr>
          <w:sz w:val="20"/>
          <w:szCs w:val="20"/>
          <w:color w:val="auto"/>
        </w:rPr>
      </w:pPr>
    </w:p>
    <w:p>
      <w:pPr>
        <w:ind w:right="20" w:firstLine="486"/>
        <w:spacing w:after="0" w:line="247" w:lineRule="exact"/>
        <w:rPr>
          <w:sz w:val="20"/>
          <w:szCs w:val="20"/>
          <w:color w:val="auto"/>
        </w:rPr>
      </w:pPr>
      <w:r>
        <w:rPr>
          <w:rFonts w:ascii="Arial" w:cs="Arial" w:eastAsia="Arial" w:hAnsi="Arial"/>
          <w:sz w:val="19"/>
          <w:szCs w:val="19"/>
          <w:color w:val="auto"/>
        </w:rPr>
        <w:t>As of the end of the period covered by this Form 10-Q, the Company carried out an evaluation, under the supervision and with the participation of its management, including its Chief Executive Officer and Chief Financial Officer, of the effectiveness of the design and operation of its disclosure controls and procedures.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the Company’s Chief Executive Officer and Chief Financial Officer concluded that the Company’s disclosure controls and procedures (as defined in Rules 13a</w:t>
      </w:r>
      <w:r>
        <w:rPr>
          <w:rFonts w:ascii="MS PGothic" w:cs="MS PGothic" w:eastAsia="MS PGothic" w:hAnsi="MS PGothic"/>
          <w:sz w:val="19"/>
          <w:szCs w:val="19"/>
          <w:color w:val="auto"/>
        </w:rPr>
        <w:t>‑</w:t>
      </w:r>
      <w:r>
        <w:rPr>
          <w:rFonts w:ascii="Arial" w:cs="Arial" w:eastAsia="Arial" w:hAnsi="Arial"/>
          <w:sz w:val="19"/>
          <w:szCs w:val="19"/>
          <w:color w:val="auto"/>
        </w:rPr>
        <w:t>15(e) and 15d</w:t>
      </w:r>
      <w:r>
        <w:rPr>
          <w:rFonts w:ascii="MS PGothic" w:cs="MS PGothic" w:eastAsia="MS PGothic" w:hAnsi="MS PGothic"/>
          <w:sz w:val="19"/>
          <w:szCs w:val="19"/>
          <w:color w:val="auto"/>
        </w:rPr>
        <w:t>‑</w:t>
      </w:r>
      <w:r>
        <w:rPr>
          <w:rFonts w:ascii="Arial" w:cs="Arial" w:eastAsia="Arial" w:hAnsi="Arial"/>
          <w:sz w:val="19"/>
          <w:szCs w:val="19"/>
          <w:color w:val="auto"/>
        </w:rPr>
        <w:t>15(e) under the Securities Exchange Act of 1934, as amended, or the Exchange Act) were effective as of the end of the period covered by this Form 10-Q.</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22"/>
          <w:szCs w:val="22"/>
          <w:i w:val="1"/>
          <w:iCs w:val="1"/>
          <w:color w:val="auto"/>
        </w:rPr>
        <w:t>Internal Control over Financial Reporting</w:t>
      </w:r>
    </w:p>
    <w:p>
      <w:pPr>
        <w:spacing w:after="0" w:line="233" w:lineRule="exact"/>
        <w:rPr>
          <w:sz w:val="20"/>
          <w:szCs w:val="20"/>
          <w:color w:val="auto"/>
        </w:rPr>
      </w:pPr>
    </w:p>
    <w:p>
      <w:pPr>
        <w:jc w:val="both"/>
        <w:ind w:right="100" w:firstLine="486"/>
        <w:spacing w:after="0" w:line="258" w:lineRule="auto"/>
        <w:rPr>
          <w:sz w:val="20"/>
          <w:szCs w:val="20"/>
          <w:color w:val="auto"/>
        </w:rPr>
      </w:pPr>
      <w:r>
        <w:rPr>
          <w:rFonts w:ascii="Arial" w:cs="Arial" w:eastAsia="Arial" w:hAnsi="Arial"/>
          <w:sz w:val="21"/>
          <w:szCs w:val="21"/>
          <w:color w:val="auto"/>
        </w:rPr>
        <w:t>There were no changes in the Company’s internal control over financial reporting (as such term is defined in Rules 13a-15(f) and 15d-15(f) under the Exchange Act) that occurred during the three months ended March 31, 2019 that have materially affected, or are reasonably likely to materially affect,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right="20" w:firstLine="486"/>
        <w:spacing w:after="0" w:line="236" w:lineRule="auto"/>
        <w:rPr>
          <w:sz w:val="20"/>
          <w:szCs w:val="20"/>
          <w:color w:val="auto"/>
        </w:rPr>
      </w:pPr>
      <w:r>
        <w:rPr>
          <w:rFonts w:ascii="Arial" w:cs="Arial" w:eastAsia="Arial" w:hAnsi="Arial"/>
          <w:sz w:val="22"/>
          <w:szCs w:val="22"/>
          <w:color w:val="auto"/>
        </w:rPr>
        <w:t>The Company and its subsidiaries are subject to various legal actions, as described in the IPO Prospectus. There are no material developments in the legal actions described in the IPO Prospectus. Except as described in the IPO Prospectus, we are not presently involved in any litigation, nor to our knowledge is any litigation threatened against us, that in management’s opinion would result in any material adverse effect on our financial position or results of operations or that is not expected to be covered by insurance.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ind w:right="140" w:firstLine="486"/>
        <w:spacing w:after="0" w:line="236" w:lineRule="auto"/>
        <w:rPr>
          <w:sz w:val="20"/>
          <w:szCs w:val="20"/>
          <w:color w:val="auto"/>
        </w:rPr>
      </w:pPr>
      <w:r>
        <w:rPr>
          <w:rFonts w:ascii="Arial" w:cs="Arial" w:eastAsia="Arial" w:hAnsi="Arial"/>
          <w:sz w:val="22"/>
          <w:szCs w:val="22"/>
          <w:color w:val="auto"/>
        </w:rPr>
        <w:t>In evaluating an investment in any of our securities, investors should consider carefully, among other things, information under the heading “Cautionary Note Regarding Forward-Looking Statements” in this Form 10-Q and the risk factors previously disclosed under the heading “Risk Factors” in our IPO Prospectus filed with the SEC on May 9, 2019 pursuant to Rule 424(b) of the Securities Act, in connection with the initial public offering of our common stock. There have been no material changes in the risk factors disclosed by the Company in its IPO Prospectus.</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49" w:lineRule="exact"/>
        <w:rPr>
          <w:sz w:val="20"/>
          <w:szCs w:val="20"/>
          <w:color w:val="auto"/>
        </w:rPr>
      </w:pPr>
    </w:p>
    <w:p>
      <w:pPr>
        <w:ind w:firstLine="486"/>
        <w:spacing w:after="0" w:line="271" w:lineRule="auto"/>
        <w:rPr>
          <w:sz w:val="20"/>
          <w:szCs w:val="20"/>
          <w:color w:val="auto"/>
        </w:rPr>
      </w:pPr>
      <w:r>
        <w:rPr>
          <w:rFonts w:ascii="Arial" w:cs="Arial" w:eastAsia="Arial" w:hAnsi="Arial"/>
          <w:sz w:val="19"/>
          <w:szCs w:val="19"/>
          <w:color w:val="auto"/>
        </w:rPr>
        <w:t>We had no sales of equity securities by the Company during the period covered by this Form 10-Q that were not registered with the SEC under the Securities Act. In May 2019, subsequent to the period covered by this Form 10-Q, we issued and sold 3,207,000 shares of our common stock, including 507,000 shares of common stock sold pursuant to the underwriters’ full exercise of their option to purchase additional shares, in our initial public offering at an offering price of $17.50 per share, for aggregate gross proceeds of $56.1 million before deducting underwriting discounts and estimated offering expenses, and estimated aggregate net proceeds of approximately $51.4 million after deducting underwriting discounts and estimated offering expenses, which expenses are not yet finalized. All of the shares issued and sold in the initial public offering were registered under the Securities Act pursuant to a Registration Statement on Form S-1 (File No. 333-230851), which was declared effective by the SEC on May 8, 2019. We made no payments to our directors, officers or persons owning ten percent or more of our common stock or to their associates, or to our affiliates in connection with the issuance and sale of the securities registered. Keefe, Bruyette &amp; Woods, Inc.,, a Stifel Company, and Sandler O’Neill + Partners, L.P. acted as joint book-running managers for the offering. The offering commenced on May 8, 2019, did not terminate until the sale of all of the shares offered, and was closed on May 13, 2019. There has been no material change in the planned use of proceeds from our initial public offering as described in our IPO Prospectus (File No. 333-230851), filed with the SEC on May 9, 2019 pursuant to Rule 424(b).</w:t>
      </w:r>
    </w:p>
    <w:p>
      <w:pPr>
        <w:sectPr>
          <w:pgSz w:w="11900" w:h="16838" w:orient="portrait"/>
          <w:cols w:equalWidth="0" w:num="1">
            <w:col w:w="11380"/>
          </w:cols>
          <w:pgMar w:left="240" w:top="122" w:right="279" w:bottom="592"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592"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w:t>
            </w: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gridSpan w:val="4"/>
          </w:tcPr>
          <w:p>
            <w:pPr>
              <w:ind w:left="120"/>
              <w:spacing w:after="0"/>
              <w:rPr>
                <w:sz w:val="20"/>
                <w:szCs w:val="20"/>
                <w:color w:val="auto"/>
              </w:rPr>
            </w:pPr>
            <w:r>
              <w:rPr>
                <w:rFonts w:ascii="Arial" w:cs="Arial" w:eastAsia="Arial" w:hAnsi="Arial"/>
                <w:sz w:val="18"/>
                <w:szCs w:val="18"/>
                <w:b w:val="1"/>
                <w:bCs w:val="1"/>
                <w:color w:val="auto"/>
              </w:rPr>
              <w:t>Number</w:t>
            </w:r>
          </w:p>
        </w:tc>
        <w:tc>
          <w:tcPr>
            <w:tcW w:w="10500" w:type="dxa"/>
            <w:vAlign w:val="bottom"/>
          </w:tcPr>
          <w:p>
            <w:pPr>
              <w:ind w:left="48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8">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Amended and Restated Certificate of Formation of South Plains Financial, Inc. (incorporated by reference to Exhibit 3.1 to the Company’s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Form S-1 filed with the Commission on April 12, 2019) (File No. 333-230851)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r:id="rId69">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Amended and Restated Bylaws of South Plains Financial, Inc. (incorporated by reference to Exhibit 3.2 to the Company’s Form S-1 filed with</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10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 Commission on April 12, 2019) (File No. 333-230851)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6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5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4"/>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5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w:t>
            </w: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50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94"/>
              </w:rPr>
              <w:t>The following material from South Plains Financial, Inc.’s Form 10-Q for the quarter ended March 31, 2019, formatted in XBRL (eXtensible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500" w:type="dxa"/>
            <w:vAlign w:val="bottom"/>
          </w:tcPr>
          <w:p>
            <w:pPr>
              <w:ind w:left="140"/>
              <w:spacing w:after="0"/>
              <w:rPr>
                <w:sz w:val="20"/>
                <w:szCs w:val="20"/>
                <w:color w:val="auto"/>
              </w:rPr>
            </w:pPr>
            <w:r>
              <w:rPr>
                <w:rFonts w:ascii="Arial" w:cs="Arial" w:eastAsia="Arial" w:hAnsi="Arial"/>
                <w:sz w:val="18"/>
                <w:szCs w:val="18"/>
                <w:color w:val="auto"/>
                <w:w w:val="92"/>
              </w:rPr>
              <w:t>Business Reporting Language), filed herewith: (i) Consolidated Balance Sheets, (ii) Consolidated Statements of Comprehensive Income, (iii)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548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ind w:left="1060" w:right="660"/>
        <w:spacing w:after="0" w:line="261" w:lineRule="auto"/>
        <w:rPr>
          <w:sz w:val="20"/>
          <w:szCs w:val="20"/>
          <w:color w:val="auto"/>
        </w:rPr>
      </w:pPr>
      <w:r>
        <w:rPr>
          <w:rFonts w:ascii="Arial" w:cs="Arial" w:eastAsia="Arial" w:hAnsi="Arial"/>
          <w:sz w:val="18"/>
          <w:szCs w:val="18"/>
          <w:color w:val="auto"/>
        </w:rPr>
        <w:t>Consolidated Statements of Changes in Stockholders’ Equity, (iv) Consolidated Statements of Cash Flows, and (v)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898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222222"/>
        </w:rPr>
      </w:pPr>
      <w:r>
        <w:rPr>
          <w:rFonts w:ascii="Arial" w:cs="Arial" w:eastAsia="Arial" w:hAnsi="Arial"/>
          <w:sz w:val="18"/>
          <w:szCs w:val="18"/>
          <w:color w:val="222222"/>
        </w:rPr>
        <w:t>Filed with this Form 10-Q</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222222"/>
        </w:rPr>
        <w:t>Furnished with this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20" w:firstLine="48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600" w:val="left"/>
          <w:tab w:leader="none" w:pos="5700" w:val="left"/>
          <w:tab w:leader="none" w:pos="8000" w:val="left"/>
        </w:tabs>
        <w:rPr>
          <w:sz w:val="20"/>
          <w:szCs w:val="20"/>
          <w:color w:val="auto"/>
        </w:rPr>
      </w:pPr>
      <w:r>
        <w:rPr>
          <w:rFonts w:ascii="Arial" w:cs="Arial" w:eastAsia="Arial" w:hAnsi="Arial"/>
          <w:sz w:val="18"/>
          <w:szCs w:val="18"/>
          <w:color w:val="auto"/>
        </w:rPr>
        <w:t>Date:</w:t>
        <w:tab/>
        <w:t>June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spacing w:after="0"/>
        <w:tabs>
          <w:tab w:leader="none" w:pos="600" w:val="left"/>
          <w:tab w:leader="none" w:pos="5700" w:val="left"/>
          <w:tab w:leader="none" w:pos="7920" w:val="left"/>
        </w:tabs>
        <w:rPr>
          <w:sz w:val="20"/>
          <w:szCs w:val="20"/>
          <w:color w:val="auto"/>
        </w:rPr>
      </w:pPr>
      <w:r>
        <w:rPr>
          <w:rFonts w:ascii="Arial" w:cs="Arial" w:eastAsia="Arial" w:hAnsi="Arial"/>
          <w:sz w:val="18"/>
          <w:szCs w:val="18"/>
          <w:color w:val="auto"/>
        </w:rPr>
        <w:t>Date:</w:t>
        <w:tab/>
        <w:t>June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400" w:right="138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Form10-Q of South Plains Financial, Inc. for the quarter ended March 31, 2019;</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66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220" w:hanging="486"/>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80" w:right="720" w:hanging="486"/>
        <w:spacing w:after="0" w:line="34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0" w:hanging="486"/>
        <w:spacing w:after="0" w:line="312" w:lineRule="auto"/>
        <w:tabs>
          <w:tab w:leader="none" w:pos="9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6"/>
          <w:szCs w:val="16"/>
          <w:color w:val="auto"/>
        </w:rPr>
      </w:pPr>
    </w:p>
    <w:p>
      <w:pPr>
        <w:ind w:left="500" w:right="360" w:hanging="492"/>
        <w:spacing w:after="0" w:line="308"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100" w:hanging="486"/>
        <w:spacing w:after="0" w:line="277" w:lineRule="auto"/>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0" w:val="left"/>
          <w:tab w:leader="none" w:pos="5700" w:val="left"/>
          <w:tab w:leader="none" w:pos="8020" w:val="left"/>
        </w:tabs>
        <w:rPr>
          <w:sz w:val="20"/>
          <w:szCs w:val="20"/>
          <w:color w:val="auto"/>
        </w:rPr>
      </w:pPr>
      <w:r>
        <w:rPr>
          <w:rFonts w:ascii="Arial" w:cs="Arial" w:eastAsia="Arial" w:hAnsi="Arial"/>
          <w:sz w:val="18"/>
          <w:szCs w:val="18"/>
          <w:color w:val="auto"/>
        </w:rPr>
        <w:t>Date:</w:t>
        <w:tab/>
        <w:t>June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7"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400" w:right="138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 Plains Financial, Inc. for the quarter ended March 31, 2019;</w:t>
      </w:r>
    </w:p>
    <w:p>
      <w:pPr>
        <w:spacing w:after="0" w:line="252" w:lineRule="exact"/>
        <w:rPr>
          <w:rFonts w:ascii="Arial" w:cs="Arial" w:eastAsia="Arial" w:hAnsi="Arial"/>
          <w:sz w:val="18"/>
          <w:szCs w:val="18"/>
          <w:color w:val="auto"/>
        </w:rPr>
      </w:pPr>
    </w:p>
    <w:p>
      <w:pPr>
        <w:jc w:val="both"/>
        <w:ind w:left="500" w:right="460" w:hanging="492"/>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2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right="660" w:hanging="492"/>
        <w:spacing w:after="0" w:line="277"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97" w:lineRule="exact"/>
        <w:rPr>
          <w:rFonts w:ascii="Arial" w:cs="Arial" w:eastAsia="Arial" w:hAnsi="Arial"/>
          <w:sz w:val="18"/>
          <w:szCs w:val="18"/>
          <w:color w:val="auto"/>
        </w:rPr>
      </w:pPr>
    </w:p>
    <w:p>
      <w:pPr>
        <w:ind w:left="980" w:right="220" w:hanging="486"/>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40" w:hanging="486"/>
        <w:spacing w:after="0" w:line="264"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980" w:right="720" w:hanging="486"/>
        <w:spacing w:after="0" w:line="342" w:lineRule="auto"/>
        <w:tabs>
          <w:tab w:leader="none" w:pos="9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hanging="486"/>
        <w:spacing w:after="0" w:line="286" w:lineRule="auto"/>
        <w:tabs>
          <w:tab w:leader="none" w:pos="9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500" w:right="360" w:hanging="492"/>
        <w:spacing w:after="0" w:line="308"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20" w:hanging="486"/>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right="100" w:hanging="486"/>
        <w:spacing w:after="0" w:line="277" w:lineRule="auto"/>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0" w:val="left"/>
          <w:tab w:leader="none" w:pos="5700" w:val="left"/>
          <w:tab w:leader="none" w:pos="7940" w:val="left"/>
        </w:tabs>
        <w:rPr>
          <w:sz w:val="20"/>
          <w:szCs w:val="20"/>
          <w:color w:val="auto"/>
        </w:rPr>
      </w:pPr>
      <w:r>
        <w:rPr>
          <w:rFonts w:ascii="Arial" w:cs="Arial" w:eastAsia="Arial" w:hAnsi="Arial"/>
          <w:sz w:val="18"/>
          <w:szCs w:val="18"/>
          <w:color w:val="auto"/>
        </w:rPr>
        <w:t>Date:</w:t>
        <w:tab/>
        <w:t>June 24,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337883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378835" cy="17145"/>
                    </a:xfrm>
                    <a:prstGeom prst="rect">
                      <a:avLst/>
                    </a:prstGeom>
                    <a:noFill/>
                  </pic:spPr>
                </pic:pic>
              </a:graphicData>
            </a:graphic>
          </wp:anchor>
        </w:drawing>
      </w:r>
    </w:p>
    <w:p>
      <w:pPr>
        <w:spacing w:after="0" w:line="17"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18 U.S.C. SECTION 1350, AS ADOPTED PURSUANT TO</w:t>
      </w:r>
    </w:p>
    <w:p>
      <w:pPr>
        <w:ind w:left="290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2019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820" w:hanging="488"/>
        <w:spacing w:after="0"/>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820" w:hanging="488"/>
        <w:spacing w:after="0"/>
        <w:tabs>
          <w:tab w:leader="none" w:pos="8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r>
              <w:rPr>
                <w:rFonts w:ascii="Arial" w:cs="Arial" w:eastAsia="Arial" w:hAnsi="Arial"/>
                <w:sz w:val="18"/>
                <w:szCs w:val="18"/>
                <w:color w:val="auto"/>
              </w:rPr>
              <w:t>Date:   June 24, 2019</w:t>
            </w:r>
          </w:p>
        </w:tc>
        <w:tc>
          <w:tcPr>
            <w:tcW w:w="2420" w:type="dxa"/>
            <w:vAlign w:val="bottom"/>
          </w:tcPr>
          <w:p>
            <w:pPr>
              <w:ind w:left="204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Curtis C. Griffith</w:t>
            </w:r>
          </w:p>
        </w:tc>
      </w:tr>
      <w:tr>
        <w:trPr>
          <w:trHeight w:val="202"/>
        </w:trPr>
        <w:tc>
          <w:tcPr>
            <w:tcW w:w="36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2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18 U.S.C. SECTION 1350, AS ADOPTED PURSUANT TO</w:t>
      </w:r>
    </w:p>
    <w:p>
      <w:pPr>
        <w:ind w:left="290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9"/>
          <w:szCs w:val="19"/>
          <w:color w:val="auto"/>
        </w:rPr>
        <w:t>In connection with the Quarterly Report on Form 10-Q of South Plains Financial, Inc. (the “Company”) for the quarter ended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March 31, 2019 (the “Report”), as filed with the Securities and Exchange Commission on the date hereof, I certify, pursuant to 18</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U.S.C. § 1350, as adopted pursuant to § 906 of the Sarbanes-Oxley Act of 2002, that to the best of my knowledge:</w:t>
      </w:r>
    </w:p>
    <w:p>
      <w:pPr>
        <w:spacing w:after="0" w:line="222" w:lineRule="exact"/>
        <w:rPr>
          <w:sz w:val="20"/>
          <w:szCs w:val="20"/>
          <w:color w:val="auto"/>
        </w:rPr>
      </w:pPr>
    </w:p>
    <w:p>
      <w:pPr>
        <w:ind w:left="820" w:hanging="488"/>
        <w:spacing w:after="0"/>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820" w:hanging="488"/>
        <w:spacing w:after="0"/>
        <w:tabs>
          <w:tab w:leader="none" w:pos="8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680" w:type="dxa"/>
            <w:vAlign w:val="bottom"/>
          </w:tcPr>
          <w:p>
            <w:pPr>
              <w:spacing w:after="0"/>
              <w:rPr>
                <w:sz w:val="20"/>
                <w:szCs w:val="20"/>
                <w:color w:val="auto"/>
              </w:rPr>
            </w:pPr>
            <w:r>
              <w:rPr>
                <w:rFonts w:ascii="Arial" w:cs="Arial" w:eastAsia="Arial" w:hAnsi="Arial"/>
                <w:sz w:val="18"/>
                <w:szCs w:val="18"/>
                <w:color w:val="auto"/>
              </w:rPr>
              <w:t>Date:   June 24, 2019</w:t>
            </w:r>
          </w:p>
        </w:tc>
        <w:tc>
          <w:tcPr>
            <w:tcW w:w="2420" w:type="dxa"/>
            <w:vAlign w:val="bottom"/>
          </w:tcPr>
          <w:p>
            <w:pPr>
              <w:ind w:left="2040"/>
              <w:spacing w:after="0"/>
              <w:rPr>
                <w:sz w:val="20"/>
                <w:szCs w:val="20"/>
                <w:color w:val="auto"/>
              </w:rPr>
            </w:pPr>
            <w:r>
              <w:rPr>
                <w:rFonts w:ascii="Arial" w:cs="Arial" w:eastAsia="Arial" w:hAnsi="Arial"/>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6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32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6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lowerRoman"/>
      <w:start w:val="2"/>
    </w:lvl>
  </w:abstractNum>
  <w:abstractNum w:abstractNumId="5">
    <w:nsid w:val="25E45D32"/>
    <w:multiLevelType w:val="hybridMultilevel"/>
    <w:lvl w:ilvl="0">
      <w:lvlJc w:val="left"/>
      <w:lvlText w:val="%1."/>
      <w:numFmt w:val="decimal"/>
      <w:start w:val="4"/>
    </w:lvl>
  </w:abstractNum>
  <w:abstractNum w:abstractNumId="6">
    <w:nsid w:val="519B500D"/>
    <w:multiLevelType w:val="hybridMultilevel"/>
    <w:lvl w:ilvl="0">
      <w:lvlJc w:val="left"/>
      <w:lvlText w:val="%1."/>
      <w:numFmt w:val="decimal"/>
      <w:start w:val="5"/>
    </w:lvl>
  </w:abstractNum>
  <w:abstractNum w:abstractNumId="7">
    <w:nsid w:val="431BD7B7"/>
    <w:multiLevelType w:val="hybridMultilevel"/>
    <w:lvl w:ilvl="0">
      <w:lvlJc w:val="left"/>
      <w:lvlText w:val="%1."/>
      <w:numFmt w:val="decimal"/>
      <w:start w:val="6"/>
    </w:lvl>
  </w:abstractNum>
  <w:abstractNum w:abstractNumId="8">
    <w:nsid w:val="3F2DBA31"/>
    <w:multiLevelType w:val="hybridMultilevel"/>
    <w:lvl w:ilvl="0">
      <w:lvlJc w:val="left"/>
      <w:lvlText w:val="%1."/>
      <w:numFmt w:val="decimal"/>
      <w:start w:val="7"/>
    </w:lvl>
  </w:abstractNum>
  <w:abstractNum w:abstractNumId="9">
    <w:nsid w:val="7C83E458"/>
    <w:multiLevelType w:val="hybridMultilevel"/>
    <w:lvl w:ilvl="0">
      <w:lvlJc w:val="left"/>
      <w:lvlText w:val="%1."/>
      <w:numFmt w:val="decimal"/>
      <w:start w:val="8"/>
    </w:lvl>
  </w:abstractNum>
  <w:abstractNum w:abstractNumId="10">
    <w:nsid w:val="257130A3"/>
    <w:multiLevelType w:val="hybridMultilevel"/>
    <w:lvl w:ilvl="0">
      <w:lvlJc w:val="left"/>
      <w:lvlText w:val="(%1)"/>
      <w:numFmt w:val="lowerRoman"/>
      <w:start w:val="2"/>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2"/>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3"/>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68" Type="http://schemas.openxmlformats.org/officeDocument/2006/relationships/hyperlink" Target="http://www.sec.gov/Archives/edgar/data/1163668/000114036119007042/s002614x4_ex3-1.htm" TargetMode="External"/><Relationship Id="rId69" Type="http://schemas.openxmlformats.org/officeDocument/2006/relationships/hyperlink" Target="http://www.sec.gov/Archives/edgar/data/1163668/000114036119007042/s002614x4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2019-12-28T10:44:37Z</dcterms:created>
  <dcterms:modified xsi:type="dcterms:W3CDTF">2019-12-28T10:44:37Z</dcterms:modified>
</cp:coreProperties>
</file>