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Texas</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001-38895</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75-2453320</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60" w:space="720"/>
            <w:col w:w="3080"/>
          </w:cols>
          <w:pgMar w:left="320" w:top="516" w:right="339" w:bottom="1440" w:gutter="0" w:footer="0" w:header="0"/>
          <w:type w:val="continuous"/>
        </w:sectPr>
      </w:pPr>
    </w:p>
    <w:p>
      <w:pPr>
        <w:spacing w:after="0" w:line="14"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5219 City Bank Parkway</w:t>
      </w:r>
    </w:p>
    <w:p>
      <w:pPr>
        <w:spacing w:after="0" w:line="31"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Lubbock, Texas</w:t>
      </w:r>
    </w:p>
    <w:p>
      <w:pPr>
        <w:spacing w:after="0" w:line="9"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79407</w:t>
      </w:r>
    </w:p>
    <w:p>
      <w:pPr>
        <w:spacing w:after="0" w:line="31"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980" w:space="720"/>
            <w:col w:w="2540"/>
          </w:cols>
          <w:pgMar w:left="320" w:top="516" w:right="339" w:bottom="1440" w:gutter="0" w:footer="0" w:header="0"/>
          <w:type w:val="continuous"/>
        </w:sectPr>
      </w:pP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(806) 792-7101</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210185</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South Plains Financial, Inc. (the “Company”) held its 2026 Annual Meeting of Shareholders virtually on May 11, 2026 (the “Annual Meeting”). There were 16,342,095 shares of the Company’s common stock outstanding and entitled to receive notice of and to vote at the Annual Meeting at the close of business on March 19, 2026, the record date for the Annual Meeting. Of that number, 14,766,189 shares of the Company’s common stock were represented by means of remote communication or by proxy at the Annual Meeting, which constituted a quorum to conduct business at the Annual Meeting. The Company’s shareholders voted on and approved the following three proposals at the Annual Meeting.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Proposal 1 – To elect two (2) Class I directors to serve on the Company’s board of directors until the Company’s 2029 annual meeting of shareholders or each until their respective successor or successors are duly elected and qualified or until their earlier death, resignation or removal from office. Final voting results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Nominee</w:t>
            </w:r>
          </w:p>
        </w:tc>
        <w:tc>
          <w:tcPr>
            <w:tcW w:w="1160" w:type="dxa"/>
            <w:vAlign w:val="bottom"/>
          </w:tcPr>
          <w:p>
            <w:pPr>
              <w:spacing w:after="0"/>
              <w:rPr>
                <w:sz w:val="17"/>
                <w:szCs w:val="17"/>
                <w:color w:val="auto"/>
              </w:rPr>
            </w:pPr>
          </w:p>
        </w:tc>
        <w:tc>
          <w:tcPr>
            <w:tcW w:w="118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color w:val="auto"/>
                <w:w w:val="95"/>
              </w:rPr>
              <w:t>For</w:t>
            </w:r>
          </w:p>
        </w:tc>
        <w:tc>
          <w:tcPr>
            <w:tcW w:w="780" w:type="dxa"/>
            <w:vAlign w:val="bottom"/>
          </w:tcPr>
          <w:p>
            <w:pPr>
              <w:spacing w:after="0"/>
              <w:rPr>
                <w:sz w:val="17"/>
                <w:szCs w:val="17"/>
                <w:color w:val="auto"/>
              </w:rPr>
            </w:pPr>
          </w:p>
        </w:tc>
        <w:tc>
          <w:tcPr>
            <w:tcW w:w="216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color w:val="auto"/>
                <w:w w:val="99"/>
              </w:rPr>
              <w:t>Against</w:t>
            </w:r>
          </w:p>
        </w:tc>
        <w:tc>
          <w:tcPr>
            <w:tcW w:w="11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Abstain</w:t>
            </w:r>
          </w:p>
        </w:tc>
        <w:tc>
          <w:tcPr>
            <w:tcW w:w="232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1"/>
        </w:trPr>
        <w:tc>
          <w:tcPr>
            <w:tcW w:w="134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D. Campbell</w:t>
            </w:r>
          </w:p>
        </w:tc>
        <w:tc>
          <w:tcPr>
            <w:tcW w:w="2340" w:type="dxa"/>
            <w:vAlign w:val="bottom"/>
            <w:gridSpan w:val="3"/>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6,289,536</w:t>
            </w:r>
          </w:p>
        </w:tc>
        <w:tc>
          <w:tcPr>
            <w:tcW w:w="2940" w:type="dxa"/>
            <w:vAlign w:val="bottom"/>
            <w:gridSpan w:val="3"/>
            <w:shd w:val="clear" w:color="auto" w:fill="CCEEFF"/>
          </w:tcPr>
          <w:p>
            <w:pPr>
              <w:jc w:val="center"/>
              <w:ind w:right="820"/>
              <w:spacing w:after="0"/>
              <w:rPr>
                <w:sz w:val="20"/>
                <w:szCs w:val="20"/>
                <w:color w:val="auto"/>
              </w:rPr>
            </w:pPr>
            <w:r>
              <w:rPr>
                <w:rFonts w:ascii="Times New Roman" w:cs="Times New Roman" w:eastAsia="Times New Roman" w:hAnsi="Times New Roman"/>
                <w:sz w:val="18"/>
                <w:szCs w:val="18"/>
                <w:color w:val="auto"/>
                <w:w w:val="99"/>
              </w:rPr>
              <w:t>5,218,817</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92,114</w:t>
            </w:r>
          </w:p>
        </w:tc>
        <w:tc>
          <w:tcPr>
            <w:tcW w:w="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3,165,722</w:t>
            </w:r>
          </w:p>
        </w:tc>
        <w:tc>
          <w:tcPr>
            <w:tcW w:w="400" w:type="dxa"/>
            <w:vAlign w:val="bottom"/>
            <w:shd w:val="clear" w:color="auto" w:fill="CCEEFF"/>
          </w:tcPr>
          <w:p>
            <w:pPr>
              <w:spacing w:after="0"/>
              <w:rPr>
                <w:sz w:val="18"/>
                <w:szCs w:val="18"/>
                <w:color w:val="auto"/>
              </w:rPr>
            </w:pPr>
          </w:p>
        </w:tc>
      </w:tr>
      <w:tr>
        <w:trPr>
          <w:trHeight w:val="234"/>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LaDana R. Washburn</w:t>
            </w:r>
          </w:p>
        </w:tc>
        <w:tc>
          <w:tcPr>
            <w:tcW w:w="23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7,556,780</w:t>
            </w:r>
          </w:p>
        </w:tc>
        <w:tc>
          <w:tcPr>
            <w:tcW w:w="29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9"/>
              </w:rPr>
              <w:t>3,951,573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92,114</w:t>
            </w:r>
          </w:p>
        </w:tc>
        <w:tc>
          <w:tcPr>
            <w:tcW w:w="600" w:type="dxa"/>
            <w:vAlign w:val="bottom"/>
          </w:tcPr>
          <w:p>
            <w:pPr>
              <w:spacing w:after="0"/>
              <w:rPr>
                <w:sz w:val="20"/>
                <w:szCs w:val="20"/>
                <w:color w:val="auto"/>
              </w:rPr>
            </w:pPr>
          </w:p>
        </w:tc>
        <w:tc>
          <w:tcPr>
            <w:tcW w:w="192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9"/>
              </w:rPr>
              <w:t>3,165,722</w:t>
            </w:r>
          </w:p>
        </w:tc>
        <w:tc>
          <w:tcPr>
            <w:tcW w:w="40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2 – To ratify the appointment of Forvis Mazars, LLP as the independent registered public accounting firm of the Company for the year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2026. Final voting results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rPr>
              <w:t>For</w:t>
            </w:r>
          </w:p>
        </w:tc>
        <w:tc>
          <w:tcPr>
            <w:tcW w:w="2260" w:type="dxa"/>
            <w:vAlign w:val="bottom"/>
            <w:gridSpan w:val="2"/>
          </w:tcPr>
          <w:p>
            <w:pPr>
              <w:jc w:val="center"/>
              <w:ind w:right="1700"/>
              <w:spacing w:after="0"/>
              <w:rPr>
                <w:sz w:val="20"/>
                <w:szCs w:val="20"/>
                <w:color w:val="auto"/>
              </w:rPr>
            </w:pPr>
            <w:r>
              <w:rPr>
                <w:rFonts w:ascii="Times New Roman" w:cs="Times New Roman" w:eastAsia="Times New Roman" w:hAnsi="Times New Roman"/>
                <w:sz w:val="18"/>
                <w:szCs w:val="18"/>
                <w:color w:val="auto"/>
                <w:w w:val="99"/>
              </w:rPr>
              <w:t>Against</w:t>
            </w:r>
          </w:p>
        </w:tc>
        <w:tc>
          <w:tcPr>
            <w:tcW w:w="120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Abstain</w:t>
            </w:r>
          </w:p>
        </w:tc>
        <w:tc>
          <w:tcPr>
            <w:tcW w:w="24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1"/>
        </w:trPr>
        <w:tc>
          <w:tcPr>
            <w:tcW w:w="100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6"/>
        </w:trPr>
        <w:tc>
          <w:tcPr>
            <w:tcW w:w="3080" w:type="dxa"/>
            <w:vAlign w:val="bottom"/>
            <w:gridSpan w:val="3"/>
            <w:shd w:val="clear" w:color="auto" w:fill="CCEEFF"/>
          </w:tcPr>
          <w:p>
            <w:pPr>
              <w:jc w:val="right"/>
              <w:ind w:right="1540"/>
              <w:spacing w:after="0"/>
              <w:rPr>
                <w:sz w:val="20"/>
                <w:szCs w:val="20"/>
                <w:color w:val="auto"/>
              </w:rPr>
            </w:pPr>
            <w:r>
              <w:rPr>
                <w:rFonts w:ascii="Times New Roman" w:cs="Times New Roman" w:eastAsia="Times New Roman" w:hAnsi="Times New Roman"/>
                <w:sz w:val="18"/>
                <w:szCs w:val="18"/>
                <w:color w:val="auto"/>
              </w:rPr>
              <w:t>14,673,121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90,082</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3 – To approve, on a non-binding advisory basis, the Company’s compensation for named executive officers. Final voting results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For</w:t>
            </w:r>
          </w:p>
        </w:tc>
        <w:tc>
          <w:tcPr>
            <w:tcW w:w="78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120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Abstain</w:t>
            </w:r>
          </w:p>
        </w:tc>
        <w:tc>
          <w:tcPr>
            <w:tcW w:w="24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1"/>
        </w:trPr>
        <w:tc>
          <w:tcPr>
            <w:tcW w:w="100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6"/>
        </w:trPr>
        <w:tc>
          <w:tcPr>
            <w:tcW w:w="230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10,752,825</w:t>
            </w:r>
          </w:p>
        </w:tc>
        <w:tc>
          <w:tcPr>
            <w:tcW w:w="304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757,446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90,196</w:t>
            </w:r>
          </w:p>
        </w:tc>
        <w:tc>
          <w:tcPr>
            <w:tcW w:w="6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3,165,722</w:t>
            </w:r>
          </w:p>
        </w:tc>
        <w:tc>
          <w:tcPr>
            <w:tcW w:w="46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spacing w:after="0"/>
        <w:tabs>
          <w:tab w:leader="none" w:pos="4480" w:val="left"/>
          <w:tab w:leader="none" w:pos="5060" w:val="left"/>
        </w:tabs>
        <w:rPr>
          <w:sz w:val="20"/>
          <w:szCs w:val="20"/>
          <w:color w:val="auto"/>
        </w:rPr>
      </w:pPr>
      <w:r>
        <w:rPr>
          <w:rFonts w:ascii="Times New Roman" w:cs="Times New Roman" w:eastAsia="Times New Roman" w:hAnsi="Times New Roman"/>
          <w:sz w:val="18"/>
          <w:szCs w:val="18"/>
          <w:color w:val="auto"/>
        </w:rPr>
        <w:t>Dated: May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17145</wp:posOffset>
            </wp:positionV>
            <wp:extent cx="39173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17315" cy="17145"/>
                    </a:xfrm>
                    <a:prstGeom prst="rect">
                      <a:avLst/>
                    </a:prstGeom>
                    <a:noFill/>
                  </pic:spPr>
                </pic:pic>
              </a:graphicData>
            </a:graphic>
          </wp:anchor>
        </w:drawing>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2026-05-14T16:15:17Z</dcterms:created>
  <dcterms:modified xsi:type="dcterms:W3CDTF">2026-05-14T16:15:17Z</dcterms:modified>
</cp:coreProperties>
</file>