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26, 2024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40"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January 26, 2024, South Plains Financial, Inc. (the “Company”) issued a press release announcing its financial results for the fourth quarter and year ended December 31, 2023.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January 26, 2024, officers of the Company will have a conference call with respect to the Company’s financial results for the fourth quarter and year ended December 31, 2023. An earnings release slide presentation highlighting the Company’s financial results for the fourth quarter and year ended December 31, 2023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260" w:hanging="684"/>
        <w:spacing w:after="0"/>
        <w:tabs>
          <w:tab w:leader="none" w:pos="1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January 26, 2024, announcing fourth quarter and year-end 2023 financial results of South Plains Financial, Inc.</w:t>
      </w:r>
    </w:p>
    <w:p>
      <w:pPr>
        <w:spacing w:after="0" w:line="183"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January 26, 2024.</w:t>
      </w:r>
    </w:p>
    <w:p>
      <w:pPr>
        <w:spacing w:after="0" w:line="183" w:lineRule="exact"/>
        <w:rPr>
          <w:sz w:val="20"/>
          <w:szCs w:val="20"/>
          <w:color w:val="auto"/>
        </w:rPr>
      </w:pPr>
    </w:p>
    <w:p>
      <w:pPr>
        <w:ind w:left="580"/>
        <w:spacing w:after="0"/>
        <w:tabs>
          <w:tab w:leader="none" w:pos="12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January 26, 2024</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9176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17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Fourth Quarter and Year-End 2023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January 26, 2024 (GLOBE NEWSWIRE) – South Plains Financial, Inc. (NASDAQ:SPFI) (“South Plains” or the “Company”), the parent company of City Bank (“City Bank” or the “Bank”), today reported its financial results for the quarter and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Quarter 2023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fourth quarter of 2023 was $10.3 million, compared to $13.5 million for the third quarter of 2023 and $12.6 million for the fourth quarter of 2022.</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fourth quarter of 2023 was $0.61, compared to $0.78 for the third quarter of 2023 and $0.71 for the fourth quarter of 2022.</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fourth quarter of 2023 increased to 224 basis points, compared to 207 basis points for the third quarter of 2023 and 97 basis points for the fourth quarter of 2022.</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calculated on a tax-equivalent basis, was 3.52% for the fourth quarter of 2023, compared to 3.52% for the third quarter of 2023.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held for investment grew $20.6 million, or 2.8% annualized, during the fourth quarter of 2023 as compared to September 30, 2023.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0.14% at December 31, 2023, compared to 0.12% at September 30, 2023 and 0.20% at December 31, 2022.</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fourth quarter of 2023 was 0.99% annualized, compared to 1.27% annualized for the third quarter of 2023 and 1.27% annualized for the fourth quarter of 2022.</w:t>
      </w:r>
    </w:p>
    <w:p>
      <w:pPr>
        <w:spacing w:after="0" w:line="17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$23.47 as of December 31, 2023, compared to $21.07 as of September 30, 2023.</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December 31, 2023 were 16.74%, 12.41%, and 11.33%, respectively. These ratios significantly exceeded the minimum regulatory levels necessary to be deemed “well-capitalized”.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Year 2023 Highlights</w:t>
      </w:r>
    </w:p>
    <w:p>
      <w:pPr>
        <w:spacing w:after="0" w:line="185" w:lineRule="exact"/>
        <w:rPr>
          <w:sz w:val="20"/>
          <w:szCs w:val="20"/>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$4.20 billion at December 31, 2023, compared to $3.94 billion at December 31, 2022.</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year net income of $62.7 million in 2023, compared to $58.2 million in 2022.</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of $3.62 in 2023, compared to $3.23 in 2022.</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held for investment grew $266.1 million, or 9.7%, during 2023.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of $23.47 at December 31, 2023, compared to $19.57 at December 31, 2022.</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of 1.54% for the full year 2023, compared to 1.47% for 2022.</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Bank’s wholly-owned subsidiary, Windmark Insurance Agency, Inc. (“Windmark”), was sold in the second quarter of 2023 for $36.1 million, resulting in a gain, net of related charges and taxes, of $22.9 million.</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“While our industry faced significant challenges through the year, we delivered strong results which demonstrates not only the strength of our franchise but also our ability to take advantage of opportunities that lie ahead to drive growth and shareholder value. First and foremost, our community-based deposit franchise grew modestly through the year, despite the significant dislocation that occurred following the failures of Silicon Valley Bank and Signature Bank in the first quarter. Loan demand also remained healthy across our markets while the Fed steadily raised their benchmark interest rate to what is expected to be a peak for the cycle this past December. For the full year, we delivered 9.7% loan growth which highlights both the strength of the Texas economy and our efforts to expand our lending platform with a focus on our metro markets. The credit quality of our loan portfolio also remained strong as we ended 2023 with our classified loans remaining at the lowest level since the start of the pandemic.”</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Mr. Griffith concluded, “We also completed the sale of Windmark for a pre-tax gain of $33.8 million. The gain that we recorded positioned us to strategically sell $56 million of investment securities at a loss in a tax efficient manner and reinvest those proceeds into higher yielding loans. Given our strong capital and liquidity position, our Board of Directors authorized a $15 million stock repurchase program in May, which has been exhausted. We repurchased 218 thousand shares during the fourth quarter and a total of 686 thousand shares during 2023. Through the year, our Board has believed that our shares have traded below intrinsic value and we have been aggressive in repurchasing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$35.2 million for the fourth quarter of 2023, compared to $35.7 million for the third quarter of 2023 and $36.3 million for the fourth quarter of 2022. Net interest margin, calculated on a tax-equivalent basis, was 3.52% for the fourth quarter of 2023, compared to 3.52% for the third quarter of 2023 and 3.88% for the fourth quarter of 2022. The average yield on loans was 6.29% for the fourth quarter of 2023, compared to 6.10% for the third quarter of 2023 and 5.59% for the fourth quarter of 2022. The average cost of deposits was 224 basis points for the fourth quarter of 2023, which is 17 basis points higher than the third quarter of 2023 and 127 basis points higher than the fourth quarter of 2022.</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income was $57.2 million for the fourth quarter of 2023, compared to $56.5 million for the third quarter of 2023 and $46.2 million for the fourth quarter of 2022. Interest income increased $708 thousand in the fourth quarter of 2023 from the third quarter of 2023, which was comprised of an increase of $1.7 million in loan interest income offset by a decrease of $945 thousand in interest income on other interest-earning assets. The growth in loan interest income was primarily due to an increase of $13.5 million in average loans outstanding and a rise of 19 basis points in the yield on loans. The decline in interest income on other interest-earning assets was predominately a result of decreased liquidity maintained at the Federal Reserve Bank of Dallas. Interest income increased $11.0 million in the fourth quarter of 2023 compared to the fourth quarter of 2022. This increase was primarily due to an increase of average loans of $273.6 million and higher market interest rates during the period, resulting in growth of $9.2 million in loan interest income.</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Interest expense was $22.1 million for the fourth quarter of 2023, compared to $20.8 million for the third quarter of 2023 and $9.9 million for the fourth quarter of 2022. Interest expense increased $1.2 million compared to the third quarter of 2023 and $12.2 million compared to the fourth quarter of 2022, primarily as a result of significantly higher short-term interest rates on interest-bearing liabilities, with the increase being mainly comprised of interest expense on deposits. Additionally, interest-bearing deposits grew during the fourth quarter of 2023 versus the compared periods, which also contributed to the higher interest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income was $9.1 million for the fourth quarter of 2023, compared to $12.3 million for the third quarter of 2023 and $12.7 million for the fourth quarter of 2022. The decrease from the third quarter of 2023 was primarily due to a decrease of $2.9 million in mortgage banking revenues, mainly from a reduction in the fair value of the mortgage servicing rights assets as interest rates that affect the value began falling late in the fourth quarter. Additionally, originations of mortgage loans held for sale declined $11.8 million due to typical seasonality. The decrease in noninterest income for the fourth quarter of 2023 as compared to the fourth quarter of 2022 was primarily due to a reduction of $2.8 million in income from insurance activities due to the sale of Windmark and a decrease of $1.1 million in mortgage banking revenues as originations of mortgage loans held for sale declined $35.0 million due to higher mortgage interest rates during the period, which has slowed mortgage activity.</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Noninterest expense was $30.6 million for the fourth quarter of 2023, compared to $31.5 million for the third quarter of 2023 and $32.7 million for the fourth quarter of 2022. The $892 thousand decrease from the third quarter of 2023 was largely the result of a reduction of $732 thousand in personnel costs, which predominately came from lower mortgage personnel costs as mortgage loan originations slowed as well as lower health care insurance costs. The decrease in noninterest expense for the fourth quarter of 2023 as compared to the fourth quarter of 2022 was primarily driven by a reduction of $783 thousand in Windmark-related expenses due to its sale and a reduction of approximately $1.2 million in mortgage noninterest expenses due to the decline in mortgage loan originations.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Loans held for investment were $3.01 billion as of December 31, 2023, compared to $2.99 billion as of September 30, 2023 and $2.75 billion as of December 31, 2022. The $20.6 million, or 2.8% annualized, increase during the fourth quarter of 2023 as compared to the third quarter of 2023 occurred primarily in commercial real estate loans, partially offset by a reduction in consumer auto loans. As of December 31, 2023, loans held for investment increased $266.1 million, or 9.7% year over year, from December 31, 2022, primarily attributable to strong organic loan growth, occurring mainly in commercial real estate loans.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Deposits totaled $3.63 billion as of December 31, 2023, compared to $3.62 billion as of September 30, 2023 and $3.41 billion as of December 31, 2022. Deposits increased by $5.5 million, or 0.6% annualized, in the fourth quarter of 2023 from September 30, 2023. As of December 31, 2023, deposits increased $219.7 million, or 6.5% year over year, from December 31, 2022. Noninterest-bearing deposits were $974 million as of December 31, 2023, compared to $1.05 billion as of September 30, 2023 and $1.15 billion as of December 31, 2022. Noninterest-bearing deposits represented 26.9% of total deposits as of December 31, 2023. The quarterly change in total deposits was mostly flat, reflecting a decline in noninterest-bearing deposits of $72.1 million and an increase in interest-bearing deposits of $77.6 million. The year-over-year increase in total deposits is primarily a result of growth of $152 million in brokered deposits in the second and third quarters of 2023 given the overall focus in the banking industry on improving liquidity, as well as organic deposit growth. In December 2023, $12.4 million in subordinated notes with a weighted-average interest rate of 5.75% were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recorded a provision for credit losses in the fourth quarter of 2023 of $600 thousand, compared to negative $700 thousand in the third quarter of 2023 and $248 thousand in the fourth quarter of 2022. The provision during the fourth quarter of 2023 was largely attributable to organic loan growth and net charge-off activity during the quarter.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1.41% as of December 31, 2023, compared to 1.41% as of September 30, 2023 and 1.43% as of December 31, 2022.</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ratio of nonperforming assets to total assets as of December 31, 2023 was 0.14%, compared to 0.12% as of September 30, 2023 and 0.20% as of December 31, 2022. Annualized net charge-offs were 0.08% for the fourth quarter of 2023, compared to 0.05% for the third quarter of 2023 and 0.09% for the fourth quarter of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increased to $24.80 at December 31, 2023, compared to $22.39 at September 30, 2023. The increase was primarily driven by an increase in accumulated other comprehensive income (“AOCI”) of $32.9 million and $8.2 million of net income after dividends paid. The increase in AOCI was attributed to the after-tax increase in fair value of our available for sale securities, net of fair value hedges, as a result of decreases in long-term market interest rates during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fourth quarter and year-end 2023 financial results today, January 26, 2024, at 10:00 a.m.,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13743667. The replay will be available until February 9,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ongoing quantitative tightening and current and future monetary policies of the Board of Governors of the Federal Reserve System; the effects of declines in housing prices in the United States and our market areas; increases in unemployment rates in the United States and our market areas; declines in commercial real estate prices; uncertainty regarding United States fiscal debt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regulatory considerations;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32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700" w:right="8400" w:firstLine="6"/>
        <w:spacing w:after="0" w:line="273" w:lineRule="auto"/>
        <w:tabs>
          <w:tab w:leader="none" w:pos="204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4"/>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57,236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56,528</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50,821</w:t>
            </w:r>
          </w:p>
        </w:tc>
        <w:tc>
          <w:tcPr>
            <w:tcW w:w="2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47,448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46,228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22,074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20,839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16,240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13,133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35,162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35,689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34,581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34,315</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36,322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3,700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1,010</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9,146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12,277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47,112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10,691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12,676</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30,597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31,489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40,499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32,361</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32,708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2,787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3,683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7,811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10,324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13,494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29,683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9,244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12,621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24.80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23.13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21.57</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23.47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21.07</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21.82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16,443,908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16,842,594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17,048,432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17,046,713</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17,007,914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17,008,892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17,354,182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17,386,515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17,560,756</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17,751,674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16,417,099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16,600,442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16,952,072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17,062,572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17,027,197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330,158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352,424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295,581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328,002</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234,883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622,762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584,969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628,093</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698,579</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701,711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3,014,153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2,993,563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2,979,063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2,788,640</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2,748,081</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42,356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42,075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43,137</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39,560</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39,288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4,204,793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4,186,440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4,150,129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4,058,049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3,944,063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2,651,952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2,574,361</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2,473,755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2,397,115</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2,255,942</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974,201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1,046,253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1,100,767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1,110,939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1,150,488</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3,626,153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3,620,614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3,574,522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3,508,054</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3,406,430</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110,168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122,493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122,447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122,400</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122,354</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407,114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371,716</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392,029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367,964</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357,014</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66.35%</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5,178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4,783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21,039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7,579</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0.28%</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20" w:type="dxa"/>
            <w:vAlign w:val="bottom"/>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bottom w:val="single" w:sz="8" w:color="auto"/>
            </w:tcBorders>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1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9.68%</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8.88%</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9.45%</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w:t>
            </w: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8.40%</w:t>
            </w:r>
          </w:p>
        </w:tc>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8.96%</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12.41%</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12.19%</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12.11%</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11.13%</w:t>
            </w:r>
          </w:p>
        </w:tc>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11.67%</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11.03%</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16.74%</w:t>
            </w:r>
          </w:p>
        </w:tc>
        <w:tc>
          <w:tcPr>
            <w:tcW w:w="14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16.82%</w:t>
            </w:r>
          </w:p>
        </w:tc>
        <w:tc>
          <w:tcPr>
            <w:tcW w:w="14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16.75%</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3,019,228</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47,903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6.29%</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2,745,595</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38,695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601,411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214,011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4.60%</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184,471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3,992,166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57,461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46,527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182,088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2,201,190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16,894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1,844,551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3.69%</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305,098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73,740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5.28%</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75,938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7.47%</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2,678,393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2,271,984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1,021,091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1,234,570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59,808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71,615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349,407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4,148,707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3,927,576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35,387</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36,621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3.52%</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Twelve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2,924,473</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176,627</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2,612,161</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137,957</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21,590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3.78%</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594,405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15,010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2.65%</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216,216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318,862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3,903,485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5.46%</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3,741,644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162,375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222,544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4,079,980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3,964,188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2,117,985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55,423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1,889,888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327,289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5.95%</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75,458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5.32%</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75,874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7.06%</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2,561,125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72,286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2,339,448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22,692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1,189,730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71,102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66,182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368,828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4,079,980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140,805</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139,683</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3.61%</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62,821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61,613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173,270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622,762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701,711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14,499</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3,014,153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2,748,081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(42,356)</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2,971,797</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2,708,793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55,070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assets</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26,569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27,474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162,194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160,605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974,201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1,150,488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2,651,952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2,255,942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3,626,153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3,406,430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63,775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61,358</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3,797,679</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3,587,049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16,417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17,027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97,107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112,834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292,261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(51,674)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(65,108)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407,114</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357,014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38,694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176,598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137,954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7,534</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35,435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57,236</w:t>
            </w:r>
          </w:p>
        </w:tc>
        <w:tc>
          <w:tcPr>
            <w:tcW w:w="2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212,033</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20,219</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8,258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64,987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4,018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36,322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139,747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138,476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4,610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(2,619)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36,074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135,137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141,095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7,130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2,823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13,817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31,370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13,323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12,946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subsidiary</w:t>
            </w:r>
          </w:p>
        </w:tc>
        <w:tc>
          <w:tcPr>
            <w:tcW w:w="12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33,778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9,663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14,174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12,676</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79,226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76,145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18,703</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79,377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4,085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16,102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6,433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6,752</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29,581</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134,946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16,042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79,417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73,151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16,672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14,911</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62,745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1,081,056</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919,358</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327,513</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517,361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484,783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534,731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460,124</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305,271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321,476</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74,168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81,308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129,190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153,519</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3,014,153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2,748,081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974,201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1,150,488</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562,066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350,910</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1,722,170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1,618,833</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286,199</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3,626,153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3,406,430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10,324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29,683</w:t>
            </w:r>
          </w:p>
        </w:tc>
        <w:tc>
          <w:tcPr>
            <w:tcW w:w="18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9,244</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12,621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2,787</w:t>
            </w: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7,811</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Borders>
              <w:lef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3,700</w:t>
            </w:r>
          </w:p>
        </w:tc>
        <w:tc>
          <w:tcPr>
            <w:tcW w:w="180" w:type="dxa"/>
            <w:vAlign w:val="bottom"/>
            <w:tcBorders>
              <w:left w:val="single" w:sz="8" w:color="CCEEFF"/>
            </w:tcBorders>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9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13,711</w:t>
            </w:r>
          </w:p>
        </w:tc>
        <w:tc>
          <w:tcPr>
            <w:tcW w:w="18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16,477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41,194</w:t>
            </w:r>
          </w:p>
        </w:tc>
        <w:tc>
          <w:tcPr>
            <w:tcW w:w="180" w:type="dxa"/>
            <w:vAlign w:val="bottom"/>
            <w:tcBorders>
              <w:lef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12,645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30,597</w:t>
            </w:r>
          </w:p>
        </w:tc>
        <w:tc>
          <w:tcPr>
            <w:tcW w:w="1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31,489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40,499</w:t>
            </w: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32,361</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35,162</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35,689</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34,581</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34,315</w:t>
            </w: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Tax equivalent yield adjustment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9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9,146</w:t>
            </w:r>
          </w:p>
        </w:tc>
        <w:tc>
          <w:tcPr>
            <w:tcW w:w="1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left w:val="single" w:sz="8" w:color="CCEEFF"/>
              <w:bottom w:val="single" w:sz="8" w:color="auto"/>
            </w:tcBorders>
            <w:shd w:val="clear" w:color="auto" w:fill="CCEEFF"/>
          </w:tcPr>
          <w:p>
            <w:pPr>
              <w:spacing w:after="0"/>
              <w:rPr>
                <w:sz w:val="15"/>
                <w:szCs w:val="15"/>
                <w:color w:val="auto"/>
              </w:rPr>
            </w:pPr>
          </w:p>
        </w:tc>
        <w:tc>
          <w:tcPr>
            <w:tcW w:w="110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12,277</w:t>
            </w:r>
          </w:p>
        </w:tc>
        <w:tc>
          <w:tcPr>
            <w:tcW w:w="160" w:type="dxa"/>
            <w:vAlign w:val="bottom"/>
            <w:tcBorders>
              <w:bottom w:val="single" w:sz="8" w:color="auto"/>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47,112</w:t>
            </w:r>
          </w:p>
        </w:tc>
        <w:tc>
          <w:tcPr>
            <w:tcW w:w="1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left w:val="single" w:sz="8" w:color="CCEEFF"/>
              <w:bottom w:val="single" w:sz="8" w:color="auto"/>
            </w:tcBorders>
            <w:shd w:val="clear" w:color="auto" w:fill="CCEEFF"/>
          </w:tcPr>
          <w:p>
            <w:pPr>
              <w:spacing w:after="0"/>
              <w:rPr>
                <w:sz w:val="15"/>
                <w:szCs w:val="15"/>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10,691</w:t>
            </w: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44,533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48,195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65.34%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49.39%</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30,597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31,489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40,499</w:t>
            </w:r>
          </w:p>
        </w:tc>
        <w:tc>
          <w:tcPr>
            <w:tcW w:w="18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32,361</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Windmark transaction and related expenses</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on sale of securities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noninterest expense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30,597</w:t>
            </w: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110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31,489</w:t>
            </w: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32,558</w:t>
            </w:r>
          </w:p>
        </w:tc>
        <w:tc>
          <w:tcPr>
            <w:tcW w:w="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32,361</w:t>
            </w: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44,533</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48,195</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81,996</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45,308</w:t>
            </w: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gain on sale of Windmark</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44,533</w:t>
            </w:r>
          </w:p>
        </w:tc>
        <w:tc>
          <w:tcPr>
            <w:tcW w:w="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110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47,905</w:t>
            </w: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w:t>
            </w:r>
          </w:p>
        </w:tc>
        <w:tc>
          <w:tcPr>
            <w:tcW w:w="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45,308</w:t>
            </w: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efficiency ratio</w:t>
            </w: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65.73%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67.12%</w:t>
            </w:r>
          </w:p>
        </w:tc>
        <w:tc>
          <w:tcPr>
            <w:tcW w:w="1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71.42%</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407,114</w:t>
            </w:r>
          </w:p>
        </w:tc>
        <w:tc>
          <w:tcPr>
            <w:tcW w:w="18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371,716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$ 392,029</w:t>
            </w: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$ 367,964</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$ 357,014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(21,744)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(21,936)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(23,496)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385,370</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349,780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$ 369,880</w:t>
            </w:r>
          </w:p>
        </w:tc>
        <w:tc>
          <w:tcPr>
            <w:tcW w:w="18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$ 344,468</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$ 333,157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4,186,440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$ 4,150,129</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$ 4,058,049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$ 3,944,063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(21,744)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(21,936)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(23,496)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left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left w:val="single" w:sz="8" w:color="CCEEFF"/>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4,183,049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4,164,504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$ 4,127,980</w:t>
            </w:r>
          </w:p>
        </w:tc>
        <w:tc>
          <w:tcPr>
            <w:tcW w:w="18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$ 4,034,553</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$ 3,920,206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16,417,099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16,600,442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16,952,072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17,062,572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110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9.68%</w:t>
            </w:r>
          </w:p>
        </w:tc>
        <w:tc>
          <w:tcPr>
            <w:tcW w:w="1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9.45%</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160" w:type="dxa"/>
            <w:vAlign w:val="bottom"/>
            <w:tcBorders>
              <w:left w:val="single" w:sz="8" w:color="CCEEFF"/>
            </w:tcBorders>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8.40%</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8.96%</w:t>
            </w:r>
          </w:p>
        </w:tc>
        <w:tc>
          <w:tcPr>
            <w:tcW w:w="180" w:type="dxa"/>
            <w:vAlign w:val="bottom"/>
            <w:tcBorders>
              <w:left w:val="single" w:sz="8" w:color="CCEEFF"/>
            </w:tcBorders>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24.80</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22.39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80" w:type="dxa"/>
            <w:vAlign w:val="bottom"/>
          </w:tcPr>
          <w:p>
            <w:pPr>
              <w:spacing w:after="0"/>
              <w:rPr>
                <w:sz w:val="14"/>
                <w:szCs w:val="14"/>
                <w:color w:val="auto"/>
              </w:rPr>
            </w:pPr>
          </w:p>
        </w:tc>
        <w:tc>
          <w:tcPr>
            <w:tcW w:w="18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1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23.47</w:t>
            </w:r>
          </w:p>
        </w:tc>
        <w:tc>
          <w:tcPr>
            <w:tcW w:w="18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21.07</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866"/>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2024-01-26T08:02:55Z</dcterms:created>
  <dcterms:modified xsi:type="dcterms:W3CDTF">2024-01-26T08:02:55Z</dcterms:modified>
</cp:coreProperties>
</file>