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Valles Noe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SPFI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245,512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acquired from Curtis C. Griffith, a director and executive officer of the Issuer, in a private transaction.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Noe G.</w:t>
        <w:tab/>
        <w:t>02/29/2024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Valles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8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5289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2024-02-29T07:00:12Z</dcterms:created>
  <dcterms:modified xsi:type="dcterms:W3CDTF">2024-02-29T07:00:12Z</dcterms:modified>
</cp:coreProperties>
</file>