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149860</wp:posOffset>
            </wp:positionV>
            <wp:extent cx="720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178435</wp:posOffset>
            </wp:positionV>
            <wp:extent cx="720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23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30, 2020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For the transition period from ______ to 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165100</wp:posOffset>
            </wp:positionV>
            <wp:extent cx="720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1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86"/>
              </w:rPr>
              <w:t>Texas</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75-2453320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88"/>
              </w:rPr>
              <w:t>Lubbock, Texas</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79407</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216" w:lineRule="exact"/>
        <w:rPr>
          <w:sz w:val="24"/>
          <w:szCs w:val="24"/>
          <w:color w:val="auto"/>
        </w:rPr>
      </w:pPr>
    </w:p>
    <w:p>
      <w:pPr>
        <w:ind w:left="2520"/>
        <w:spacing w:after="0"/>
        <w:rPr>
          <w:sz w:val="20"/>
          <w:szCs w:val="20"/>
          <w:color w:val="auto"/>
        </w:rPr>
      </w:pPr>
      <w:r>
        <w:rPr>
          <w:rFonts w:ascii="Arial" w:cs="Arial" w:eastAsia="Arial" w:hAnsi="Arial"/>
          <w:sz w:val="22"/>
          <w:szCs w:val="22"/>
          <w:b w:val="1"/>
          <w:bCs w:val="1"/>
          <w:color w:val="auto"/>
        </w:rPr>
        <w:t>Registrant’s telephone number, including area code: (806) 792-7101</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22" w:lineRule="exact"/>
        <w:rPr>
          <w:sz w:val="24"/>
          <w:szCs w:val="24"/>
          <w:color w:val="auto"/>
        </w:rPr>
      </w:pPr>
    </w:p>
    <w:p>
      <w:pPr>
        <w:jc w:val="both"/>
        <w:ind w:right="2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2"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21"/>
          <w:szCs w:val="21"/>
          <w:color w:val="auto"/>
        </w:rPr>
        <w:t>As of November 6, 2020, the registrant had 18,059,174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35" w:right="339" w:bottom="32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Borders>
              <w:bottom w:val="single" w:sz="8" w:color="CCEEFF"/>
            </w:tcBorders>
          </w:tcPr>
          <w:p>
            <w:pPr>
              <w:spacing w:after="0"/>
              <w:rPr>
                <w:sz w:val="20"/>
                <w:szCs w:val="20"/>
                <w:color w:val="auto"/>
              </w:rPr>
            </w:pPr>
          </w:p>
        </w:tc>
        <w:tc>
          <w:tcPr>
            <w:tcW w:w="95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Financial Statements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60" w:type="dxa"/>
            <w:vAlign w:val="bottom"/>
            <w:shd w:val="clear" w:color="auto" w:fill="CCEEFF"/>
          </w:tcPr>
          <w:p>
            <w:pPr>
              <w:spacing w:after="0"/>
              <w:rPr>
                <w:sz w:val="18"/>
                <w:szCs w:val="18"/>
                <w:color w:val="auto"/>
              </w:rPr>
            </w:pP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(Unaudited)</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60" w:type="dxa"/>
            <w:vAlign w:val="bottom"/>
          </w:tcPr>
          <w:p>
            <w:pPr>
              <w:spacing w:after="0"/>
              <w:rPr>
                <w:sz w:val="18"/>
                <w:szCs w:val="18"/>
                <w:color w:val="auto"/>
              </w:rPr>
            </w:pPr>
          </w:p>
        </w:tc>
        <w:tc>
          <w:tcPr>
            <w:tcW w:w="958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 (Unaudited)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960" w:type="dxa"/>
            <w:vAlign w:val="bottom"/>
            <w:shd w:val="clear" w:color="auto" w:fill="CCEEFF"/>
          </w:tcPr>
          <w:p>
            <w:pPr>
              <w:spacing w:after="0"/>
              <w:rPr>
                <w:sz w:val="18"/>
                <w:szCs w:val="18"/>
                <w:color w:val="auto"/>
              </w:rPr>
            </w:pP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Changes in Stockholders’ Equity (Unaudited)</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960" w:type="dxa"/>
            <w:vAlign w:val="bottom"/>
          </w:tcPr>
          <w:p>
            <w:pPr>
              <w:spacing w:after="0"/>
              <w:rPr>
                <w:sz w:val="18"/>
                <w:szCs w:val="18"/>
                <w:color w:val="auto"/>
              </w:rPr>
            </w:pPr>
          </w:p>
        </w:tc>
        <w:tc>
          <w:tcPr>
            <w:tcW w:w="9580" w:type="dxa"/>
            <w:vAlign w:val="bottom"/>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Statements of Cash Flows (Unaudited)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60" w:type="dxa"/>
            <w:vAlign w:val="bottom"/>
            <w:shd w:val="clear" w:color="auto" w:fill="CCEEFF"/>
          </w:tcPr>
          <w:p>
            <w:pPr>
              <w:spacing w:after="0"/>
              <w:rPr>
                <w:sz w:val="18"/>
                <w:szCs w:val="18"/>
                <w:color w:val="auto"/>
              </w:rPr>
            </w:pP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Consolidated Financial Statements (Unaudited)</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tcPr>
          <w:p>
            <w:pPr>
              <w:ind w:left="1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Management’s Discussion and Analysis of Financial Condition and Results of Operations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Quantitative and Qualitative Disclosures About Market Risk</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Controls and Procedures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OTHER INFORMATION</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Legal Proceedings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Risk Factors</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Unregistered Sales of Equity Securities and Use of Proceeds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Defaults Upon Senior Securities</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Mine Safety Disclosures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Signatures</w:t>
              </w:r>
            </w:hyperlink>
          </w:p>
        </w:tc>
        <w:tc>
          <w:tcPr>
            <w:tcW w:w="95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582"/>
        </w:trPr>
        <w:tc>
          <w:tcPr>
            <w:tcW w:w="960" w:type="dxa"/>
            <w:vAlign w:val="bottom"/>
          </w:tcPr>
          <w:p>
            <w:pPr>
              <w:spacing w:after="0"/>
              <w:rPr>
                <w:sz w:val="24"/>
                <w:szCs w:val="24"/>
                <w:color w:val="auto"/>
              </w:rPr>
            </w:pPr>
          </w:p>
        </w:tc>
        <w:tc>
          <w:tcPr>
            <w:tcW w:w="9580" w:type="dxa"/>
            <w:vAlign w:val="bottom"/>
          </w:tcPr>
          <w:p>
            <w:pPr>
              <w:ind w:left="4620"/>
              <w:spacing w:after="0"/>
              <w:rPr>
                <w:sz w:val="20"/>
                <w:szCs w:val="20"/>
                <w:color w:val="auto"/>
              </w:rPr>
            </w:pPr>
            <w:r>
              <w:rPr>
                <w:rFonts w:ascii="Arial" w:cs="Arial" w:eastAsia="Arial" w:hAnsi="Arial"/>
                <w:sz w:val="14"/>
                <w:szCs w:val="14"/>
                <w:color w:val="auto"/>
              </w:rPr>
              <w:t>2</w:t>
            </w:r>
          </w:p>
        </w:tc>
        <w:tc>
          <w:tcPr>
            <w:tcW w:w="700" w:type="dxa"/>
            <w:vAlign w:val="bottom"/>
          </w:tcPr>
          <w:p>
            <w:pPr>
              <w:spacing w:after="0"/>
              <w:rPr>
                <w:sz w:val="24"/>
                <w:szCs w:val="24"/>
                <w:color w:val="auto"/>
              </w:rPr>
            </w:pPr>
          </w:p>
        </w:tc>
      </w:tr>
      <w:tr>
        <w:trPr>
          <w:trHeight w:val="46"/>
        </w:trPr>
        <w:tc>
          <w:tcPr>
            <w:tcW w:w="960" w:type="dxa"/>
            <w:vAlign w:val="bottom"/>
            <w:tcBorders>
              <w:bottom w:val="single" w:sz="8" w:color="auto"/>
            </w:tcBorders>
          </w:tcPr>
          <w:p>
            <w:pPr>
              <w:spacing w:after="0"/>
              <w:rPr>
                <w:sz w:val="4"/>
                <w:szCs w:val="4"/>
                <w:color w:val="auto"/>
              </w:rPr>
            </w:pPr>
          </w:p>
        </w:tc>
        <w:tc>
          <w:tcPr>
            <w:tcW w:w="9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43,750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56,246</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Interest-bearing deposits in banks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245,785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101,853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290,885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158,099</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726,329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707,650</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76,507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49,035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2,288,234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2,143,623</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(46,076)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(24,197)</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13,924</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61,399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61,873</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70,401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69,397</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19,508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23,641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22,701</w:t>
            </w:r>
          </w:p>
        </w:tc>
        <w:tc>
          <w:tcPr>
            <w:tcW w:w="0" w:type="dxa"/>
            <w:vAlign w:val="bottom"/>
          </w:tcPr>
          <w:p>
            <w:pPr>
              <w:spacing w:after="0"/>
              <w:rPr>
                <w:sz w:val="1"/>
                <w:szCs w:val="1"/>
                <w:color w:val="auto"/>
              </w:rPr>
            </w:pPr>
          </w:p>
        </w:tc>
      </w:tr>
      <w:tr>
        <w:trPr>
          <w:trHeight w:val="25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3,542,666</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3,237,167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Noninterest-bearing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906,059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790,921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2,037,743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 deposits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2,943,802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2,696,857</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37,165</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41,592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29,098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 &amp; other borrowings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Subordinated debt securities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75,546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26,472</w:t>
            </w:r>
          </w:p>
        </w:tc>
        <w:tc>
          <w:tcPr>
            <w:tcW w:w="0" w:type="dxa"/>
            <w:vAlign w:val="bottom"/>
          </w:tcPr>
          <w:p>
            <w:pPr>
              <w:spacing w:after="0"/>
              <w:rPr>
                <w:sz w:val="1"/>
                <w:szCs w:val="1"/>
                <w:color w:val="auto"/>
              </w:rPr>
            </w:pP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3,190,098</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2,930,985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$1.00 par value per share, 30,000,000 shares authorized; 18,059,174 and 18,036,115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outstanding at September 30, 2020 and December 31, 2019, respectively</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18,059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18,036</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141,245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140,492</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174,501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146,696</w:t>
            </w:r>
          </w:p>
        </w:tc>
        <w:tc>
          <w:tcPr>
            <w:tcW w:w="0" w:type="dxa"/>
            <w:vAlign w:val="bottom"/>
          </w:tcPr>
          <w:p>
            <w:pPr>
              <w:spacing w:after="0"/>
              <w:rPr>
                <w:sz w:val="1"/>
                <w:szCs w:val="1"/>
                <w:color w:val="auto"/>
              </w:rPr>
            </w:pPr>
          </w:p>
        </w:tc>
      </w:tr>
      <w:tr>
        <w:trPr>
          <w:trHeight w:val="223"/>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18,763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352,568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3,542,666</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including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86,342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Non 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5,154</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33,665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104,247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98,178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9,560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17,655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12,327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22,227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31,273</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91,920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25,429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1,903</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17,521</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7,190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6,273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gain on sale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1,302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4,342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3,691</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56,044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Occupancy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10,896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10,309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Bank 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3,740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13,543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10,502</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105,211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10,235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36,711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23,947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4,836</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16,731</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29,429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19,111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 (CONTINUED)</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0.92</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16,731</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29,429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19,111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net unrealized gain (loss) on securities available for sale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(1,418)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26,584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7,433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net gain (loss) on cash flow hedges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Reclassification adjustment for (gain) loss included in net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(781)</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17,805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5,871</w:t>
            </w:r>
          </w:p>
        </w:tc>
      </w:tr>
      <w:tr>
        <w:trPr>
          <w:trHeight w:val="257"/>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15,950</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39"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Less: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000" w:type="dxa"/>
            <w:vAlign w:val="bottom"/>
            <w:gridSpan w:val="5"/>
            <w:vMerge w:val="restart"/>
          </w:tcPr>
          <w:p>
            <w:pPr>
              <w:jc w:val="right"/>
              <w:ind w:right="500"/>
              <w:spacing w:after="0"/>
              <w:rPr>
                <w:sz w:val="20"/>
                <w:szCs w:val="20"/>
                <w:color w:val="auto"/>
              </w:rPr>
            </w:pPr>
            <w:r>
              <w:rPr>
                <w:rFonts w:ascii="Arial" w:cs="Arial" w:eastAsia="Arial" w:hAnsi="Arial"/>
                <w:sz w:val="18"/>
                <w:szCs w:val="18"/>
                <w:b w:val="1"/>
                <w:bCs w:val="1"/>
                <w:color w:val="auto"/>
              </w:rPr>
              <w:t>Common Stock</w:t>
            </w: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ESOP</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20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Paid-in</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Retained</w:t>
            </w: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Comprehensive</w:t>
            </w: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Treasury</w:t>
            </w:r>
          </w:p>
        </w:tc>
        <w:tc>
          <w:tcPr>
            <w:tcW w:w="12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Capital</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Earnings</w:t>
            </w:r>
          </w:p>
        </w:tc>
        <w:tc>
          <w:tcPr>
            <w:tcW w:w="80" w:type="dxa"/>
            <w:vAlign w:val="bottom"/>
          </w:tcPr>
          <w:p>
            <w:pPr>
              <w:spacing w:after="0"/>
              <w:rPr>
                <w:sz w:val="19"/>
                <w:szCs w:val="19"/>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Stock</w:t>
            </w:r>
          </w:p>
        </w:tc>
        <w:tc>
          <w:tcPr>
            <w:tcW w:w="120" w:type="dxa"/>
            <w:vAlign w:val="bottom"/>
          </w:tcPr>
          <w:p>
            <w:pPr>
              <w:spacing w:after="0"/>
              <w:rPr>
                <w:sz w:val="19"/>
                <w:szCs w:val="19"/>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w w:val="95"/>
              </w:rPr>
              <w:t>Nine Months Ended September 30,</w:t>
            </w: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14,771,520</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80,412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119,834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154,580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Issuance of common stock, net</w:t>
            </w:r>
          </w:p>
        </w:tc>
        <w:tc>
          <w:tcPr>
            <w:tcW w:w="880" w:type="dxa"/>
            <w:vAlign w:val="bottom"/>
          </w:tcPr>
          <w:p>
            <w:pPr>
              <w:jc w:val="right"/>
              <w:spacing w:after="0"/>
              <w:rPr>
                <w:sz w:val="20"/>
                <w:szCs w:val="20"/>
                <w:color w:val="auto"/>
              </w:rPr>
            </w:pPr>
            <w:r>
              <w:rPr>
                <w:rFonts w:ascii="Arial" w:cs="Arial" w:eastAsia="Arial" w:hAnsi="Arial"/>
                <w:sz w:val="18"/>
                <w:szCs w:val="18"/>
                <w:color w:val="auto"/>
              </w:rPr>
              <w:t>3,207,000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48,185</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Cash dividends: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 - $0.03 per share</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Other comprehensive (loss), (net of</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tax)</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5,871</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Terminated ESOP put option</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58,195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w w:val="92"/>
              </w:rPr>
              <w:t>and vesting of restricted stock units,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net of 8,570 shares for cashless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exercise and net of 7,608 shares for</w:t>
            </w: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25,803</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Share-based liability awards modified</w:t>
            </w: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equity awards</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11,450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Cumulative change in accounting</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140"/>
              <w:spacing w:after="0"/>
              <w:rPr>
                <w:sz w:val="20"/>
                <w:szCs w:val="20"/>
                <w:color w:val="auto"/>
              </w:rPr>
            </w:pPr>
            <w:r>
              <w:rPr>
                <w:rFonts w:ascii="Arial" w:cs="Arial" w:eastAsia="Arial" w:hAnsi="Arial"/>
                <w:sz w:val="18"/>
                <w:szCs w:val="18"/>
                <w:color w:val="auto"/>
              </w:rPr>
              <w:t>principle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18,004,323</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140,268</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137,127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299,027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18,036,115</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140,492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146,696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306,182</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29,429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29,429</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Common - $0.03 per share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Other comprehensive income, (net of</w:t>
            </w: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17,805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17,805</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8"/>
                <w:szCs w:val="18"/>
                <w:color w:val="auto"/>
                <w:w w:val="94"/>
              </w:rPr>
              <w:t>and vesting of restricted stock units,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8"/>
                <w:szCs w:val="18"/>
                <w:color w:val="auto"/>
              </w:rPr>
              <w:t>net of 17,178 shares for cashless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8"/>
                <w:szCs w:val="18"/>
                <w:color w:val="auto"/>
                <w:w w:val="94"/>
              </w:rPr>
              <w:t>exercise and net of 7,608 shares for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taxes</w:t>
            </w:r>
          </w:p>
        </w:tc>
        <w:tc>
          <w:tcPr>
            <w:tcW w:w="880" w:type="dxa"/>
            <w:vAlign w:val="bottom"/>
          </w:tcPr>
          <w:p>
            <w:pPr>
              <w:jc w:val="right"/>
              <w:spacing w:after="0"/>
              <w:rPr>
                <w:sz w:val="20"/>
                <w:szCs w:val="20"/>
                <w:color w:val="auto"/>
              </w:rPr>
            </w:pPr>
            <w:r>
              <w:rPr>
                <w:rFonts w:ascii="Arial" w:cs="Arial" w:eastAsia="Arial" w:hAnsi="Arial"/>
                <w:sz w:val="18"/>
                <w:szCs w:val="18"/>
                <w:color w:val="auto"/>
              </w:rPr>
              <w:t>27,759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Extinguish treasury stock</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28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18,059,174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18,059</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141,245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174,501</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18,763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352,568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w w:val="92"/>
              </w:rPr>
              <w:t>Three Months Ended September 30,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17,978,520</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140,189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129,408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291,113</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Issuance of common stock, net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Cash dividends: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 - $0.03 per share</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w w:val="95"/>
              </w:rPr>
              <w:t>Other comprehensive income, (net of</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tax)</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 stock options</w:t>
            </w: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vesting of</w:t>
            </w:r>
          </w:p>
        </w:tc>
        <w:tc>
          <w:tcPr>
            <w:tcW w:w="8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restricted stock units, net of 8,570</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shares for cashless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exercise and net of 7,608 shares for</w:t>
            </w: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25,803</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Share-based liability awards modified</w:t>
            </w: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equity awards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18,004,323</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18,004</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140,268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137,127</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299,027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18,059,174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18,059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140,620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158,311</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19,544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336,534</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Cash dividends: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 - $0.03 per share</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w w:val="95"/>
              </w:rPr>
              <w:t>Other comprehensive income, (net of</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tax)</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28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18,059,174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18,059</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141,245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174,501</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18,763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352,568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7" w:orient="portrait"/>
          <w:cols w:equalWidth="0" w:num="1">
            <w:col w:w="11240"/>
          </w:cols>
          <w:pgMar w:left="320" w:top="121" w:right="339" w:bottom="0" w:gutter="0" w:footer="0" w:header="0"/>
        </w:sectPr>
      </w:pPr>
    </w:p>
    <w:bookmarkStart w:id="7" w:name="page8"/>
    <w:bookmarkEnd w:id="7"/>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900" w:h="16838" w:orient="portrait"/>
          <w:cols w:equalWidth="0" w:num="1">
            <w:col w:w="9019"/>
          </w:cols>
          <w:pgMar w:left="1440" w:top="361"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3,733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gains,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(2,529)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sales of loans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(17,521)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1,004,956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460,268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originated for sale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(985,149)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(454,501)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Earnings on bank-owned life insurance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change 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interest receivable and 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(3,390)</w:t>
            </w:r>
          </w:p>
        </w:tc>
      </w:tr>
      <w:tr>
        <w:trPr>
          <w:trHeight w:val="223"/>
        </w:trPr>
        <w:tc>
          <w:tcPr>
            <w:tcW w:w="8680" w:type="dxa"/>
            <w:vAlign w:val="bottom"/>
          </w:tcPr>
          <w:p>
            <w:pPr>
              <w:jc w:val="center"/>
              <w:ind w:right="4850"/>
              <w:spacing w:after="0"/>
              <w:rPr>
                <w:sz w:val="20"/>
                <w:szCs w:val="20"/>
                <w:color w:val="auto"/>
              </w:rPr>
            </w:pPr>
            <w:r>
              <w:rPr>
                <w:rFonts w:ascii="Arial" w:cs="Arial" w:eastAsia="Arial" w:hAnsi="Arial"/>
                <w:sz w:val="18"/>
                <w:szCs w:val="18"/>
                <w:color w:val="auto"/>
                <w:w w:val="90"/>
              </w:rPr>
              <w:t>Accrued expenses and other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13,616</w:t>
            </w:r>
          </w:p>
        </w:tc>
      </w:tr>
      <w:tr>
        <w:trPr>
          <w:trHeight w:val="223"/>
        </w:trPr>
        <w:tc>
          <w:tcPr>
            <w:tcW w:w="8680" w:type="dxa"/>
            <w:vAlign w:val="bottom"/>
            <w:tcBorders>
              <w:bottom w:val="single" w:sz="8" w:color="CCEEFF"/>
            </w:tcBorders>
            <w:shd w:val="clear" w:color="auto" w:fill="CCEEFF"/>
          </w:tcPr>
          <w:p>
            <w:pPr>
              <w:jc w:val="center"/>
              <w:ind w:right="4830"/>
              <w:spacing w:after="0"/>
              <w:rPr>
                <w:sz w:val="20"/>
                <w:szCs w:val="20"/>
                <w:color w:val="auto"/>
              </w:rPr>
            </w:pPr>
            <w:r>
              <w:rPr>
                <w:rFonts w:ascii="Arial" w:cs="Arial" w:eastAsia="Arial" w:hAnsi="Arial"/>
                <w:sz w:val="18"/>
                <w:szCs w:val="18"/>
                <w:color w:val="auto"/>
                <w:w w:val="91"/>
              </w:rPr>
              <w:t>Net cash from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Activity in securities available for sale: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(158,291)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(165,023)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prepayments, and calls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109,414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(150,579)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(7,786)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acquisition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 adjustment related to litigation settlement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premises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sales of premises and equipment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sales of foreclosed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jc w:val="center"/>
              <w:ind w:right="4850"/>
              <w:spacing w:after="0"/>
              <w:rPr>
                <w:sz w:val="20"/>
                <w:szCs w:val="20"/>
                <w:color w:val="auto"/>
              </w:rPr>
            </w:pPr>
            <w:r>
              <w:rPr>
                <w:rFonts w:ascii="Arial" w:cs="Arial" w:eastAsia="Arial" w:hAnsi="Arial"/>
                <w:sz w:val="18"/>
                <w:szCs w:val="18"/>
                <w:color w:val="auto"/>
                <w:w w:val="92"/>
              </w:rPr>
              <w:t>Net cash from investing activities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(145,864)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(67,646)</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deposits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change in short-term borrowings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(29,400)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(7,850)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common stock issuance,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subordinated debt issuance,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notes payable &amp; other borrowings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to tax authorities for 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made on notes payable and other borrowings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dividends on common stock</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(1,624)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tcBorders>
          </w:tcPr>
          <w:p>
            <w:pPr>
              <w:jc w:val="center"/>
              <w:ind w:right="4830"/>
              <w:spacing w:after="0"/>
              <w:rPr>
                <w:sz w:val="20"/>
                <w:szCs w:val="20"/>
                <w:color w:val="auto"/>
              </w:rPr>
            </w:pPr>
            <w:r>
              <w:rPr>
                <w:rFonts w:ascii="Arial" w:cs="Arial" w:eastAsia="Arial" w:hAnsi="Arial"/>
                <w:sz w:val="18"/>
                <w:szCs w:val="18"/>
                <w:color w:val="auto"/>
                <w:w w:val="92"/>
              </w:rPr>
              <w:t>Net cash from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244,805</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43,832</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132,786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(1,344)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290,885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244,645</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 on deposits and borrowed funds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4,364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Loans transferred to foreclosed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liability awards modified to equity awards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11,450</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340" w:right="2780"/>
        <w:spacing w:after="0" w:line="238" w:lineRule="auto"/>
        <w:rPr>
          <w:sz w:val="20"/>
          <w:szCs w:val="20"/>
          <w:color w:val="auto"/>
        </w:rPr>
      </w:pPr>
      <w:r>
        <w:rPr>
          <w:rFonts w:ascii="Arial" w:cs="Arial" w:eastAsia="Arial" w:hAnsi="Arial"/>
          <w:sz w:val="22"/>
          <w:szCs w:val="22"/>
          <w:b w:val="1"/>
          <w:bCs w:val="1"/>
          <w:color w:val="auto"/>
        </w:rPr>
        <w:t>SOUTH PLAINS FINANCIAL, INC. AND SUBSIDIARIES NOTES TO CONSOLIDATED FINANCIAL STATEMENTS (Unaudited)</w:t>
      </w:r>
    </w:p>
    <w:p>
      <w:pPr>
        <w:ind w:left="36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SUMMARY OF SIGNIFICANT ACCOUNTING POLICIES</w:t>
      </w:r>
    </w:p>
    <w:p>
      <w:pPr>
        <w:spacing w:after="0" w:line="239" w:lineRule="exact"/>
        <w:rPr>
          <w:sz w:val="20"/>
          <w:szCs w:val="20"/>
          <w:color w:val="auto"/>
        </w:rPr>
      </w:pPr>
    </w:p>
    <w:p>
      <w:pPr>
        <w:jc w:val="both"/>
        <w:ind w:firstLine="1"/>
        <w:spacing w:after="0" w:line="238" w:lineRule="auto"/>
        <w:rPr>
          <w:sz w:val="20"/>
          <w:szCs w:val="20"/>
          <w:color w:val="auto"/>
        </w:rPr>
      </w:pPr>
      <w:r>
        <w:rPr>
          <w:rFonts w:ascii="Arial" w:cs="Arial" w:eastAsia="Arial" w:hAnsi="Arial"/>
          <w:sz w:val="22"/>
          <w:szCs w:val="22"/>
          <w:i w:val="1"/>
          <w:iCs w:val="1"/>
          <w:u w:val="single" w:color="auto"/>
          <w:color w:val="auto"/>
        </w:rPr>
        <w:t>Nature of Operations</w:t>
      </w:r>
      <w:r>
        <w:rPr>
          <w:rFonts w:ascii="Arial" w:cs="Arial" w:eastAsia="Arial" w:hAnsi="Arial"/>
          <w:sz w:val="22"/>
          <w:szCs w:val="22"/>
          <w:i w:val="1"/>
          <w:iCs w:val="1"/>
          <w:color w:val="auto"/>
        </w:rPr>
        <w:t xml:space="preserve"> </w:t>
      </w:r>
      <w:r>
        <w:rPr>
          <w:rFonts w:ascii="Arial" w:cs="Arial" w:eastAsia="Arial" w:hAnsi="Arial"/>
          <w:sz w:val="22"/>
          <w:szCs w:val="22"/>
          <w:color w:val="auto"/>
        </w:rPr>
        <w:t>– South Plains Financial, Inc. (“SPFI”) is a Texas corporation and registered bank holding company that</w:t>
      </w:r>
      <w:r>
        <w:rPr>
          <w:rFonts w:ascii="Arial" w:cs="Arial" w:eastAsia="Arial" w:hAnsi="Arial"/>
          <w:sz w:val="22"/>
          <w:szCs w:val="22"/>
          <w:i w:val="1"/>
          <w:iCs w:val="1"/>
          <w:color w:val="auto"/>
        </w:rPr>
        <w:t xml:space="preserve"> </w:t>
      </w:r>
      <w:r>
        <w:rPr>
          <w:rFonts w:ascii="Arial" w:cs="Arial" w:eastAsia="Arial" w:hAnsi="Arial"/>
          <w:sz w:val="22"/>
          <w:szCs w:val="22"/>
          <w:color w:val="auto"/>
        </w:rPr>
        <w:t>conducts its principal 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Wholly Owned, Consolidated Subsidiaries:</w:t>
            </w:r>
          </w:p>
        </w:tc>
        <w:tc>
          <w:tcPr>
            <w:tcW w:w="6460" w:type="dxa"/>
            <w:vAlign w:val="bottom"/>
          </w:tcPr>
          <w:p>
            <w:pPr>
              <w:spacing w:after="0"/>
              <w:rPr>
                <w:sz w:val="20"/>
                <w:szCs w:val="20"/>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City Bank</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Windmark Insurance Agency, Inc. (“Windmark”)</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Ruidoso Retail, Inc.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CB Provence,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CBT Brushy Creek, LLC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CBT Properties,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Wholly Owned, Equity Method Subsidiaries:</w:t>
            </w:r>
          </w:p>
        </w:tc>
        <w:tc>
          <w:tcPr>
            <w:tcW w:w="6460" w:type="dxa"/>
            <w:vAlign w:val="bottom"/>
            <w:shd w:val="clear" w:color="auto" w:fill="CCEEFF"/>
          </w:tcPr>
          <w:p>
            <w:pPr>
              <w:spacing w:after="0"/>
              <w:rPr>
                <w:sz w:val="18"/>
                <w:szCs w:val="18"/>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South Plains Financial Capital Trusts (SPFCT) III-V</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subsidiaries</w:t>
            </w:r>
          </w:p>
        </w:tc>
      </w:tr>
    </w:tbl>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Basis of Presentation and Consolidation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consolidated financial statements in this Quarterly Report on Form 10-Q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quarter ended September 30, 2020 (this “Form 10-Q”) include the accounts of SPFI and its wholly owned consolidated subsidiaries (collectively referred to as the “Company”) identified above. All significant intercompany balances and transactions have been eliminated in consolidation.</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and results of operations.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footnotes required by GAAP for complete financial statements and should be read in conjunction with the Company’s audited consolidated financial statements, and notes thereto in the Company’s Annual Report on Form 10-K for the year ended December 31, 2019. Operating results for the interim periods disclosed herein are not necessarily indicative of the results that may be expected for a full year or any future period.</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u w:val="single" w:color="auto"/>
          <w:color w:val="auto"/>
        </w:rPr>
        <w:t>Use of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 The preparation of financial statements in conformity with GAAP requires management to make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the valuation of foreclosed assets, and fair values of financial instruments can also involve significant management estimates.</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Change in Capital Structure</w:t>
      </w:r>
      <w:r>
        <w:rPr>
          <w:rFonts w:ascii="Arial" w:cs="Arial" w:eastAsia="Arial" w:hAnsi="Arial"/>
          <w:sz w:val="22"/>
          <w:szCs w:val="22"/>
          <w:i w:val="1"/>
          <w:iCs w:val="1"/>
          <w:color w:val="auto"/>
        </w:rPr>
        <w:t xml:space="preserve"> </w:t>
      </w:r>
      <w:r>
        <w:rPr>
          <w:rFonts w:ascii="Arial" w:cs="Arial" w:eastAsia="Arial" w:hAnsi="Arial"/>
          <w:sz w:val="22"/>
          <w:szCs w:val="22"/>
          <w:color w:val="auto"/>
        </w:rPr>
        <w:t>– On March 11, 2019, the Company amended and restated its Certificate of Formation.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and Restated Certificate of Formation increased the number of authorized shares of common stock, par value $1.00 per share, from 1,000,000 to 30,000,000.</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completed a 29-to-1 stock split of the Company’s outstanding shares of common stock for shareholders of record as of March 11, 2019. The stock split was payable in the form of a dividend on or about March 11, 2019. Shareholders received 29 additional shares for each share held as of the record date. All share and per share amounts in the consolidated financial statements have been retroactively adjusted to reflect this stock split for all periods presented.</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Loans</w:t>
      </w:r>
      <w:r>
        <w:rPr>
          <w:rFonts w:ascii="Arial" w:cs="Arial" w:eastAsia="Arial" w:hAnsi="Arial"/>
          <w:sz w:val="19"/>
          <w:szCs w:val="19"/>
          <w:i w:val="1"/>
          <w:iCs w:val="1"/>
          <w:color w:val="auto"/>
        </w:rPr>
        <w:t xml:space="preserve"> </w:t>
      </w:r>
      <w:r>
        <w:rPr>
          <w:rFonts w:ascii="Arial" w:cs="Arial" w:eastAsia="Arial" w:hAnsi="Arial"/>
          <w:sz w:val="19"/>
          <w:szCs w:val="19"/>
          <w:color w:val="auto"/>
        </w:rPr>
        <w:t>– Loans that management has the intent and ability to hold for the foreseeable future or until maturity or payoff are</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ectPr>
          <w:pgSz w:w="11900" w:h="16838" w:orient="portrait"/>
          <w:cols w:equalWidth="0" w:num="1">
            <w:col w:w="11240"/>
          </w:cols>
          <w:pgMar w:left="320" w:top="121" w:right="339" w:bottom="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u w:val="single" w:color="auto"/>
          <w:color w:val="auto"/>
        </w:rPr>
        <w:t>Allowance for Loan Losses</w:t>
      </w:r>
      <w:r>
        <w:rPr>
          <w:rFonts w:ascii="Arial" w:cs="Arial" w:eastAsia="Arial" w:hAnsi="Arial"/>
          <w:sz w:val="22"/>
          <w:szCs w:val="22"/>
          <w:i w:val="1"/>
          <w:iCs w:val="1"/>
          <w:color w:val="auto"/>
        </w:rPr>
        <w:t xml:space="preserve"> </w:t>
      </w:r>
      <w:r>
        <w:rPr>
          <w:rFonts w:ascii="Arial" w:cs="Arial" w:eastAsia="Arial" w:hAnsi="Arial"/>
          <w:sz w:val="22"/>
          <w:szCs w:val="22"/>
          <w:color w:val="auto"/>
        </w:rPr>
        <w:t>– The allowance for loan losses is established by management as an estimate to cover probable credit</w:t>
      </w:r>
      <w:r>
        <w:rPr>
          <w:rFonts w:ascii="Arial" w:cs="Arial" w:eastAsia="Arial" w:hAnsi="Arial"/>
          <w:sz w:val="22"/>
          <w:szCs w:val="22"/>
          <w:i w:val="1"/>
          <w:iCs w:val="1"/>
          <w:color w:val="auto"/>
        </w:rPr>
        <w:t xml:space="preserve"> </w:t>
      </w:r>
      <w:r>
        <w:rPr>
          <w:rFonts w:ascii="Arial" w:cs="Arial" w:eastAsia="Arial" w:hAnsi="Arial"/>
          <w:sz w:val="22"/>
          <w:szCs w:val="22"/>
          <w:color w:val="auto"/>
        </w:rPr>
        <w:t>losses through a 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may modify its loan agreement with a borrower. The modification will be considered a troubled debt restructuring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Acquired Loans</w:t>
      </w:r>
      <w:r>
        <w:rPr>
          <w:rFonts w:ascii="Arial" w:cs="Arial" w:eastAsia="Arial" w:hAnsi="Arial"/>
          <w:sz w:val="22"/>
          <w:szCs w:val="22"/>
          <w:i w:val="1"/>
          <w:iCs w:val="1"/>
          <w:color w:val="auto"/>
        </w:rPr>
        <w:t xml:space="preserve"> </w:t>
      </w:r>
      <w:r>
        <w:rPr>
          <w:rFonts w:ascii="Arial" w:cs="Arial" w:eastAsia="Arial" w:hAnsi="Arial"/>
          <w:sz w:val="22"/>
          <w:szCs w:val="22"/>
          <w:color w:val="auto"/>
        </w:rPr>
        <w:t>– Loans that the Company acquires in connection with business combinations are recorded at fair value with no</w:t>
      </w:r>
      <w:r>
        <w:rPr>
          <w:rFonts w:ascii="Arial" w:cs="Arial" w:eastAsia="Arial" w:hAnsi="Arial"/>
          <w:sz w:val="22"/>
          <w:szCs w:val="22"/>
          <w:i w:val="1"/>
          <w:iCs w:val="1"/>
          <w:color w:val="auto"/>
        </w:rPr>
        <w:t xml:space="preserve"> </w:t>
      </w:r>
      <w:r>
        <w:rPr>
          <w:rFonts w:ascii="Arial" w:cs="Arial" w:eastAsia="Arial" w:hAnsi="Arial"/>
          <w:sz w:val="22"/>
          <w:szCs w:val="22"/>
          <w:color w:val="auto"/>
        </w:rPr>
        <w:t>carryover of the acquired 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ASC 310-30, </w:t>
      </w:r>
      <w:r>
        <w:rPr>
          <w:rFonts w:ascii="Arial" w:cs="Arial" w:eastAsia="Arial" w:hAnsi="Arial"/>
          <w:sz w:val="19"/>
          <w:szCs w:val="19"/>
          <w:i w:val="1"/>
          <w:iCs w:val="1"/>
          <w:color w:val="auto"/>
        </w:rPr>
        <w:t>Loans and Debt Securities Acquired with Deteriorated Credit Quality.</w:t>
      </w:r>
      <w:r>
        <w:rPr>
          <w:rFonts w:ascii="Arial" w:cs="Arial" w:eastAsia="Arial" w:hAnsi="Arial"/>
          <w:sz w:val="19"/>
          <w:szCs w:val="19"/>
          <w:color w:val="auto"/>
        </w:rPr>
        <w:t xml:space="preserve"> The nonaccretable discount includes estimated future credit losses expected to be 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ectPr>
          <w:pgSz w:w="11900" w:h="16838" w:orient="portrait"/>
          <w:cols w:equalWidth="0" w:num="1">
            <w:col w:w="11240"/>
          </w:cols>
          <w:pgMar w:left="320" w:top="122" w:right="339" w:bottom="17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7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Loans acquired through business combinations that meet the specific criteria of ASC 310-30 are individually evaluated each period to analyze expected cash flows. To the extent that the expected cash flows of a loan have decreased due to credit deterioration, the Company then establishes an allowance.</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Loans acquired through business combinations that do not meet the specific criteria of ASC 310-30 are accounted for under ASC 310-20. These loans are initially recorded at fair value, and include credit and interest rate marks associated with acquisition 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Goodwill and Other Intangible Assets</w:t>
      </w:r>
      <w:r>
        <w:rPr>
          <w:rFonts w:ascii="Arial" w:cs="Arial" w:eastAsia="Arial" w:hAnsi="Arial"/>
          <w:sz w:val="22"/>
          <w:szCs w:val="22"/>
          <w:i w:val="1"/>
          <w:iCs w:val="1"/>
          <w:color w:val="auto"/>
        </w:rPr>
        <w:t xml:space="preserve"> </w:t>
      </w:r>
      <w:r>
        <w:rPr>
          <w:rFonts w:ascii="Arial" w:cs="Arial" w:eastAsia="Arial" w:hAnsi="Arial"/>
          <w:sz w:val="22"/>
          <w:szCs w:val="22"/>
          <w:color w:val="auto"/>
        </w:rPr>
        <w:t>– Goodwill resulting from business combinations is generally determined as the excess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Significantly all CDI is amortized using the sum of the years’ digits method.</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remaining other intangible assets consist of customer relationship and employment agreement intangible assets and are amortized over their estimated useful lives of 5 years.</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u w:val="single" w:color="auto"/>
          <w:color w:val="auto"/>
        </w:rPr>
        <w:t>Stock-based Compensation</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sponsors an equity incentive plan under which options to acquire shares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Company’s common stock may 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the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Reclassification</w:t>
      </w:r>
      <w:r>
        <w:rPr>
          <w:rFonts w:ascii="Arial" w:cs="Arial" w:eastAsia="Arial" w:hAnsi="Arial"/>
          <w:sz w:val="22"/>
          <w:szCs w:val="22"/>
          <w:i w:val="1"/>
          <w:iCs w:val="1"/>
          <w:color w:val="auto"/>
        </w:rPr>
        <w:t xml:space="preserve"> </w:t>
      </w:r>
      <w:r>
        <w:rPr>
          <w:rFonts w:ascii="Arial" w:cs="Arial" w:eastAsia="Arial" w:hAnsi="Arial"/>
          <w:sz w:val="22"/>
          <w:szCs w:val="22"/>
          <w:color w:val="auto"/>
        </w:rPr>
        <w:t>– Certain amounts in the Company’s Annual Report on Form 10-K, for the year ended December 31, 2019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reclassified to conform to the 2020 presentation.</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Recent Accounting Pronouncements</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 xml:space="preserve"> Financial Accounting Standards Board (“FASB”) Accounting Standards Codification (“ASC”) </w:t>
      </w:r>
      <w:r>
        <w:rPr>
          <w:rFonts w:ascii="Arial" w:cs="Arial" w:eastAsia="Arial" w:hAnsi="Arial"/>
          <w:sz w:val="22"/>
          <w:szCs w:val="22"/>
          <w:color w:val="auto"/>
        </w:rPr>
        <w:t>constitutes GAAP for nongovernmental entities. Updates to ASC are prescribed in Accounting Standards Updates</w:t>
      </w:r>
      <w:r>
        <w:rPr>
          <w:rFonts w:ascii="Arial" w:cs="Arial" w:eastAsia="Arial" w:hAnsi="Arial"/>
          <w:sz w:val="22"/>
          <w:szCs w:val="22"/>
          <w:i w:val="1"/>
          <w:iCs w:val="1"/>
          <w:color w:val="auto"/>
        </w:rPr>
        <w:t xml:space="preserve"> </w:t>
      </w:r>
      <w:r>
        <w:rPr>
          <w:rFonts w:ascii="Arial" w:cs="Arial" w:eastAsia="Arial" w:hAnsi="Arial"/>
          <w:sz w:val="22"/>
          <w:szCs w:val="22"/>
          <w:color w:val="auto"/>
        </w:rPr>
        <w:t>(“ASU”), which are not authoritative until incorporated into ASC.</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ASU 2016-02 Leases (Topic 842). </w:t>
      </w:r>
      <w:r>
        <w:rPr>
          <w:rFonts w:ascii="Arial" w:cs="Arial" w:eastAsia="Arial" w:hAnsi="Arial"/>
          <w:sz w:val="22"/>
          <w:szCs w:val="22"/>
          <w:color w:val="auto"/>
        </w:rPr>
        <w:t>The FASB amended existing guidance that requires that lessees recognize lease assets and</w:t>
      </w:r>
      <w:r>
        <w:rPr>
          <w:rFonts w:ascii="Arial" w:cs="Arial" w:eastAsia="Arial" w:hAnsi="Arial"/>
          <w:sz w:val="22"/>
          <w:szCs w:val="22"/>
          <w:i w:val="1"/>
          <w:iCs w:val="1"/>
          <w:color w:val="auto"/>
        </w:rPr>
        <w:t xml:space="preserve"> </w:t>
      </w:r>
      <w:r>
        <w:rPr>
          <w:rFonts w:ascii="Arial" w:cs="Arial" w:eastAsia="Arial" w:hAnsi="Arial"/>
          <w:sz w:val="22"/>
          <w:szCs w:val="22"/>
          <w:color w:val="auto"/>
        </w:rPr>
        <w:t>lease liabilities on the balance sheet and disclose key information about leasing arrangements. The Company is in the process of determining the effect of the standard on its consolidated operating results and financial condition. These amendments are effective for the Company for annual periods beginning after December 15, 2021 and interim periods beginning after December 15, 2022.</w:t>
      </w:r>
    </w:p>
    <w:p>
      <w:pPr>
        <w:spacing w:after="0" w:line="2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 xml:space="preserve">ASU 2016-13 Financial Instruments - Credit Losses (Topic 326). </w:t>
      </w:r>
      <w:r>
        <w:rPr>
          <w:rFonts w:ascii="Arial" w:cs="Arial" w:eastAsia="Arial" w:hAnsi="Arial"/>
          <w:sz w:val="22"/>
          <w:szCs w:val="22"/>
          <w:color w:val="auto"/>
        </w:rPr>
        <w:t>The FASB issued guidance to replace the incurred loss model</w:t>
      </w:r>
      <w:r>
        <w:rPr>
          <w:rFonts w:ascii="Arial" w:cs="Arial" w:eastAsia="Arial" w:hAnsi="Arial"/>
          <w:sz w:val="22"/>
          <w:szCs w:val="22"/>
          <w:i w:val="1"/>
          <w:iCs w:val="1"/>
          <w:color w:val="auto"/>
        </w:rPr>
        <w:t xml:space="preserve"> </w:t>
      </w:r>
      <w:r>
        <w:rPr>
          <w:rFonts w:ascii="Arial" w:cs="Arial" w:eastAsia="Arial" w:hAnsi="Arial"/>
          <w:sz w:val="22"/>
          <w:szCs w:val="22"/>
          <w:color w:val="auto"/>
        </w:rPr>
        <w:t>with 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ASU 2017-04, Intangibles - Goodwill and Other (Topic 350). </w:t>
      </w:r>
      <w:r>
        <w:rPr>
          <w:rFonts w:ascii="Arial" w:cs="Arial" w:eastAsia="Arial" w:hAnsi="Arial"/>
          <w:sz w:val="19"/>
          <w:szCs w:val="19"/>
          <w:color w:val="auto"/>
        </w:rPr>
        <w:t>This ASU simplifies the accounting for goodwill impairment for all</w:t>
      </w:r>
      <w:r>
        <w:rPr>
          <w:rFonts w:ascii="Arial" w:cs="Arial" w:eastAsia="Arial" w:hAnsi="Arial"/>
          <w:sz w:val="19"/>
          <w:szCs w:val="19"/>
          <w:i w:val="1"/>
          <w:iCs w:val="1"/>
          <w:color w:val="auto"/>
        </w:rPr>
        <w:t xml:space="preserve"> </w:t>
      </w:r>
      <w:r>
        <w:rPr>
          <w:rFonts w:ascii="Arial" w:cs="Arial" w:eastAsia="Arial" w:hAnsi="Arial"/>
          <w:sz w:val="19"/>
          <w:szCs w:val="19"/>
          <w:color w:val="auto"/>
        </w:rPr>
        <w:t>entities by eliminating Step 2 from the current provisions. Under the new guidance, an entity should perform the goodwill impairment test by comparing the fair value of a reporting unit with its carrying value and recognize an impairment charge for the amount by which the carrying amount exceeds the reporting unit’s fair value. The Company elected to early adopt ASU 2017-04 on January 1, 2020, and it did not have a significant impact on its financial statements. The Company’s policy is to test goodwill for impairment annually or on an interim basis if an event triggering impairment may have occurred. During the period ended September 30, 2020, the economic disruption and uncertainty surrounding the ongoing COVID-19 pandemic and the recent volatility in the market price of crude oil resulted in a decrease in the Company’s stock price. The Company believed this resulted in a triggering event requiring an interim goodwill impairment quantitative analysis. Under the new simplified guidance, the Company’s estimated fair value as of September 30, 2020 exceeded its carrying amount resulting in no impairment charge for the period. Management will continue to evaluate the economic conditions at future reporting periods for applicable changes.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 xml:space="preserve">ASU 2019-12, Income Taxes, Simplifying the Accounting for Income Taxes (Topic 740). </w:t>
      </w:r>
      <w:r>
        <w:rPr>
          <w:rFonts w:ascii="Arial" w:cs="Arial" w:eastAsia="Arial" w:hAnsi="Arial"/>
          <w:sz w:val="19"/>
          <w:szCs w:val="19"/>
          <w:color w:val="auto"/>
        </w:rPr>
        <w:t>In December 2019, the FASB issued ASU</w:t>
      </w:r>
      <w:r>
        <w:rPr>
          <w:rFonts w:ascii="Arial" w:cs="Arial" w:eastAsia="Arial" w:hAnsi="Arial"/>
          <w:sz w:val="19"/>
          <w:szCs w:val="19"/>
          <w:i w:val="1"/>
          <w:iCs w:val="1"/>
          <w:color w:val="auto"/>
        </w:rPr>
        <w:t xml:space="preserve"> </w:t>
      </w:r>
      <w:r>
        <w:rPr>
          <w:rFonts w:ascii="Arial" w:cs="Arial" w:eastAsia="Arial" w:hAnsi="Arial"/>
          <w:sz w:val="19"/>
          <w:szCs w:val="19"/>
          <w:color w:val="auto"/>
        </w:rPr>
        <w:t>2019-12 to simplify the 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Early adoption is permitted, including adoption in any interim period for which financial statements have not yet been issued. The update is not expected to have any material effect on the Company’s financial statements.</w:t>
      </w:r>
    </w:p>
    <w:p>
      <w:pPr>
        <w:spacing w:after="0" w:line="177" w:lineRule="exact"/>
        <w:rPr>
          <w:sz w:val="20"/>
          <w:szCs w:val="20"/>
          <w:color w:val="auto"/>
        </w:rPr>
      </w:pPr>
    </w:p>
    <w:p>
      <w:pPr>
        <w:jc w:val="both"/>
        <w:ind w:right="20"/>
        <w:spacing w:after="0"/>
        <w:rPr>
          <w:sz w:val="20"/>
          <w:szCs w:val="20"/>
          <w:color w:val="auto"/>
        </w:rPr>
      </w:pPr>
      <w:r>
        <w:rPr>
          <w:rFonts w:ascii="Arial" w:cs="Arial" w:eastAsia="Arial" w:hAnsi="Arial"/>
          <w:sz w:val="22"/>
          <w:szCs w:val="22"/>
          <w:i w:val="1"/>
          <w:iCs w:val="1"/>
          <w:u w:val="single" w:color="auto"/>
          <w:color w:val="auto"/>
        </w:rPr>
        <w:t>Subsequent Events</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has evaluated subsequent events and transactions from September 30, 2020 through the date</w:t>
      </w:r>
      <w:r>
        <w:rPr>
          <w:rFonts w:ascii="Arial" w:cs="Arial" w:eastAsia="Arial" w:hAnsi="Arial"/>
          <w:sz w:val="22"/>
          <w:szCs w:val="22"/>
          <w:i w:val="1"/>
          <w:iCs w:val="1"/>
          <w:color w:val="auto"/>
        </w:rPr>
        <w:t xml:space="preserve"> </w:t>
      </w:r>
      <w:r>
        <w:rPr>
          <w:rFonts w:ascii="Arial" w:cs="Arial" w:eastAsia="Arial" w:hAnsi="Arial"/>
          <w:sz w:val="22"/>
          <w:szCs w:val="22"/>
          <w:color w:val="auto"/>
        </w:rPr>
        <w:t>this Form 10-Q was filed with the SEC for potential recognition or disclosure as required by GAAP and determined that there were no material subsequent events requiring recognition or disclosure.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amortized cost and fair value of securities, with gross unrealized gains and losses, at period-end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4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6"/>
        </w:trPr>
        <w:tc>
          <w:tcPr>
            <w:tcW w:w="14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8"/>
              </w:rPr>
              <w:t>September 30, 2020</w:t>
            </w:r>
          </w:p>
        </w:tc>
        <w:tc>
          <w:tcPr>
            <w:tcW w:w="4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242,010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8,248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249,830</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325,005</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106,777</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34,927</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5,005</w:t>
            </w:r>
          </w:p>
        </w:tc>
      </w:tr>
      <w:tr>
        <w:trPr>
          <w:trHeight w:val="257"/>
        </w:trPr>
        <w:tc>
          <w:tcPr>
            <w:tcW w:w="146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700,850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4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2019</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Available for sale:</w:t>
            </w: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94,512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94,692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464,516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107,289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35,833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36,346</w:t>
            </w:r>
          </w:p>
        </w:tc>
      </w:tr>
      <w:tr>
        <w:trPr>
          <w:trHeight w:val="27"/>
        </w:trPr>
        <w:tc>
          <w:tcPr>
            <w:tcW w:w="14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706,437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707,650</w:t>
            </w:r>
          </w:p>
        </w:tc>
      </w:tr>
      <w:tr>
        <w:trPr>
          <w:trHeight w:val="20"/>
        </w:trPr>
        <w:tc>
          <w:tcPr>
            <w:tcW w:w="1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amortized cost and fair value of securities at September 30, 2020 are presented below by contractual maturity. Expected maturities may differ from contractual maturities because issuers may have the right to call or prepay obligations. Other securities are shown separately since they are not due at a single maturity date.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Available for Sale</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223,930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230,820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449,089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700,850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726,329</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At both September 30, 2020 and December 31, 2019, there were no holdings of securities of any one issuer, other than the 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government and its agencies, in an amount greater than 10% of stockholders’ equity.</w:t>
      </w:r>
    </w:p>
    <w:p>
      <w:pPr>
        <w:spacing w:after="0" w:line="215"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Securities with a carrying value of approximately $260.0 million and $211.0 million at September 30, 2020 and December 31, 2019, respectively, were pledged to collateralize public deposits and for other purposes as required or permitted by law.</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segregates securities with unrealized losses at the periods indicated, by the duration they have been in a loss position: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September 30, 2020</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34,380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34,380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106,777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r>
      <w:tr>
        <w:trPr>
          <w:trHeight w:val="202"/>
        </w:trPr>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144,652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144,652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58,389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58,776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02"/>
        </w:trPr>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7"/>
        </w:trPr>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405,209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4,158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410,257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4,199</w:t>
            </w: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There were eight securities with an unrealized loss at September 30, 2020.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September 30, 2020, management believes the impairments detailed in the table above are temporary and no impairment loss has been realized in the Company’s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LOANS HELD FOR INVESTMENT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Loans held for investment are summarized by category as of the periods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658,195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340,458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372,114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80,149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2,288,234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(46,076)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(24,197)</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2,242,158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2,119,426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14" w:name="page15"/>
    <w:bookmarkEnd w:id="14"/>
    <w:p>
      <w:pPr>
        <w:spacing w:after="0" w:line="26"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u w:val="single" w:color="auto"/>
          <w:color w:val="auto"/>
        </w:rPr>
        <w:t>Commercial – General and Specialized</w:t>
      </w:r>
      <w:r>
        <w:rPr>
          <w:rFonts w:ascii="Arial" w:cs="Arial" w:eastAsia="Arial" w:hAnsi="Arial"/>
          <w:sz w:val="19"/>
          <w:szCs w:val="19"/>
          <w:i w:val="1"/>
          <w:iCs w:val="1"/>
          <w:color w:val="auto"/>
        </w:rPr>
        <w:t xml:space="preserve"> </w:t>
      </w:r>
      <w:r>
        <w:rPr>
          <w:rFonts w:ascii="Arial" w:cs="Arial" w:eastAsia="Arial" w:hAnsi="Arial"/>
          <w:sz w:val="19"/>
          <w:szCs w:val="19"/>
          <w:color w:val="auto"/>
        </w:rPr>
        <w:t>– Commercial loans are underwritten after evaluating and understanding the borrower’s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200" w:lineRule="exact"/>
        <w:rPr>
          <w:sz w:val="20"/>
          <w:szCs w:val="20"/>
          <w:color w:val="auto"/>
        </w:rPr>
      </w:pP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u w:val="single" w:color="auto"/>
          <w:color w:val="auto"/>
        </w:rPr>
        <w:t>Commercial Real Estate</w:t>
      </w:r>
      <w:r>
        <w:rPr>
          <w:rFonts w:ascii="Arial" w:cs="Arial" w:eastAsia="Arial" w:hAnsi="Arial"/>
          <w:sz w:val="21"/>
          <w:szCs w:val="21"/>
          <w:i w:val="1"/>
          <w:iCs w:val="1"/>
          <w:color w:val="auto"/>
        </w:rPr>
        <w:t xml:space="preserve"> </w:t>
      </w:r>
      <w:r>
        <w:rPr>
          <w:rFonts w:ascii="Arial" w:cs="Arial" w:eastAsia="Arial" w:hAnsi="Arial"/>
          <w:sz w:val="21"/>
          <w:szCs w:val="21"/>
          <w:color w:val="auto"/>
        </w:rPr>
        <w:t>– Commercial real estate loans are also subject to underwriting standards and processes similar to</w:t>
      </w:r>
      <w:r>
        <w:rPr>
          <w:rFonts w:ascii="Arial" w:cs="Arial" w:eastAsia="Arial" w:hAnsi="Arial"/>
          <w:sz w:val="21"/>
          <w:szCs w:val="21"/>
          <w:i w:val="1"/>
          <w:iCs w:val="1"/>
          <w:color w:val="auto"/>
        </w:rPr>
        <w:t xml:space="preserve"> </w:t>
      </w:r>
      <w:r>
        <w:rPr>
          <w:rFonts w:ascii="Arial" w:cs="Arial" w:eastAsia="Arial" w:hAnsi="Arial"/>
          <w:sz w:val="21"/>
          <w:szCs w:val="21"/>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Construction</w:t>
      </w:r>
      <w:r>
        <w:rPr>
          <w:rFonts w:ascii="Arial" w:cs="Arial" w:eastAsia="Arial" w:hAnsi="Arial"/>
          <w:sz w:val="22"/>
          <w:szCs w:val="22"/>
          <w:i w:val="1"/>
          <w:iCs w:val="1"/>
          <w:color w:val="auto"/>
        </w:rPr>
        <w:t xml:space="preserve"> </w:t>
      </w:r>
      <w:r>
        <w:rPr>
          <w:rFonts w:ascii="Arial" w:cs="Arial" w:eastAsia="Arial" w:hAnsi="Arial"/>
          <w:sz w:val="22"/>
          <w:szCs w:val="22"/>
          <w:color w:val="auto"/>
        </w:rPr>
        <w:t>– Loans for residential construction are for single-family properties to developers, builders, or end-users. These</w:t>
      </w:r>
      <w:r>
        <w:rPr>
          <w:rFonts w:ascii="Arial" w:cs="Arial" w:eastAsia="Arial" w:hAnsi="Arial"/>
          <w:sz w:val="22"/>
          <w:szCs w:val="22"/>
          <w:i w:val="1"/>
          <w:iCs w:val="1"/>
          <w:color w:val="auto"/>
        </w:rPr>
        <w:t xml:space="preserve"> </w:t>
      </w:r>
      <w:r>
        <w:rPr>
          <w:rFonts w:ascii="Arial" w:cs="Arial" w:eastAsia="Arial" w:hAnsi="Arial"/>
          <w:sz w:val="22"/>
          <w:szCs w:val="22"/>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u w:val="single" w:color="auto"/>
          <w:color w:val="auto"/>
        </w:rPr>
        <w:t>Consumer</w:t>
      </w:r>
      <w:r>
        <w:rPr>
          <w:rFonts w:ascii="Arial" w:cs="Arial" w:eastAsia="Arial" w:hAnsi="Arial"/>
          <w:sz w:val="21"/>
          <w:szCs w:val="21"/>
          <w:i w:val="1"/>
          <w:iCs w:val="1"/>
          <w:color w:val="auto"/>
        </w:rPr>
        <w:t xml:space="preserve"> </w:t>
      </w:r>
      <w:r>
        <w:rPr>
          <w:rFonts w:ascii="Arial" w:cs="Arial" w:eastAsia="Arial" w:hAnsi="Arial"/>
          <w:sz w:val="21"/>
          <w:szCs w:val="21"/>
          <w:color w:val="auto"/>
        </w:rPr>
        <w:t>– Loans to consumers include 1-4 family residential loans, auto loans, and other loans for recreational vehicles or</w:t>
      </w:r>
      <w:r>
        <w:rPr>
          <w:rFonts w:ascii="Arial" w:cs="Arial" w:eastAsia="Arial" w:hAnsi="Arial"/>
          <w:sz w:val="21"/>
          <w:szCs w:val="21"/>
          <w:i w:val="1"/>
          <w:iCs w:val="1"/>
          <w:color w:val="auto"/>
        </w:rPr>
        <w:t xml:space="preserve"> </w:t>
      </w:r>
      <w:r>
        <w:rPr>
          <w:rFonts w:ascii="Arial" w:cs="Arial" w:eastAsia="Arial" w:hAnsi="Arial"/>
          <w:sz w:val="21"/>
          <w:szCs w:val="21"/>
          <w:color w:val="auto"/>
        </w:rPr>
        <w:t>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allowance for loan losses was $46.1 million at September 30, 2020, compared to $24.2 million at December 31, 2019. The allowance for loan losses to loans held for investment was 2.01% at September 30, 2020 and 1.13% at December 31, 2019. The increase in the allowance for loan losses at September 30, 2020 compared to December 31, 2019 is a result of economic effects from the ongoing COVID-19 pandemic as well as the decline in oil and gas prices that started in the first quarter of 2020. The increase in the provision for loan losses in the second quarter 2020 compared to the first quarter 2020 is a result of a further worsening of the economy and continued uncertainty from the ongoing COVID-19 pandemic. The full extent of the impact of the COVID-19 pandemic on the economy and the Company’s customers is still unknown at this time. Accordingly, additional provisions for loan losses may be necessary in future periods.</w:t>
      </w:r>
    </w:p>
    <w:p>
      <w:pPr>
        <w:spacing w:after="0" w:line="184"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The following table details the activity in the allowance for loan losses. Allocation of a portion of the allowance to one category of loans does not preclude its availability to absorb losses in other categories.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three months ended September 30, 2020</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4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18,264</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6,304</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4,233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 the three months ended September 30, 2019</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Commercial real estate</w:t>
            </w:r>
          </w:p>
        </w:tc>
        <w:tc>
          <w:tcPr>
            <w:tcW w:w="1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5,415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108</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5,144</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r>
    </w:tbl>
    <w:p>
      <w:pPr>
        <w:sectPr>
          <w:pgSz w:w="11900" w:h="16864" w:orient="portrait"/>
          <w:cols w:equalWidth="0" w:num="1">
            <w:col w:w="11240"/>
          </w:cols>
          <w:pgMar w:left="320" w:top="122"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Commercial - general</w:t>
            </w:r>
          </w:p>
        </w:tc>
        <w:tc>
          <w:tcPr>
            <w:tcW w:w="3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8,325</w:t>
            </w:r>
          </w:p>
        </w:tc>
        <w:tc>
          <w:tcPr>
            <w:tcW w:w="4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734</w:t>
            </w:r>
          </w:p>
        </w:tc>
        <w:tc>
          <w:tcPr>
            <w:tcW w:w="4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4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8,908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1-4 family residential</w:t>
            </w: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2,310</w:t>
            </w: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 consumer</w:t>
            </w: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1,199</w:t>
            </w: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r>
      <w:tr>
        <w:trPr>
          <w:trHeight w:val="27"/>
        </w:trPr>
        <w:tc>
          <w:tcPr>
            <w:tcW w:w="46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24,171</w:t>
            </w:r>
          </w:p>
        </w:tc>
        <w:tc>
          <w:tcPr>
            <w:tcW w:w="2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24,176</w:t>
            </w:r>
          </w:p>
        </w:tc>
      </w:tr>
      <w:tr>
        <w:trPr>
          <w:trHeight w:val="21"/>
        </w:trPr>
        <w:tc>
          <w:tcPr>
            <w:tcW w:w="4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gridSpan w:val="2"/>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8"/>
        </w:trPr>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nine months ended September 30, 2020</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42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18,264</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6,304</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4,233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r>
      <w:tr>
        <w:trPr>
          <w:trHeight w:val="216"/>
        </w:trPr>
        <w:tc>
          <w:tcPr>
            <w:tcW w:w="3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25,429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46,076</w:t>
            </w:r>
          </w:p>
        </w:tc>
      </w:tr>
      <w:tr>
        <w:trPr>
          <w:trHeight w:val="21"/>
        </w:trPr>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nine months ended September 30, 2019</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42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5,144</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3,017</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r>
      <w:tr>
        <w:trPr>
          <w:trHeight w:val="216"/>
        </w:trPr>
        <w:tc>
          <w:tcPr>
            <w:tcW w:w="3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23,126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1,903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24,176</w:t>
            </w:r>
          </w:p>
        </w:tc>
      </w:tr>
      <w:tr>
        <w:trPr>
          <w:trHeight w:val="20"/>
        </w:trPr>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shows the Company’s investment in loans disaggregated based on the method of evaluating impairment: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Recorded Investment</w:t>
            </w:r>
          </w:p>
        </w:tc>
        <w:tc>
          <w:tcPr>
            <w:tcW w:w="1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Allowance for Loan Losses</w:t>
            </w:r>
          </w:p>
        </w:tc>
        <w:tc>
          <w:tcPr>
            <w:tcW w:w="0" w:type="dxa"/>
            <w:vAlign w:val="bottom"/>
          </w:tcPr>
          <w:p>
            <w:pPr>
              <w:spacing w:after="0"/>
              <w:rPr>
                <w:sz w:val="1"/>
                <w:szCs w:val="1"/>
                <w:color w:val="auto"/>
              </w:rPr>
            </w:pPr>
          </w:p>
        </w:tc>
      </w:tr>
      <w:tr>
        <w:trPr>
          <w:trHeight w:val="198"/>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Collectively</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Evaluated</w:t>
            </w: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Evaluated</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Evaluated</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Evaluated</w:t>
            </w:r>
          </w:p>
        </w:tc>
        <w:tc>
          <w:tcPr>
            <w:tcW w:w="0" w:type="dxa"/>
            <w:vAlign w:val="bottom"/>
          </w:tcPr>
          <w:p>
            <w:pPr>
              <w:spacing w:after="0"/>
              <w:rPr>
                <w:sz w:val="1"/>
                <w:szCs w:val="1"/>
                <w:color w:val="auto"/>
              </w:rPr>
            </w:pPr>
          </w:p>
        </w:tc>
      </w:tr>
      <w:tr>
        <w:trPr>
          <w:trHeight w:val="176"/>
        </w:trPr>
        <w:tc>
          <w:tcPr>
            <w:tcW w:w="3700" w:type="dxa"/>
            <w:vAlign w:val="bottom"/>
            <w:gridSpan w:val="3"/>
          </w:tcPr>
          <w:p>
            <w:pPr>
              <w:spacing w:after="0" w:line="176" w:lineRule="exact"/>
              <w:rPr>
                <w:sz w:val="20"/>
                <w:szCs w:val="20"/>
                <w:color w:val="auto"/>
              </w:rPr>
            </w:pPr>
            <w:r>
              <w:rPr>
                <w:rFonts w:ascii="Arial" w:cs="Arial" w:eastAsia="Arial" w:hAnsi="Arial"/>
                <w:sz w:val="18"/>
                <w:szCs w:val="18"/>
                <w:color w:val="auto"/>
              </w:rPr>
              <w:t>September 30, 2020</w:t>
            </w:r>
          </w:p>
        </w:tc>
        <w:tc>
          <w:tcPr>
            <w:tcW w:w="2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651,093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18,004</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340,458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8,255</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369,878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193,023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23"/>
        </w:trPr>
        <w:tc>
          <w:tcPr>
            <w:tcW w:w="37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80,149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13,646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2,274,588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44,012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0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657,896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308,932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370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215,209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3"/>
        </w:trPr>
        <w:tc>
          <w:tcPr>
            <w:tcW w:w="37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82,520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2,139,456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23,672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80" w:type="dxa"/>
            <w:vAlign w:val="bottom"/>
            <w:vMerge w:val="restart"/>
          </w:tcPr>
          <w:p>
            <w:pPr>
              <w:jc w:val="right"/>
              <w:ind w:right="194"/>
              <w:spacing w:after="0"/>
              <w:rPr>
                <w:sz w:val="20"/>
                <w:szCs w:val="20"/>
                <w:color w:val="auto"/>
              </w:rPr>
            </w:pPr>
            <w:r>
              <w:rPr>
                <w:rFonts w:ascii="Arial" w:cs="Arial" w:eastAsia="Arial" w:hAnsi="Arial"/>
                <w:sz w:val="14"/>
                <w:szCs w:val="14"/>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Impaired loan information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With No</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Allowance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September 30, 2020</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4,622</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14,065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8,492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13,646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10,206</w:t>
            </w:r>
          </w:p>
        </w:tc>
      </w:tr>
      <w:tr>
        <w:trPr>
          <w:trHeight w:val="21"/>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w:t>
            </w: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5,484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6,764</w:t>
            </w: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All impaired loans $250,000 and greater were specifically evaluated for impairment. Interest income recognized using a cash-basis method on impaired loans for the nine-month period ended September 30, 2020 and the year ended December 31, 2019 was not significant. Additional funds committed to be advanced on impaired loans are not significant.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provides an age analysis on accruing past-due loans and nonaccrual loans: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30-89 Days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More Past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Nonaccrual</w:t>
            </w: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September 30, 2020</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7,638</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6,105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13,067</w:t>
            </w: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4,693</w:t>
            </w:r>
          </w:p>
        </w:tc>
      </w:tr>
      <w:tr>
        <w:trPr>
          <w:trHeight w:val="21"/>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internal classifications of loans: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Substandard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September 30, 2020</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61,686</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655,432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331,377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9,081</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340,458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11,379</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578,181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7,701</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372,114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191,727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1,296</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193,023</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68,447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68,877</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80,149</w:t>
            </w:r>
          </w:p>
        </w:tc>
      </w:tr>
      <w:tr>
        <w:trPr>
          <w:trHeight w:val="216"/>
        </w:trPr>
        <w:tc>
          <w:tcPr>
            <w:tcW w:w="4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2,196,661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91,573</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2,288,234</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December 31, 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22,313</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307,239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2,266</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13,243</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214,363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16"/>
        </w:trPr>
        <w:tc>
          <w:tcPr>
            <w:tcW w:w="4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2,095,056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22,313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26,254</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2,143,623</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Under section 4013 of the Coronavirus Aid, Relief, and Economic Security Act (the “CARES Act”), banks may elect to deem that loan modifications do not result in a classification as a troubled debt restructuring (“TDR”) if they are (1) related to the COVID-19 pandemic; (2) executed on a loan that was not more than 30 days past due as of December 31, 2019; and (3) executed between March 1, 2020, and the earlier of (A) 60 days after the date of termination of the national emergency or (B) December 31, 2020. The Company elected to adopt these provisions of the CARES Act.</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Additionally, other short-term modifications made on a good faith basis in response to the COVID-19 pandemic to borrowers who were current prior to any relief are not TDRs under ASC Subtopic 310-40 and the interagency statement released by the federal banking regulators on April 7, 2020 in response to the COVID-19 pandemic (the “Joint Interagency Regulatory Guidance”). This includes short-term (e.g., up to six months) modifications such as payment deferrals, fee waivers, extensions of repayment terms, or delays in payment that are insignificant. Borrowers considered current are those that are less than 30 days past due on their contractual payments at the time a modification program is implemented.</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response to the COVID-19 pandemic, the Company implemented a short-term deferral modification program that complies with ASC Subtopic 310-40 and the Joint Interagency Regulatory Guidance. As of September 30, 2020, the Company has an outstanding principal balance of modified loans of $53.8 million in loans that comply with ASC Subtopic 310-40 and the Joint Interagency Regulatory Guidance. These modifications include: $44.2 million in six months of interest-only payments, $8.2 million in 90 day commercial payment deferrals, and $1.4 million in consumer one to four month payment deferrals. The total of all of these short-term modifications represented 2.35% of outstanding loans held for investment at September 30, 2020.</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Beginning in April 2020, the Company began offering additional COVID-19 related deferral and modification of principal and/or interest payments to selected borrowers on a case-by-case basis that were outside the scope of the short-term deferral modification program. These additional modifications comply with the provisions of section 4013 of the CARES Act. As of September 30, 2020 the Company had 23 loans totaling approximately $70.2 million subject to these deferral and modification agreements, representing 3.07% of outstanding loans held for investment.</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were no loans modified as a troubled debt restructurings during the nine-month period ended September 30, 2020 and the year ended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GOODWILL AND INTANGIBLES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Goodwill and other intangible assets are summarized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43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Beginning goodwill</w:t>
            </w: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Arising from business combinations</w:t>
            </w: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Measurement period acquisition adjustment</w:t>
            </w: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Ending goodwill</w:t>
            </w:r>
          </w:p>
        </w:tc>
        <w:tc>
          <w:tcPr>
            <w:tcW w:w="4560" w:type="dxa"/>
            <w:vAlign w:val="bottom"/>
            <w:gridSpan w:val="2"/>
          </w:tcPr>
          <w:p>
            <w:pPr>
              <w:ind w:left="4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19,508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r>
      <w:tr>
        <w:trPr>
          <w:trHeight w:val="20"/>
        </w:trPr>
        <w:tc>
          <w:tcPr>
            <w:tcW w:w="4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Customer relationship intangibles</w:t>
            </w:r>
          </w:p>
        </w:tc>
        <w:tc>
          <w:tcPr>
            <w:tcW w:w="4560" w:type="dxa"/>
            <w:vAlign w:val="bottom"/>
            <w:gridSpan w:val="2"/>
          </w:tcPr>
          <w:p>
            <w:pPr>
              <w:ind w:left="43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6,679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6,679</w:t>
            </w:r>
          </w:p>
        </w:tc>
      </w:tr>
      <w:tr>
        <w:trPr>
          <w:trHeight w:val="22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r>
      <w:tr>
        <w:trPr>
          <w:trHeight w:val="216"/>
        </w:trPr>
        <w:tc>
          <w:tcPr>
            <w:tcW w:w="4360" w:type="dxa"/>
            <w:vAlign w:val="bottom"/>
            <w:tcBorders>
              <w:top w:val="single" w:sz="8" w:color="CCEEFF"/>
            </w:tcBorders>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Borders>
              <w:top w:val="single" w:sz="8" w:color="CCEEFF"/>
            </w:tcBorders>
          </w:tcPr>
          <w:p>
            <w:pPr>
              <w:spacing w:after="0"/>
              <w:rPr>
                <w:sz w:val="18"/>
                <w:szCs w:val="18"/>
                <w:color w:val="auto"/>
              </w:rPr>
            </w:pPr>
          </w:p>
        </w:tc>
      </w:tr>
      <w:tr>
        <w:trPr>
          <w:trHeight w:val="216"/>
        </w:trPr>
        <w:tc>
          <w:tcPr>
            <w:tcW w:w="4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intangibles</w:t>
            </w: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Arising from business combinations</w:t>
            </w: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4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8"/>
                <w:szCs w:val="18"/>
                <w:color w:val="auto"/>
              </w:rPr>
            </w:pPr>
          </w:p>
        </w:tc>
      </w:tr>
      <w:tr>
        <w:trPr>
          <w:trHeight w:val="223"/>
        </w:trPr>
        <w:tc>
          <w:tcPr>
            <w:tcW w:w="4360" w:type="dxa"/>
            <w:vAlign w:val="bottom"/>
          </w:tcPr>
          <w:p>
            <w:pPr>
              <w:spacing w:after="0"/>
              <w:rPr>
                <w:sz w:val="19"/>
                <w:szCs w:val="19"/>
                <w:color w:val="auto"/>
              </w:rPr>
            </w:pPr>
          </w:p>
        </w:tc>
        <w:tc>
          <w:tcPr>
            <w:tcW w:w="45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5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4360" w:type="dxa"/>
            <w:vAlign w:val="bottom"/>
          </w:tcPr>
          <w:p>
            <w:pPr>
              <w:spacing w:after="0"/>
              <w:rPr>
                <w:sz w:val="24"/>
                <w:szCs w:val="24"/>
                <w:color w:val="auto"/>
              </w:rPr>
            </w:pPr>
          </w:p>
        </w:tc>
        <w:tc>
          <w:tcPr>
            <w:tcW w:w="4320" w:type="dxa"/>
            <w:vAlign w:val="bottom"/>
          </w:tcPr>
          <w:p>
            <w:pPr>
              <w:jc w:val="right"/>
              <w:ind w:right="2896"/>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36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BORROWING ARRANGEMENTS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Subordinated Debt Securities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expiration of the fixed rate periods, all securities will float at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September 29, 2020, the Company issued $50.0 million in subordinated debt securities. Proceeds were reduced by approximately $926,000 in debt issuance costs. The securities have a maturity date of September 2030 with a fixed rate of 4.50% for the first five years. After the expiration of the fixed rate period, the securities will reset quarterly at a variable rate equal to the then current three-month Secured Overnight Financing Rate (“SOFR”), as published by the Federal Reserve Bank of New York, plus 438 basis points. These securities pay interest semi-annually, are unsecured, and may be called by the Company at any time after the remaining maturity is five years or less. Additionally, these securities qualify for Tier 2 capital treatment, subject to regulatory limitations.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Notes Payable and Other Borrowings</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City Bank has multiple advances from the Federal Home Loan Bank of Dallas (“FHLB”). The advances are collateralized through the line of credit with FHLB with interest payable monthly and principal due at maturity. In April 2020, City Bank borrowed $75 million from FHLB, on a term of three months, for liquidity needs associated with funding Paycheck Protection Program loans. The three month advance matured in July 2020 and was repaid. Additionally, a $20 million long-term advance matured in July 2020 and was repaid.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STOCK-BASED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Equity Incentive Plan</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fair value of each option award is estimated on the date of grant using a closed form option valuation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Options</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A summary of activity in the Plan during the nine months ended September 30, 2020 is presented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Weighted-Average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c>
          <w:tcPr>
            <w:tcW w:w="160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Weighted-Average</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6"/>
              </w:rPr>
              <w:t>Remaining 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9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1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Life in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176"/>
        </w:trPr>
        <w:tc>
          <w:tcPr>
            <w:tcW w:w="5140" w:type="dxa"/>
            <w:vAlign w:val="bottom"/>
            <w:gridSpan w:val="2"/>
          </w:tcPr>
          <w:p>
            <w:pPr>
              <w:spacing w:after="0" w:line="176" w:lineRule="exact"/>
              <w:rPr>
                <w:sz w:val="20"/>
                <w:szCs w:val="20"/>
                <w:color w:val="auto"/>
              </w:rPr>
            </w:pPr>
            <w:r>
              <w:rPr>
                <w:rFonts w:ascii="Arial" w:cs="Arial" w:eastAsia="Arial" w:hAnsi="Arial"/>
                <w:sz w:val="18"/>
                <w:szCs w:val="18"/>
                <w:color w:val="auto"/>
              </w:rPr>
              <w:t>Nine Months Ended September 30, 2020</w:t>
            </w: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1,462,997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248,966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9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gridSpan w:val="3"/>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CCEEFF"/>
            </w:tcBorders>
            <w:gridSpan w:val="2"/>
          </w:tcPr>
          <w:p>
            <w:pPr>
              <w:spacing w:after="0"/>
              <w:rPr>
                <w:sz w:val="18"/>
                <w:szCs w:val="18"/>
                <w:color w:val="auto"/>
              </w:rPr>
            </w:pPr>
          </w:p>
        </w:tc>
      </w:tr>
      <w:tr>
        <w:trPr>
          <w:trHeight w:val="25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2020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1,662,698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14.54</w:t>
            </w:r>
          </w:p>
        </w:tc>
        <w:tc>
          <w:tcPr>
            <w:tcW w:w="2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w:t>
            </w:r>
          </w:p>
        </w:tc>
      </w:tr>
      <w:tr>
        <w:trPr>
          <w:trHeight w:val="209"/>
        </w:trPr>
        <w:tc>
          <w:tcPr>
            <w:tcW w:w="29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1,065,753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w:t>
            </w:r>
          </w:p>
        </w:tc>
        <w:tc>
          <w:tcPr>
            <w:tcW w:w="2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w:t>
            </w:r>
          </w:p>
        </w:tc>
      </w:tr>
      <w:tr>
        <w:trPr>
          <w:trHeight w:val="209"/>
        </w:trPr>
        <w:tc>
          <w:tcPr>
            <w:tcW w:w="294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1,065,753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w:t>
            </w:r>
          </w:p>
        </w:tc>
        <w:tc>
          <w:tcPr>
            <w:tcW w:w="2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382"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82"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A summary of assumptions used to calculate the fair values of the awards granted during the periods noted is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02"/>
        </w:trPr>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24.88% to</w:t>
            </w:r>
          </w:p>
        </w:tc>
        <w:tc>
          <w:tcPr>
            <w:tcW w:w="160" w:type="dxa"/>
            <w:vAlign w:val="bottom"/>
            <w:shd w:val="clear" w:color="auto" w:fill="CCEEFF"/>
          </w:tcPr>
          <w:p>
            <w:pPr>
              <w:spacing w:after="0"/>
              <w:rPr>
                <w:sz w:val="17"/>
                <w:szCs w:val="17"/>
                <w:color w:val="auto"/>
              </w:rPr>
            </w:pPr>
          </w:p>
        </w:tc>
      </w:tr>
      <w:tr>
        <w:trPr>
          <w:trHeight w:val="230"/>
        </w:trPr>
        <w:tc>
          <w:tcPr>
            <w:tcW w:w="8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27.46%</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0.70%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6.2 years</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0.5 - 7.0 years</w:t>
            </w:r>
          </w:p>
        </w:tc>
      </w:tr>
      <w:tr>
        <w:trPr>
          <w:trHeight w:val="202"/>
        </w:trPr>
        <w:tc>
          <w:tcPr>
            <w:tcW w:w="8600" w:type="dxa"/>
            <w:vAlign w:val="bottom"/>
          </w:tcPr>
          <w:p>
            <w:pPr>
              <w:spacing w:after="0" w:line="201" w:lineRule="exact"/>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1.46% to</w:t>
            </w:r>
          </w:p>
        </w:tc>
      </w:tr>
      <w:tr>
        <w:trPr>
          <w:trHeight w:val="230"/>
        </w:trPr>
        <w:tc>
          <w:tcPr>
            <w:tcW w:w="8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w:t>
            </w: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total intrinsic value of options exercised during the nine months ended September 30, 2020 was $185 thousand. There were no options exercised during the nine months ended September 30, 2019.</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January 16, 2019, the Company approved the conversion of its previously issued stock appreciation rights (“SARs”) to stock options. There were 1,401,000 outstanding SARs that were converted effective as of May 6, 2019. The fair value of the SARs was $11.5 million at the conversion date. During the modification of these awards from liabilities to equity, the Company accelerated the expiration date, between two and four years, on 750,000 of the stock options. As a result, the fair value of the stock options after modification was $11.2 million. However, since the fair value of the new equity awards was less than the fair value of the liability awards, no adjustment was made to the Company’s income statement. The $11.5 million was reclassified from liabilities to equity upon conversion on May 6, 2019.</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Units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summary of activity in the Plan is presented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29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29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175"/>
        </w:trPr>
        <w:tc>
          <w:tcPr>
            <w:tcW w:w="8400" w:type="dxa"/>
            <w:vAlign w:val="bottom"/>
            <w:gridSpan w:val="2"/>
          </w:tcPr>
          <w:p>
            <w:pPr>
              <w:spacing w:after="0" w:line="176" w:lineRule="exact"/>
              <w:rPr>
                <w:sz w:val="20"/>
                <w:szCs w:val="20"/>
                <w:color w:val="auto"/>
              </w:rPr>
            </w:pPr>
            <w:r>
              <w:rPr>
                <w:rFonts w:ascii="Arial" w:cs="Arial" w:eastAsia="Arial" w:hAnsi="Arial"/>
                <w:sz w:val="18"/>
                <w:szCs w:val="18"/>
                <w:color w:val="auto"/>
              </w:rPr>
              <w:t>Nine Months Ended September 30, 2020</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94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r>
      <w:tr>
        <w:trPr>
          <w:trHeight w:val="216"/>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5,970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(24,694)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w:t>
            </w:r>
          </w:p>
        </w:tc>
      </w:tr>
      <w:tr>
        <w:trPr>
          <w:trHeight w:val="22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9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Balance, September 30, 2020</w:t>
            </w:r>
          </w:p>
        </w:tc>
        <w:tc>
          <w:tcPr>
            <w:tcW w:w="1120" w:type="dxa"/>
            <w:vAlign w:val="bottom"/>
          </w:tcPr>
          <w:p>
            <w:pPr>
              <w:jc w:val="right"/>
              <w:spacing w:after="0"/>
              <w:rPr>
                <w:sz w:val="20"/>
                <w:szCs w:val="20"/>
                <w:color w:val="auto"/>
              </w:rPr>
            </w:pPr>
            <w:r>
              <w:rPr>
                <w:rFonts w:ascii="Arial" w:cs="Arial" w:eastAsia="Arial" w:hAnsi="Arial"/>
                <w:sz w:val="18"/>
                <w:szCs w:val="18"/>
                <w:color w:val="auto"/>
              </w:rPr>
              <w:t>62,476</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r>
      <w:tr>
        <w:trPr>
          <w:trHeight w:val="20"/>
        </w:trPr>
        <w:tc>
          <w:tcPr>
            <w:tcW w:w="29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Restricted stock units granted under the Plan typically vest over five years, but vesting periods may vary. Compensation expense for these grants will be recognized over the vesting period of the awards based on the fair value of the stock at the issue date.</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total unrecognized compensation cost for the awards outstanding under the Plan at September 30, 2020 was $3.1 million and will be recognized over a weighted average remaining period of 1.79 years. The total fair value of restricted stock units vested during the nine months ended September 30, 2020 was $489,000. There was no vesting of restricted stock units during the nine months ended September 30,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COMMITMENTS AND CONTINGENCIES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u w:val="single" w:color="auto"/>
          <w:color w:val="auto"/>
        </w:rPr>
        <w:t>Financial instruments with off-balance-sheet risk</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is a party to financial instruments with off-balance-sheet risk in</w:t>
      </w:r>
      <w:r>
        <w:rPr>
          <w:rFonts w:ascii="Arial" w:cs="Arial" w:eastAsia="Arial" w:hAnsi="Arial"/>
          <w:sz w:val="21"/>
          <w:szCs w:val="21"/>
          <w:i w:val="1"/>
          <w:iCs w:val="1"/>
          <w:color w:val="auto"/>
        </w:rPr>
        <w:t xml:space="preserve"> </w:t>
      </w:r>
      <w:r>
        <w:rPr>
          <w:rFonts w:ascii="Arial" w:cs="Arial" w:eastAsia="Arial" w:hAnsi="Arial"/>
          <w:sz w:val="21"/>
          <w:szCs w:val="21"/>
          <w:color w:val="auto"/>
        </w:rPr>
        <w:t>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Financial instruments whose contract amounts represent credit risk outstanding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409,969</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7,004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10,748</w:t>
            </w:r>
          </w:p>
        </w:tc>
      </w:tr>
    </w:tbl>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ectPr>
          <w:pgSz w:w="11900" w:h="16838" w:orient="portrait"/>
          <w:cols w:equalWidth="0" w:num="1">
            <w:col w:w="11240"/>
          </w:cols>
          <w:pgMar w:left="320" w:top="121" w:right="339" w:bottom="0" w:gutter="0" w:footer="0" w:header="0"/>
        </w:sectPr>
      </w:pPr>
    </w:p>
    <w:bookmarkStart w:id="22" w:name="page23"/>
    <w:bookmarkEnd w:id="22"/>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Litigation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is a defendant in legal actions arising from time to time in the ordinary course of business.</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believes that the aggregate ultimate liability, if any, arising from these matters will not materially affect the Company’s consolidated financial statements.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FHLB Letters of Credit</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uses FHLB letters of credit to pledge to certain public deposits. The balance of these</w:t>
      </w:r>
      <w:r>
        <w:rPr>
          <w:rFonts w:ascii="Arial" w:cs="Arial" w:eastAsia="Arial" w:hAnsi="Arial"/>
          <w:sz w:val="22"/>
          <w:szCs w:val="22"/>
          <w:i w:val="1"/>
          <w:iCs w:val="1"/>
          <w:color w:val="auto"/>
        </w:rPr>
        <w:t xml:space="preserve"> </w:t>
      </w:r>
      <w:r>
        <w:rPr>
          <w:rFonts w:ascii="Arial" w:cs="Arial" w:eastAsia="Arial" w:hAnsi="Arial"/>
          <w:sz w:val="22"/>
          <w:szCs w:val="22"/>
          <w:color w:val="auto"/>
        </w:rPr>
        <w:t>FHLB letters of credit was $199.0 million at both September 30, 2020 and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CAPITAL AND REGULATORY MATTERS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July 2013, the Board of Governors of the Federal Reserve System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CET1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Quantitative measures established by regulation to ensure capital adequacy require the Company and its bank subsidiary to maintain minimum amounts and ratios (set forth in the following table) of total, Tier 1 and CET1 capital (as defined in the regulations) to risk-weighted assets (as defined) and of Tier 1 capital (as defined) to average assets (as defined). Management believes, as of September 30, 2020 and December 31, 2019, that the Company and its bank subsidiary met all capital adequacy requirements to which they are subject.</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September 30, 2020, the bank subsidiary was well capitalized under the regulatory framework for prompt corrective action. To be categorized as well capitalized, an institution must maintain minimum total risk-based, Tier 1 risk-based, CET1 and Tier 1 leverage ratios as set forth in the following tables. There are no conditions or events since September 30, 2020 that management believes have changed the bank subsidiary’s category.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line="29"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its bank subsidiary’s actual capital amounts and ratios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To Be Well Capitalized</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Under Prompt Corrective</w:t>
            </w: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Fully Phased-In</w:t>
            </w:r>
          </w:p>
        </w:tc>
        <w:tc>
          <w:tcPr>
            <w:tcW w:w="160" w:type="dxa"/>
            <w:vAlign w:val="bottom"/>
          </w:tcPr>
          <w:p>
            <w:pPr>
              <w:spacing w:after="0"/>
              <w:rPr>
                <w:sz w:val="20"/>
                <w:szCs w:val="20"/>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Action Provisions</w:t>
            </w:r>
          </w:p>
        </w:tc>
      </w:tr>
      <w:tr>
        <w:trPr>
          <w:trHeight w:val="223"/>
        </w:trPr>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176"/>
        </w:trPr>
        <w:tc>
          <w:tcPr>
            <w:tcW w:w="14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8"/>
              </w:rPr>
              <w:t>September 30, 2020</w:t>
            </w:r>
          </w:p>
        </w:tc>
        <w:tc>
          <w:tcPr>
            <w:tcW w:w="17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3240" w:type="dxa"/>
            <w:vAlign w:val="bottom"/>
            <w:gridSpan w:val="3"/>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457,689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257,444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394,673</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257,430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245,171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351,303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208,407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363,834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208,396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196,137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gridSpan w:val="3"/>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306,303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171,629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363,834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171,620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159,361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351,303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141,472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363,834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141,401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175,376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324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373,684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263,769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263,702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251,145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213,527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213,473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277,835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11.06%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175,846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175,801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120,219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121,235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DERIVATIVES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utilizes interest rate and cash flow swap agreements as part of its asset-liability management strategy to help manage its interest rate and cash flow risk position. The notional amount of the interest rate and cash flow swaps do not represent amounts exchanged by the parties. The amount exchanged is determined by reference to the notional amounts and the other terms of the individual interest rate and cash flow swap agreements.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reflects the fair value hedges included in the 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 2020</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10,276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reflects the cash flow hedges included in the consolidated balance sheets:</w:t>
      </w:r>
    </w:p>
    <w:p>
      <w:pPr>
        <w:spacing w:after="0" w:line="236" w:lineRule="exact"/>
        <w:rPr>
          <w:sz w:val="20"/>
          <w:szCs w:val="20"/>
          <w:color w:val="auto"/>
        </w:rPr>
      </w:pPr>
    </w:p>
    <w:tbl>
      <w:tblPr>
        <w:tblLayout w:type="fixed"/>
        <w:tblInd w:w="5980" w:type="dxa"/>
        <w:tblCellMar>
          <w:top w:w="0" w:type="dxa"/>
          <w:left w:w="0" w:type="dxa"/>
          <w:bottom w:w="0" w:type="dxa"/>
          <w:right w:w="0" w:type="dxa"/>
        </w:tblCellMar>
      </w:tblPr>
      <w:tr>
        <w:trPr>
          <w:trHeight w:val="241"/>
        </w:trPr>
        <w:tc>
          <w:tcPr>
            <w:tcW w:w="25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tcPr>
          <w:p>
            <w:pPr>
              <w:spacing w:after="0"/>
              <w:rPr>
                <w:sz w:val="20"/>
                <w:szCs w:val="20"/>
                <w:color w:val="auto"/>
              </w:rPr>
            </w:pPr>
          </w:p>
        </w:tc>
        <w:tc>
          <w:tcPr>
            <w:tcW w:w="24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112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Notional</w:t>
            </w:r>
          </w:p>
        </w:tc>
        <w:tc>
          <w:tcPr>
            <w:tcW w:w="26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10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6"/>
              </w:rPr>
              <w:t>Fair</w:t>
            </w:r>
          </w:p>
        </w:tc>
      </w:tr>
      <w:tr>
        <w:trPr>
          <w:trHeight w:val="241"/>
        </w:trPr>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8" w:orient="portrait"/>
          <w:cols w:equalWidth="0" w:num="1">
            <w:col w:w="11240"/>
          </w:cols>
          <w:pgMar w:left="320" w:top="121" w:right="33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flow swaps related to state and municipal securities</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123,760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1,643</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Cash flow swaps related to state and municipal securities</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581"/>
        </w:trPr>
        <w:tc>
          <w:tcPr>
            <w:tcW w:w="4920" w:type="dxa"/>
            <w:vAlign w:val="bottom"/>
          </w:tcPr>
          <w:p>
            <w:pPr>
              <w:spacing w:after="0"/>
              <w:rPr>
                <w:sz w:val="24"/>
                <w:szCs w:val="24"/>
                <w:color w:val="auto"/>
              </w:rPr>
            </w:pPr>
          </w:p>
        </w:tc>
        <w:tc>
          <w:tcPr>
            <w:tcW w:w="1380" w:type="dxa"/>
            <w:vAlign w:val="bottom"/>
          </w:tcPr>
          <w:p>
            <w:pPr>
              <w:jc w:val="right"/>
              <w:ind w:right="516"/>
              <w:spacing w:after="0"/>
              <w:rPr>
                <w:sz w:val="20"/>
                <w:szCs w:val="20"/>
                <w:color w:val="auto"/>
              </w:rPr>
            </w:pPr>
            <w:r>
              <w:rPr>
                <w:rFonts w:ascii="Arial" w:cs="Arial" w:eastAsia="Arial" w:hAnsi="Arial"/>
                <w:sz w:val="14"/>
                <w:szCs w:val="14"/>
                <w:color w:val="auto"/>
              </w:rPr>
              <w:t>21</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Mortgage banking derivatives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reflects the amount and fair value of mortgage banking derivatives in the consolidated balance sheets: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 2020</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245,000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6,700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52,875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Total included in other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245,000</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52,875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Total included in other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210,724</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58,948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EARNINGS PER SHARE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factors used in the earnings per share computation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4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3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30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16,731</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w:t>
            </w: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18,059,174</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17,985,429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18,054,678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16,417,116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awards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196,987</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377,604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269,044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160,606</w:t>
            </w:r>
          </w:p>
        </w:tc>
      </w:tr>
      <w:tr>
        <w:trPr>
          <w:trHeight w:val="27"/>
        </w:trPr>
        <w:tc>
          <w:tcPr>
            <w:tcW w:w="30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18,256,161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18,363,033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18,323,722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16,577,722</w:t>
            </w:r>
          </w:p>
        </w:tc>
      </w:tr>
      <w:tr>
        <w:trPr>
          <w:trHeight w:val="20"/>
        </w:trPr>
        <w:tc>
          <w:tcPr>
            <w:tcW w:w="3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0.93</w:t>
            </w:r>
          </w:p>
        </w:tc>
        <w:tc>
          <w:tcPr>
            <w:tcW w:w="40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496"/>
        </w:trPr>
        <w:tc>
          <w:tcPr>
            <w:tcW w:w="5980" w:type="dxa"/>
            <w:vAlign w:val="bottom"/>
            <w:gridSpan w:val="2"/>
          </w:tcPr>
          <w:p>
            <w:pPr>
              <w:spacing w:after="0"/>
              <w:rPr>
                <w:sz w:val="20"/>
                <w:szCs w:val="20"/>
                <w:color w:val="auto"/>
              </w:rPr>
            </w:pPr>
            <w:r>
              <w:rPr>
                <w:rFonts w:ascii="Arial" w:cs="Arial" w:eastAsia="Arial" w:hAnsi="Arial"/>
                <w:sz w:val="22"/>
                <w:szCs w:val="22"/>
                <w:b w:val="1"/>
                <w:bCs w:val="1"/>
                <w:color w:val="auto"/>
              </w:rPr>
              <w:t>11. SEGMENT INFORMATION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980" w:type="dxa"/>
            <w:vAlign w:val="bottom"/>
            <w:gridSpan w:val="2"/>
          </w:tcPr>
          <w:p>
            <w:pPr>
              <w:spacing w:after="0"/>
              <w:rPr>
                <w:sz w:val="20"/>
                <w:szCs w:val="20"/>
                <w:color w:val="auto"/>
              </w:rPr>
            </w:pPr>
            <w:r>
              <w:rPr>
                <w:rFonts w:ascii="Arial" w:cs="Arial" w:eastAsia="Arial" w:hAnsi="Arial"/>
                <w:sz w:val="22"/>
                <w:szCs w:val="22"/>
                <w:color w:val="auto"/>
              </w:rPr>
              <w:t>Financial results by reportable segment are detailed below:</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5980" w:type="dxa"/>
            <w:vAlign w:val="bottom"/>
            <w:gridSpan w:val="2"/>
          </w:tcPr>
          <w:p>
            <w:pPr>
              <w:spacing w:after="0"/>
              <w:rPr>
                <w:sz w:val="20"/>
                <w:szCs w:val="20"/>
                <w:color w:val="auto"/>
              </w:rPr>
            </w:pPr>
            <w:r>
              <w:rPr>
                <w:rFonts w:ascii="Arial" w:cs="Arial" w:eastAsia="Arial" w:hAnsi="Arial"/>
                <w:sz w:val="18"/>
                <w:szCs w:val="18"/>
                <w:color w:val="auto"/>
              </w:rPr>
              <w:t>Three Months Ended September 30, 2020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Insurance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r>
      <w:tr>
        <w:trPr>
          <w:trHeight w:val="28"/>
        </w:trPr>
        <w:tc>
          <w:tcPr>
            <w:tcW w:w="3020" w:type="dxa"/>
            <w:vAlign w:val="bottom"/>
            <w:tcBorders>
              <w:top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31,273</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(6,062)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(6,062)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31,660</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(33,984)</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(35,993)</w:t>
            </w:r>
          </w:p>
        </w:tc>
      </w:tr>
      <w:tr>
        <w:trPr>
          <w:trHeight w:val="216"/>
        </w:trPr>
        <w:tc>
          <w:tcPr>
            <w:tcW w:w="3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19,620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20,878</w:t>
            </w:r>
          </w:p>
        </w:tc>
      </w:tr>
      <w:tr>
        <w:trPr>
          <w:trHeight w:val="216"/>
        </w:trPr>
        <w:tc>
          <w:tcPr>
            <w:tcW w:w="3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(3,891)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(4,147)</w:t>
            </w:r>
          </w:p>
        </w:tc>
      </w:tr>
      <w:tr>
        <w:trPr>
          <w:trHeight w:val="216"/>
        </w:trPr>
        <w:tc>
          <w:tcPr>
            <w:tcW w:w="3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15,729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16,731</w:t>
            </w:r>
          </w:p>
        </w:tc>
      </w:tr>
      <w:tr>
        <w:trPr>
          <w:trHeight w:val="21"/>
        </w:trPr>
        <w:tc>
          <w:tcPr>
            <w:tcW w:w="3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980" w:type="dxa"/>
            <w:vAlign w:val="bottom"/>
            <w:gridSpan w:val="2"/>
          </w:tcPr>
          <w:p>
            <w:pPr>
              <w:spacing w:after="0"/>
              <w:rPr>
                <w:sz w:val="20"/>
                <w:szCs w:val="20"/>
                <w:color w:val="auto"/>
              </w:rPr>
            </w:pPr>
            <w:r>
              <w:rPr>
                <w:rFonts w:ascii="Arial" w:cs="Arial" w:eastAsia="Arial" w:hAnsi="Arial"/>
                <w:sz w:val="18"/>
                <w:szCs w:val="18"/>
                <w:color w:val="auto"/>
              </w:rPr>
              <w:t>Three Months Ended September 30, 2019</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Insurance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r>
      <w:tr>
        <w:trPr>
          <w:trHeight w:val="28"/>
        </w:trPr>
        <w:tc>
          <w:tcPr>
            <w:tcW w:w="3020" w:type="dxa"/>
            <w:vAlign w:val="bottom"/>
            <w:tcBorders>
              <w:top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14,115</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(29,109)</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(919)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(30,028)</w:t>
            </w:r>
          </w:p>
        </w:tc>
      </w:tr>
      <w:tr>
        <w:trPr>
          <w:trHeight w:val="216"/>
        </w:trPr>
        <w:tc>
          <w:tcPr>
            <w:tcW w:w="3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10,235</w:t>
            </w:r>
          </w:p>
        </w:tc>
      </w:tr>
      <w:tr>
        <w:trPr>
          <w:trHeight w:val="216"/>
        </w:trPr>
        <w:tc>
          <w:tcPr>
            <w:tcW w:w="3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(1,977)</w:t>
            </w:r>
          </w:p>
        </w:tc>
      </w:tr>
      <w:tr>
        <w:trPr>
          <w:trHeight w:val="216"/>
        </w:trPr>
        <w:tc>
          <w:tcPr>
            <w:tcW w:w="3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8,142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8,258</w:t>
            </w:r>
          </w:p>
        </w:tc>
      </w:tr>
      <w:tr>
        <w:trPr>
          <w:trHeight w:val="21"/>
        </w:trPr>
        <w:tc>
          <w:tcPr>
            <w:tcW w:w="3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598"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98"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Financial results by reportable segment are detailed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Nine Months Ended September 30, 2020</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2940" w:type="dxa"/>
            <w:vAlign w:val="bottom"/>
            <w:tcBorders>
              <w:top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(25,429)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(25,429)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75,431</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(100,876)</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(4,335)</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(105,211)</w:t>
            </w:r>
          </w:p>
        </w:tc>
      </w:tr>
      <w:tr>
        <w:trPr>
          <w:trHeight w:val="216"/>
        </w:trPr>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35,665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1,046</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36,711</w:t>
            </w:r>
          </w:p>
        </w:tc>
      </w:tr>
      <w:tr>
        <w:trPr>
          <w:trHeight w:val="216"/>
        </w:trPr>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(7,008)</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(7,282)</w:t>
            </w:r>
          </w:p>
        </w:tc>
      </w:tr>
      <w:tr>
        <w:trPr>
          <w:trHeight w:val="216"/>
        </w:trPr>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28,657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29,429</w:t>
            </w:r>
          </w:p>
        </w:tc>
      </w:tr>
      <w:tr>
        <w:trPr>
          <w:trHeight w:val="21"/>
        </w:trPr>
        <w:tc>
          <w:tcPr>
            <w:tcW w:w="2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Nine Months Ended September 30, 2019</w:t>
            </w: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8"/>
        </w:trPr>
        <w:tc>
          <w:tcPr>
            <w:tcW w:w="2940" w:type="dxa"/>
            <w:vAlign w:val="bottom"/>
            <w:tcBorders>
              <w:top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(1,903)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(1,903)</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39,893</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(87,279)</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(2,715)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(89,994)</w:t>
            </w:r>
          </w:p>
        </w:tc>
      </w:tr>
      <w:tr>
        <w:trPr>
          <w:trHeight w:val="216"/>
        </w:trPr>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23,947</w:t>
            </w:r>
          </w:p>
        </w:tc>
      </w:tr>
      <w:tr>
        <w:trPr>
          <w:trHeight w:val="216"/>
        </w:trPr>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(4,674)</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(4,836)</w:t>
            </w:r>
          </w:p>
        </w:tc>
      </w:tr>
      <w:tr>
        <w:trPr>
          <w:trHeight w:val="216"/>
        </w:trPr>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18,076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19,111</w:t>
            </w:r>
          </w:p>
        </w:tc>
      </w:tr>
      <w:tr>
        <w:trPr>
          <w:trHeight w:val="21"/>
        </w:trPr>
        <w:tc>
          <w:tcPr>
            <w:tcW w:w="2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FAIR VALUE DISCLOSURES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220" w:lineRule="exact"/>
        <w:rPr>
          <w:sz w:val="20"/>
          <w:szCs w:val="20"/>
          <w:color w:val="auto"/>
        </w:rPr>
      </w:pPr>
    </w:p>
    <w:p>
      <w:pPr>
        <w:ind w:left="660" w:hanging="328"/>
        <w:spacing w:after="0" w:line="232"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 w:lineRule="exact"/>
        <w:rPr>
          <w:rFonts w:ascii="Arial" w:cs="Arial" w:eastAsia="Arial" w:hAnsi="Arial"/>
          <w:sz w:val="22"/>
          <w:szCs w:val="22"/>
          <w:color w:val="auto"/>
        </w:rPr>
      </w:pPr>
    </w:p>
    <w:p>
      <w:pPr>
        <w:jc w:val="both"/>
        <w:ind w:left="660" w:hanging="328"/>
        <w:spacing w:after="0" w:line="269"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ind w:left="660" w:hanging="328"/>
        <w:spacing w:after="0" w:line="225"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an entity’s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assets or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fair value measurements: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6"/>
        </w:trPr>
        <w:tc>
          <w:tcPr>
            <w:tcW w:w="14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8"/>
              </w:rPr>
              <w:t>September 30, 2020</w:t>
            </w:r>
          </w:p>
        </w:tc>
        <w:tc>
          <w:tcPr>
            <w:tcW w:w="45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3"/>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5,878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243,952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249,830</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325,005</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Collateralized mortgage obligations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106,777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106,777</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34,927</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5,005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5,005</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60,478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60,478</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6,562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6,562</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Liability derivatives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(3,677)</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11,582</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16,029</w:t>
            </w: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2019</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94,692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94,692</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464,516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464,516</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Collateralized mortgage obligations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107,289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107,289</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36,346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36,346</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32,809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32,809</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2,054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Liability derivatives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1,883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16,226</w:t>
            </w: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Securities</w:t>
      </w:r>
      <w:r>
        <w:rPr>
          <w:rFonts w:ascii="Arial" w:cs="Arial" w:eastAsia="Arial" w:hAnsi="Arial"/>
          <w:sz w:val="22"/>
          <w:szCs w:val="22"/>
          <w:color w:val="auto"/>
        </w:rPr>
        <w:t xml:space="preserve"> – Securities are carried at fair value. When available, fair value is based on quoted prices for the identical security in an active market and as such, would be classified as Level 1. If quoted market prices are not available, fair values are calculated based on market prices of similar securities using matrix pricing. Matrix pricing is a mathematical technique commonly used to price debt securities that are not actively traded. Securities for which Level 1 valuations are not available are classified as Level 2.</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u w:val="single" w:color="auto"/>
          <w:color w:val="auto"/>
        </w:rPr>
        <w:t>Loans held for sale (mandatory)</w:t>
      </w:r>
      <w:r>
        <w:rPr>
          <w:rFonts w:ascii="Arial" w:cs="Arial" w:eastAsia="Arial" w:hAnsi="Arial"/>
          <w:sz w:val="22"/>
          <w:szCs w:val="22"/>
          <w:color w:val="auto"/>
        </w:rPr>
        <w:t xml:space="preserve"> – Loans held for sale originated for mandatory delivery are reported at fair value. Fair value is determined using quoted prices for similar assets, adjusted for specific attributes of that loan.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Mortgage servicing rights</w:t>
      </w:r>
      <w:r>
        <w:rPr>
          <w:rFonts w:ascii="Arial" w:cs="Arial" w:eastAsia="Arial" w:hAnsi="Arial"/>
          <w:sz w:val="22"/>
          <w:szCs w:val="22"/>
          <w:color w:val="auto"/>
        </w:rPr>
        <w:t xml:space="preserve"> – Mortgage servicing rights are reported at fair value. Fair value is based on market prices for comparable mortgage servicing contracts.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Derivatives</w:t>
      </w:r>
      <w:r>
        <w:rPr>
          <w:rFonts w:ascii="Arial" w:cs="Arial" w:eastAsia="Arial" w:hAnsi="Arial"/>
          <w:sz w:val="19"/>
          <w:szCs w:val="19"/>
          <w:color w:val="auto"/>
        </w:rPr>
        <w:t xml:space="preserve"> – Fair value of derivatives is based on valuation models using observable market data as of the measurement date.</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Impaired loans</w:t>
      </w:r>
      <w:r>
        <w:rPr>
          <w:rFonts w:ascii="Arial" w:cs="Arial" w:eastAsia="Arial" w:hAnsi="Arial"/>
          <w:sz w:val="22"/>
          <w:szCs w:val="22"/>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Foreclosed assets</w:t>
      </w:r>
      <w:r>
        <w:rPr>
          <w:rFonts w:ascii="Arial" w:cs="Arial" w:eastAsia="Arial" w:hAnsi="Arial"/>
          <w:sz w:val="22"/>
          <w:szCs w:val="22"/>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Loans held for sale (best efforts)</w:t>
      </w:r>
      <w:r>
        <w:rPr>
          <w:rFonts w:ascii="Arial" w:cs="Arial" w:eastAsia="Arial" w:hAnsi="Arial"/>
          <w:sz w:val="22"/>
          <w:szCs w:val="22"/>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quantitative information about non-recurring Level 3 fair value measurements: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2800" w:type="dxa"/>
            <w:vAlign w:val="bottom"/>
          </w:tcPr>
          <w:p>
            <w:pPr>
              <w:ind w:left="1020"/>
              <w:spacing w:after="0"/>
              <w:rPr>
                <w:sz w:val="20"/>
                <w:szCs w:val="20"/>
                <w:color w:val="auto"/>
              </w:rPr>
            </w:pPr>
            <w:r>
              <w:rPr>
                <w:rFonts w:ascii="Arial" w:cs="Arial" w:eastAsia="Arial" w:hAnsi="Arial"/>
                <w:sz w:val="18"/>
                <w:szCs w:val="18"/>
                <w:b w:val="1"/>
                <w:bCs w:val="1"/>
                <w:color w:val="auto"/>
              </w:rPr>
              <w:t>Valuation</w:t>
            </w: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Range of</w:t>
            </w:r>
          </w:p>
        </w:tc>
      </w:tr>
      <w:tr>
        <w:trPr>
          <w:trHeight w:val="241"/>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2800" w:type="dxa"/>
            <w:vAlign w:val="bottom"/>
          </w:tcPr>
          <w:p>
            <w:pPr>
              <w:ind w:left="960"/>
              <w:spacing w:after="0"/>
              <w:rPr>
                <w:sz w:val="20"/>
                <w:szCs w:val="20"/>
                <w:color w:val="auto"/>
              </w:rPr>
            </w:pPr>
            <w:r>
              <w:rPr>
                <w:rFonts w:ascii="Arial" w:cs="Arial" w:eastAsia="Arial" w:hAnsi="Arial"/>
                <w:sz w:val="18"/>
                <w:szCs w:val="18"/>
                <w:b w:val="1"/>
                <w:bCs w:val="1"/>
                <w:color w:val="auto"/>
              </w:rPr>
              <w:t>Techniques</w:t>
            </w:r>
          </w:p>
        </w:tc>
        <w:tc>
          <w:tcPr>
            <w:tcW w:w="10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Discounts</w:t>
            </w:r>
          </w:p>
        </w:tc>
      </w:tr>
      <w:tr>
        <w:trPr>
          <w:trHeight w:val="176"/>
        </w:trPr>
        <w:tc>
          <w:tcPr>
            <w:tcW w:w="2920" w:type="dxa"/>
            <w:vAlign w:val="bottom"/>
            <w:gridSpan w:val="3"/>
          </w:tcPr>
          <w:p>
            <w:pPr>
              <w:spacing w:after="0" w:line="176" w:lineRule="exact"/>
              <w:rPr>
                <w:sz w:val="20"/>
                <w:szCs w:val="20"/>
                <w:color w:val="auto"/>
              </w:rPr>
            </w:pPr>
            <w:r>
              <w:rPr>
                <w:rFonts w:ascii="Arial" w:cs="Arial" w:eastAsia="Arial" w:hAnsi="Arial"/>
                <w:sz w:val="18"/>
                <w:szCs w:val="18"/>
                <w:color w:val="auto"/>
              </w:rPr>
              <w:t>September 30, 2020</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11,582</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2800" w:type="dxa"/>
            <w:vAlign w:val="bottom"/>
          </w:tcPr>
          <w:p>
            <w:pPr>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29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c>
          <w:tcPr>
            <w:tcW w:w="2800" w:type="dxa"/>
            <w:vAlign w:val="bottom"/>
          </w:tcPr>
          <w:p>
            <w:pPr>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estimated fair values, and related carrying amounts, of the Company’s financial instruments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September 30, 2020</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290,885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290,885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290,885</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2,242,158</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2,246,631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2,246,631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13,632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13,632</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70,401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70,401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70,401</w:t>
            </w: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2,943,802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2,674,130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2,948,898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1,654</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1,654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75,546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75,546</w:t>
            </w:r>
          </w:p>
        </w:tc>
      </w:tr>
      <w:tr>
        <w:trPr>
          <w:trHeight w:val="441"/>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December 31, 2019</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158,099</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2,119,426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2,123,289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2,123,289</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69,397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69,397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69,397</w:t>
            </w: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2,696,857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2,354,999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2,701,193</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2,283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2,283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2,283</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26,472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BUSINESS COMBINATIONS</w:t>
      </w:r>
    </w:p>
    <w:p>
      <w:pPr>
        <w:spacing w:after="0" w:line="239"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In June 2020, Windmark acquired the operating assets of a crop insurance agency in Nebraska for $687,000. Fair value of the assets acquired in this transaction as of the closing date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Customer list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39"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39"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 Company is still evaluating the fair values of other assets and other liabilities, additional adjustments may be recorded during the measurement period, but no later than one year from the closing date of the transaction. The Company will reflect measurement period adjustments, if any, in the period in which the adjustments are recognized, which may result in further adjustments to the values presented in the above table. The Company expects to finalize these values by June 30, 2021.</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West Texas State Bank</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November 2019, the Company completed its acquisition of West Texas State Bank (“WTSB”). This transaction resulted in six additional branches. The Company paid the shareholders of WTSB $76.1 million in cash for all outstanding stock of WTSB and resulted in a 100% ownership interest.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recognized total goodwill of $19.3 million, which is calculated as the excess of both the consideration exchanged and liabilities assumed compared to the fair market value of identifiable assets acquired. None of the goodwill recognized is expected to be deductible for income tax purposes.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Company incurred expenses related to the acquisition of approximately $955,000 for the year ended December 31, 2019, which are included in noninterest expense in the consolidated statements of comprehensive income.</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Non-credit impaired loans had a fair value of $196.2 million at the acquisition date and contractual balance of $198.4 million. As of the acquisition date, the Company expects that an insignificant amount of the contractual balance of these loans will be uncollectible. The difference of $2.2 million is being recognized into interest income as an adjustment to yield over the life of the loans. Purchased credit impaired loans were insignificant.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Fair values of the assets acquired and liabilities assumed in this transaction as of the closing date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77,903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time deposits in banks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Federal funds purchased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26,468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195,228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Core deposit intangible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446,202</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Liabilities assumed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386,176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389,417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1002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56,785</w:t>
            </w:r>
          </w:p>
        </w:tc>
        <w:tc>
          <w:tcPr>
            <w:tcW w:w="100" w:type="dxa"/>
            <w:vAlign w:val="bottom"/>
          </w:tcPr>
          <w:p>
            <w:pPr>
              <w:spacing w:after="0"/>
              <w:rPr>
                <w:sz w:val="18"/>
                <w:szCs w:val="18"/>
                <w:color w:val="auto"/>
              </w:rPr>
            </w:pP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recorded in acquisition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the first nine months of 2020, the Company made measurement period adjustments to reflect facts and circumstances in existence as of the closing date of the acquisition. These adjustments primarily included a $751,000 increase in goodwill, a $900,000 decrease in loans, and a $160,000 decrease in other liabilities. The amount of income recorded in current period earnings that would have been recorded in the previous reporting period had the adjustment been recognized as of the acquisition date is not significant. The Company is still evaluating the fair values of other assets and other liabilities, additional adjustments may be recorded during the measurement period, but no later than one year from the closing date of the transaction. The Company will reflect measurement period adjustments, if any, in the period in which the adjustments are recognized, which may result in further adjustments to the values presented in the above table. The Company expects to finalize these values by the year ended December 31,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The following discussion and analysis is intended to assist readers in understanding our financial condition as of and results of operations for the period covered by this Quarterly Report on Form 10-Q for the quarter ended September 30, 2020 (this “Form 10-Q”) and should be read in conjunction with our consolidated financial statements and the accompanying notes thereto included in this Form 10-Q and in our Annual Report on Form 10-K for the year ended December 31, 2019 (the “2019 Annual Report on Form 10-K”) filed with the Securities and Exchange Commission (the “SEC”) on March 25, 2020.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b w:val="1"/>
          <w:bCs w:val="1"/>
          <w:color w:val="auto"/>
        </w:rPr>
        <w:t>autionary Notice Regarding Forward-Looking Statements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3"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There are or will be important factors that could cause our actual results to differ materially from those indicated in these forward-looking statements, including, but not limited to, the following:</w:t>
      </w:r>
    </w:p>
    <w:p>
      <w:pPr>
        <w:spacing w:after="0" w:line="18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ongoing COVID-19 pandemic and its uncertain economic impact on the Company’s customers and communities;</w:t>
      </w:r>
    </w:p>
    <w:p>
      <w:pPr>
        <w:spacing w:after="0" w:line="28" w:lineRule="exact"/>
        <w:rPr>
          <w:rFonts w:ascii="Arial" w:cs="Arial" w:eastAsia="Arial" w:hAnsi="Arial"/>
          <w:sz w:val="22"/>
          <w:szCs w:val="22"/>
          <w:color w:val="auto"/>
        </w:rPr>
      </w:pPr>
    </w:p>
    <w:p>
      <w:pPr>
        <w:ind w:left="980" w:hanging="324"/>
        <w:spacing w:after="0" w:line="224"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spacing w:after="0" w:line="1" w:lineRule="exact"/>
        <w:rPr>
          <w:rFonts w:ascii="Arial" w:cs="Arial" w:eastAsia="Arial" w:hAnsi="Arial"/>
          <w:sz w:val="22"/>
          <w:szCs w:val="22"/>
          <w:color w:val="auto"/>
        </w:rPr>
      </w:pPr>
    </w:p>
    <w:p>
      <w:pPr>
        <w:ind w:left="980" w:hanging="324"/>
        <w:spacing w:after="0" w:line="225"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ind w:left="980" w:hanging="324"/>
        <w:spacing w:after="0" w:line="204"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high concentrations of loans secured by real estate located in our market areas;</w:t>
      </w:r>
    </w:p>
    <w:p>
      <w:pPr>
        <w:spacing w:after="0" w:line="29" w:lineRule="exact"/>
        <w:rPr>
          <w:rFonts w:ascii="Arial" w:cs="Arial" w:eastAsia="Arial" w:hAnsi="Arial"/>
          <w:sz w:val="22"/>
          <w:szCs w:val="22"/>
          <w:color w:val="auto"/>
        </w:rPr>
      </w:pPr>
    </w:p>
    <w:p>
      <w:pPr>
        <w:ind w:left="980" w:right="20" w:hanging="324"/>
        <w:spacing w:after="0" w:line="224"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our commercial loan portfolio, including the uncertain economic consequences of the ongoing COVID-19 pandemic or any deterioration in value of the general business assets that secure such loans;</w:t>
      </w:r>
    </w:p>
    <w:p>
      <w:pPr>
        <w:spacing w:after="0" w:line="1" w:lineRule="exact"/>
        <w:rPr>
          <w:rFonts w:ascii="Arial" w:cs="Arial" w:eastAsia="Arial" w:hAnsi="Arial"/>
          <w:sz w:val="22"/>
          <w:szCs w:val="22"/>
          <w:color w:val="auto"/>
        </w:rPr>
      </w:pPr>
    </w:p>
    <w:p>
      <w:pPr>
        <w:ind w:left="980" w:hanging="324"/>
        <w:spacing w:after="0" w:line="214" w:lineRule="auto"/>
        <w:tabs>
          <w:tab w:leader="none" w:pos="980" w:val="left"/>
        </w:tabs>
        <w:numPr>
          <w:ilvl w:val="0"/>
          <w:numId w:val="4"/>
        </w:numPr>
        <w:rPr>
          <w:rFonts w:ascii="Arial" w:cs="Arial" w:eastAsia="Arial" w:hAnsi="Arial"/>
          <w:sz w:val="21"/>
          <w:szCs w:val="21"/>
          <w:color w:val="auto"/>
        </w:rPr>
      </w:pPr>
      <w:r>
        <w:rPr>
          <w:rFonts w:ascii="Arial" w:cs="Arial" w:eastAsia="Arial" w:hAnsi="Arial"/>
          <w:sz w:val="17"/>
          <w:szCs w:val="17"/>
          <w:color w:val="auto"/>
        </w:rPr>
        <w:t>potential changes in the prices, values and sales volumes of commercial and residential real estate securing our real estate loans;</w:t>
      </w:r>
    </w:p>
    <w:p>
      <w:pPr>
        <w:spacing w:after="0" w:line="29" w:lineRule="exact"/>
        <w:rPr>
          <w:rFonts w:ascii="Arial" w:cs="Arial" w:eastAsia="Arial" w:hAnsi="Arial"/>
          <w:sz w:val="21"/>
          <w:szCs w:val="21"/>
          <w:color w:val="auto"/>
        </w:rPr>
      </w:pPr>
    </w:p>
    <w:p>
      <w:pPr>
        <w:ind w:left="980" w:right="20" w:hanging="324"/>
        <w:spacing w:after="0" w:line="224"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1" w:lineRule="exact"/>
        <w:rPr>
          <w:rFonts w:ascii="Arial" w:cs="Arial" w:eastAsia="Arial" w:hAnsi="Arial"/>
          <w:sz w:val="22"/>
          <w:szCs w:val="22"/>
          <w:color w:val="auto"/>
        </w:rPr>
      </w:pPr>
    </w:p>
    <w:p>
      <w:pPr>
        <w:ind w:left="980" w:hanging="324"/>
        <w:spacing w:after="0" w:line="225"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ind w:left="980" w:hanging="324"/>
        <w:spacing w:after="0" w:line="214" w:lineRule="auto"/>
        <w:tabs>
          <w:tab w:leader="none" w:pos="980" w:val="left"/>
        </w:tabs>
        <w:numPr>
          <w:ilvl w:val="0"/>
          <w:numId w:val="4"/>
        </w:numPr>
        <w:rPr>
          <w:rFonts w:ascii="Arial" w:cs="Arial" w:eastAsia="Arial" w:hAnsi="Arial"/>
          <w:sz w:val="21"/>
          <w:szCs w:val="21"/>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9" w:lineRule="exact"/>
        <w:rPr>
          <w:rFonts w:ascii="Arial" w:cs="Arial" w:eastAsia="Arial" w:hAnsi="Arial"/>
          <w:sz w:val="21"/>
          <w:szCs w:val="21"/>
          <w:color w:val="auto"/>
        </w:rPr>
      </w:pPr>
    </w:p>
    <w:p>
      <w:pPr>
        <w:ind w:left="980" w:hanging="324"/>
        <w:spacing w:after="0" w:line="203"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public funds deposits comprising a relatively high percentage of our deposits;</w:t>
      </w:r>
    </w:p>
    <w:p>
      <w:pPr>
        <w:spacing w:after="0" w:line="29" w:lineRule="exact"/>
        <w:rPr>
          <w:rFonts w:ascii="Arial" w:cs="Arial" w:eastAsia="Arial" w:hAnsi="Arial"/>
          <w:sz w:val="22"/>
          <w:szCs w:val="22"/>
          <w:color w:val="auto"/>
        </w:rPr>
      </w:pPr>
    </w:p>
    <w:p>
      <w:pPr>
        <w:ind w:left="980" w:hanging="324"/>
        <w:spacing w:after="0" w:line="203"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29" w:lineRule="exact"/>
        <w:rPr>
          <w:rFonts w:ascii="Arial" w:cs="Arial" w:eastAsia="Arial" w:hAnsi="Arial"/>
          <w:sz w:val="22"/>
          <w:szCs w:val="22"/>
          <w:color w:val="auto"/>
        </w:rPr>
      </w:pPr>
    </w:p>
    <w:p>
      <w:pPr>
        <w:ind w:left="980" w:hanging="324"/>
        <w:spacing w:after="0" w:line="203"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maintain our reputation;</w:t>
      </w:r>
    </w:p>
    <w:p>
      <w:pPr>
        <w:spacing w:after="0" w:line="29" w:lineRule="exact"/>
        <w:rPr>
          <w:rFonts w:ascii="Arial" w:cs="Arial" w:eastAsia="Arial" w:hAnsi="Arial"/>
          <w:sz w:val="22"/>
          <w:szCs w:val="22"/>
          <w:color w:val="auto"/>
        </w:rPr>
      </w:pPr>
    </w:p>
    <w:p>
      <w:pPr>
        <w:ind w:left="980" w:hanging="324"/>
        <w:spacing w:after="0" w:line="203"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successfully manage our credit risk and the sufficiency of our allowance for loan losses;</w:t>
      </w:r>
    </w:p>
    <w:p>
      <w:pPr>
        <w:spacing w:after="0" w:line="29" w:lineRule="exact"/>
        <w:rPr>
          <w:rFonts w:ascii="Arial" w:cs="Arial" w:eastAsia="Arial" w:hAnsi="Arial"/>
          <w:sz w:val="22"/>
          <w:szCs w:val="22"/>
          <w:color w:val="auto"/>
        </w:rPr>
      </w:pPr>
    </w:p>
    <w:p>
      <w:pPr>
        <w:ind w:left="980" w:hanging="324"/>
        <w:spacing w:after="0" w:line="203"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attract, hire and retain qualified management personnel;</w:t>
      </w:r>
    </w:p>
    <w:p>
      <w:pPr>
        <w:spacing w:after="0" w:line="29" w:lineRule="exact"/>
        <w:rPr>
          <w:rFonts w:ascii="Arial" w:cs="Arial" w:eastAsia="Arial" w:hAnsi="Arial"/>
          <w:sz w:val="22"/>
          <w:szCs w:val="22"/>
          <w:color w:val="auto"/>
        </w:rPr>
      </w:pPr>
    </w:p>
    <w:p>
      <w:pPr>
        <w:ind w:left="980" w:right="20" w:hanging="324"/>
        <w:spacing w:after="0" w:line="224"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1" w:lineRule="exact"/>
        <w:rPr>
          <w:rFonts w:ascii="Arial" w:cs="Arial" w:eastAsia="Arial" w:hAnsi="Arial"/>
          <w:sz w:val="22"/>
          <w:szCs w:val="22"/>
          <w:color w:val="auto"/>
        </w:rPr>
      </w:pPr>
    </w:p>
    <w:p>
      <w:pPr>
        <w:ind w:left="980" w:hanging="324"/>
        <w:spacing w:after="0" w:line="204"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interest rate fluctuations, which could have an adverse effect on our profitability;</w:t>
      </w:r>
    </w:p>
    <w:p>
      <w:pPr>
        <w:spacing w:after="0" w:line="29" w:lineRule="exact"/>
        <w:rPr>
          <w:rFonts w:ascii="Arial" w:cs="Arial" w:eastAsia="Arial" w:hAnsi="Arial"/>
          <w:sz w:val="22"/>
          <w:szCs w:val="22"/>
          <w:color w:val="auto"/>
        </w:rPr>
      </w:pPr>
    </w:p>
    <w:p>
      <w:pPr>
        <w:ind w:left="980" w:hanging="324"/>
        <w:spacing w:after="0" w:line="203"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competition from banks, credit unions and other financial services providers;</w:t>
      </w:r>
    </w:p>
    <w:p>
      <w:pPr>
        <w:spacing w:after="0" w:line="29" w:lineRule="exact"/>
        <w:rPr>
          <w:rFonts w:ascii="Arial" w:cs="Arial" w:eastAsia="Arial" w:hAnsi="Arial"/>
          <w:sz w:val="22"/>
          <w:szCs w:val="22"/>
          <w:color w:val="auto"/>
        </w:rPr>
      </w:pPr>
    </w:p>
    <w:p>
      <w:pPr>
        <w:ind w:left="980" w:hanging="324"/>
        <w:spacing w:after="0" w:line="203"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keep pace with technological change or difficulties we may experience when implementing new technologies;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4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system failures, service denials, cyber-attacks and security breaches;</w:t>
      </w:r>
    </w:p>
    <w:p>
      <w:pPr>
        <w:spacing w:after="0" w:line="28" w:lineRule="exact"/>
        <w:rPr>
          <w:rFonts w:ascii="Arial" w:cs="Arial" w:eastAsia="Arial" w:hAnsi="Arial"/>
          <w:sz w:val="22"/>
          <w:szCs w:val="22"/>
          <w:color w:val="auto"/>
        </w:rPr>
      </w:pPr>
    </w:p>
    <w:p>
      <w:pPr>
        <w:ind w:left="980" w:hanging="324"/>
        <w:spacing w:after="0" w:line="203"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maintain effective internal control over financial reporting;</w:t>
      </w:r>
    </w:p>
    <w:p>
      <w:pPr>
        <w:spacing w:after="0" w:line="29" w:lineRule="exact"/>
        <w:rPr>
          <w:rFonts w:ascii="Arial" w:cs="Arial" w:eastAsia="Arial" w:hAnsi="Arial"/>
          <w:sz w:val="22"/>
          <w:szCs w:val="22"/>
          <w:color w:val="auto"/>
        </w:rPr>
      </w:pPr>
    </w:p>
    <w:p>
      <w:pPr>
        <w:ind w:left="980" w:hanging="324"/>
        <w:spacing w:after="0" w:line="224"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spacing w:after="0" w:line="1" w:lineRule="exact"/>
        <w:rPr>
          <w:rFonts w:ascii="Arial" w:cs="Arial" w:eastAsia="Arial" w:hAnsi="Arial"/>
          <w:sz w:val="22"/>
          <w:szCs w:val="22"/>
          <w:color w:val="auto"/>
        </w:rPr>
      </w:pPr>
    </w:p>
    <w:p>
      <w:pPr>
        <w:ind w:left="980" w:hanging="324"/>
        <w:spacing w:after="0" w:line="225"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25"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line="204"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29" w:lineRule="exact"/>
        <w:rPr>
          <w:rFonts w:ascii="Arial" w:cs="Arial" w:eastAsia="Arial" w:hAnsi="Arial"/>
          <w:sz w:val="22"/>
          <w:szCs w:val="22"/>
          <w:color w:val="auto"/>
        </w:rPr>
      </w:pPr>
    </w:p>
    <w:p>
      <w:pPr>
        <w:ind w:left="980" w:right="20" w:hanging="324"/>
        <w:spacing w:after="0" w:line="224"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natural disasters, severe weather, acts of god, acts of war or terrorism, outbreaks of hostilities, public health outbreaks (such as the ongoing COVID-19 pandemic), other international or domestic calamities, and other matters beyond our control;</w:t>
      </w:r>
    </w:p>
    <w:p>
      <w:pPr>
        <w:spacing w:after="0" w:line="1" w:lineRule="exact"/>
        <w:rPr>
          <w:rFonts w:ascii="Arial" w:cs="Arial" w:eastAsia="Arial" w:hAnsi="Arial"/>
          <w:sz w:val="22"/>
          <w:szCs w:val="22"/>
          <w:color w:val="auto"/>
        </w:rPr>
      </w:pPr>
    </w:p>
    <w:p>
      <w:pPr>
        <w:ind w:left="980" w:hanging="324"/>
        <w:spacing w:after="0" w:line="204"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tariffs and trade barriers;</w:t>
      </w:r>
    </w:p>
    <w:p>
      <w:pPr>
        <w:spacing w:after="0" w:line="29" w:lineRule="exact"/>
        <w:rPr>
          <w:rFonts w:ascii="Arial" w:cs="Arial" w:eastAsia="Arial" w:hAnsi="Arial"/>
          <w:sz w:val="22"/>
          <w:szCs w:val="22"/>
          <w:color w:val="auto"/>
        </w:rPr>
      </w:pPr>
    </w:p>
    <w:p>
      <w:pPr>
        <w:jc w:val="both"/>
        <w:ind w:left="98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compliance with governmental and regulatory requirements, including the Dodd-Frank Act Wall Street Reform and Consumer Protection Act, Economic Growth, Regulatory Relief, and Consumer Protection Act, and others relating to banking, consumer protection, securities and tax matters; and</w:t>
      </w:r>
    </w:p>
    <w:p>
      <w:pPr>
        <w:spacing w:after="0" w:line="1" w:lineRule="exact"/>
        <w:rPr>
          <w:rFonts w:ascii="Arial" w:cs="Arial" w:eastAsia="Arial" w:hAnsi="Arial"/>
          <w:sz w:val="22"/>
          <w:szCs w:val="22"/>
          <w:color w:val="auto"/>
        </w:rPr>
      </w:pPr>
    </w:p>
    <w:p>
      <w:pPr>
        <w:jc w:val="both"/>
        <w:ind w:left="980" w:hanging="324"/>
        <w:spacing w:after="0" w:line="233"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Trump administration.</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foregoing factors should not be construed as exhaustive and should be read together with the other cautionary statements included in this Form 10-Q and the risk factors set forth in our 2019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the Company cautions readers not to place undue reliance on any such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The Company maintains an Internet web site at </w:t>
      </w:r>
      <w:r>
        <w:rPr>
          <w:rFonts w:ascii="Arial" w:cs="Arial" w:eastAsia="Arial" w:hAnsi="Arial"/>
          <w:sz w:val="21"/>
          <w:szCs w:val="21"/>
          <w:i w:val="1"/>
          <w:iCs w:val="1"/>
          <w:u w:val="single" w:color="auto"/>
          <w:color w:val="auto"/>
        </w:rPr>
        <w:t>www.spfi.bank</w:t>
      </w:r>
      <w:r>
        <w:rPr>
          <w:rFonts w:ascii="Arial" w:cs="Arial" w:eastAsia="Arial" w:hAnsi="Arial"/>
          <w:sz w:val="21"/>
          <w:szCs w:val="21"/>
          <w:color w:val="auto"/>
        </w:rPr>
        <w:t xml:space="preserve">. The Company makes available, free of charge, on its web site (under </w:t>
      </w:r>
      <w:r>
        <w:rPr>
          <w:rFonts w:ascii="Arial" w:cs="Arial" w:eastAsia="Arial" w:hAnsi="Arial"/>
          <w:sz w:val="21"/>
          <w:szCs w:val="21"/>
          <w:i w:val="1"/>
          <w:iCs w:val="1"/>
          <w:u w:val="single" w:color="auto"/>
          <w:color w:val="auto"/>
        </w:rPr>
        <w:t>www.spfi.bank/financials-filings/sec-filings</w:t>
      </w:r>
      <w:r>
        <w:rPr>
          <w:rFonts w:ascii="Arial" w:cs="Arial" w:eastAsia="Arial" w:hAnsi="Arial"/>
          <w:sz w:val="21"/>
          <w:szCs w:val="21"/>
          <w:color w:val="auto"/>
        </w:rPr>
        <w:t xml:space="preserve"> )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Arial" w:cs="Arial" w:eastAsia="Arial" w:hAnsi="Arial"/>
          <w:sz w:val="21"/>
          <w:szCs w:val="21"/>
          <w:i w:val="1"/>
          <w:iCs w:val="1"/>
          <w:u w:val="single" w:color="auto"/>
          <w:color w:val="auto"/>
        </w:rPr>
        <w:t>www.spfi.bank/corporate-governance/documents-charters</w:t>
      </w:r>
      <w:r>
        <w:rPr>
          <w:rFonts w:ascii="Arial" w:cs="Arial" w:eastAsia="Arial" w:hAnsi="Arial"/>
          <w:sz w:val="21"/>
          <w:szCs w:val="21"/>
          <w:i w:val="1"/>
          <w:iCs w:val="1"/>
          <w:color w:val="auto"/>
        </w:rPr>
        <w:t xml:space="preserve"> </w:t>
      </w:r>
      <w:r>
        <w:rPr>
          <w:rFonts w:ascii="Arial" w:cs="Arial" w:eastAsia="Arial" w:hAnsi="Arial"/>
          <w:sz w:val="21"/>
          <w:szCs w:val="21"/>
          <w:color w:val="auto"/>
        </w:rPr>
        <w:t>) links to the Company’s Code of Conduct and the charters for its board committees. In addition, the SEC maintains 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Internet site (at </w:t>
      </w:r>
      <w:r>
        <w:rPr>
          <w:rFonts w:ascii="Arial" w:cs="Arial" w:eastAsia="Arial" w:hAnsi="Arial"/>
          <w:sz w:val="21"/>
          <w:szCs w:val="21"/>
          <w:i w:val="1"/>
          <w:iCs w:val="1"/>
          <w:u w:val="single" w:color="auto"/>
          <w:color w:val="auto"/>
        </w:rPr>
        <w:t>www.sec.gov</w:t>
      </w:r>
      <w:r>
        <w:rPr>
          <w:rFonts w:ascii="Arial" w:cs="Arial" w:eastAsia="Arial" w:hAnsi="Arial"/>
          <w:sz w:val="21"/>
          <w:szCs w:val="21"/>
          <w:color w:val="auto"/>
        </w:rPr>
        <w:t xml:space="preserve"> ) that contains reports, proxy and information statements, and other information regarding issuers that file electronically with the SEC.</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Company routinely posts important information for investors on its web site (under </w:t>
      </w:r>
      <w:r>
        <w:rPr>
          <w:rFonts w:ascii="Arial" w:cs="Arial" w:eastAsia="Arial" w:hAnsi="Arial"/>
          <w:sz w:val="21"/>
          <w:szCs w:val="21"/>
          <w:i w:val="1"/>
          <w:iCs w:val="1"/>
          <w:u w:val="single" w:color="auto"/>
          <w:color w:val="auto"/>
        </w:rPr>
        <w:t>www.spfi.bank</w:t>
      </w:r>
      <w:r>
        <w:rPr>
          <w:rFonts w:ascii="Arial" w:cs="Arial" w:eastAsia="Arial" w:hAnsi="Arial"/>
          <w:sz w:val="21"/>
          <w:szCs w:val="21"/>
          <w:color w:val="auto"/>
        </w:rPr>
        <w:t xml:space="preserve"> and, more specifically, under the News &amp; Events tab at </w:t>
      </w:r>
      <w:r>
        <w:rPr>
          <w:rFonts w:ascii="Arial" w:cs="Arial" w:eastAsia="Arial" w:hAnsi="Arial"/>
          <w:sz w:val="21"/>
          <w:szCs w:val="21"/>
          <w:i w:val="1"/>
          <w:iCs w:val="1"/>
          <w:u w:val="single" w:color="auto"/>
          <w:color w:val="auto"/>
        </w:rPr>
        <w:t>www.spfi.bank/news-events/press-releases</w:t>
      </w:r>
      <w:r>
        <w:rPr>
          <w:rFonts w:ascii="Arial" w:cs="Arial" w:eastAsia="Arial" w:hAnsi="Arial"/>
          <w:sz w:val="21"/>
          <w:szCs w:val="21"/>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contained on, or that may be accessed through, the Company’s web site is not incorporated by reference into, and is not a part of, this Form 10-Q.</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are a bank holding company headquartered in Lubbock, Texas, and our wholly-owned subsidiary, City Bank, is one of the largest independent banks in West Texas. We have additional banking operations in the Dallas, El Paso, Greater Houston, the Permian Basin, and College Station Texas markets, and the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COVID-19 Update</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spread of the novel coronavirus (“COVID-19”) continues to cause significant disruptions in the U.S. economy since it was declared a pandemic in March 2020 by the World Health Organization. The changes have impacted our clients and their industries, as well as the financial services industry. At this time, we cannot predict the extent of the impact or how long the economy or our impacted clients will be disrupted by the ongoing COVID-19 pandemic.</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Company’s Oversight Committee for Business Continuity and Incident Response, which has monitored the spread of COVID-19 since January, continues to monitor the impact of the ongoing COVID-19 pandemic, as well as employee and customer communications. The Company’s Pandemic Task Force continues to implement South Plains’ Business Continuity Plan, focusing on the safety of the Company’s employees and customers while maintaining the operational and financial integrity of the Bank. Non-essential employees were transitioned to a work-from-home environment, strict protocols for employees deemed essential were adopted to ensure adequate social distancing and all Bank facilities are receiving incremental cleaning and sanitization. The Company restricted access to the lobbies of the Bank’s branches and customers are currently served through appointments only, as well as through the Bank’s drive-through windows and recently upgraded digital platforms.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Bank also continues to utilize a rigorous enterprise risk management (“ERM”) system that delivers a systematic approach to risk measurement and enhances the effectiveness of risk management across the Bank. The Bank’s ERM system has allowed management to consistently and aggressively review the Bank’s loan portfolio for signs of potential issues during the ongoing COVID-19 pandemic and the Bank continues to closely monitoring its loans to borrowers in the retail, hospitality and energy sectors.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While the duration of the COVID-19 pandemic and the scope of its impact on the economy is uncertain, the Bank continues to be proactive with its borrowers in those sectors most affected by the COVID-19 pandemic and offering loan modifications to borrowers who are or may be unable to meet their contractual payment obligations because of the effects of COVID-19. As previously disclosed, the Bank has assigned its Chairman, Chief Executive Officer, Chief Credit Officer and Chief Lending Officer to partner with the Bank’s lenders on those borrowers most impacted by the COVID-19 pandemic to ensure the Company remains proactive in addressing those credits with the appropriate oversight and modifications when warranted. As part of the Bank’s efforts to support its customers and protect the Bank, the Bank has offered varying forms of loan modifications including 90-day payment deferrals, 6-month interest only terms, or in certain select cases periods of longer than 6 months of interest only, to provide borrowers relief. As of September 30, 2020, total active loan modifications attributed to COVID-19 were approximately $124 million, or 5.4%, of the Company’s loan portfolio, down from $464 million, or 19.9%, of the Company’s loan portfolio at June 30, 2020. The active modification breakdown as of September 30, 2020 is: 36% of modified loans are 6 months interest only, 7% of modified loans are 90 day payment deferrals on commercial customers, 57% of modified loans are interest only periods longer than 6 months, primarily in the Bank’s hotel portfolio, and 1% of modified loans are payment deferrals of one to four months on consumer loans. As of September 30, 2020, the active modification breakdown by category is: 58% of modified loans are in the hospitality sector, 19% of modified loans are other commercial real estate loans, 9% of modified loans are in the services and healthcare sector, 11% of modified loans are in other commercial sectors, and 3% of modified loans are in consumer loans.</w:t>
      </w:r>
    </w:p>
    <w:p>
      <w:pPr>
        <w:spacing w:after="0" w:line="200" w:lineRule="exact"/>
        <w:rPr>
          <w:sz w:val="20"/>
          <w:szCs w:val="20"/>
          <w:color w:val="auto"/>
        </w:rPr>
      </w:pP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Bank has assisted its customers in accessing the Paycheck Protection Program (the “PPP”) administered by the Small Business Administration (the “SBA”) and created under the Coronavirus Aid, Relief, and Economic Security Act (the “CARES Act”). During the second quarter of 2020, the Bank originated approximately 2,100 PPP loans totaling approximately $218 million. The Bank has utilized its lines of credit with the Federal Home Loan Bank of Dallas (the “FHLB”) and/or the Federal Reserve Bank of Dallas (the “FRB”) to supplement funding for origination of PPP loans as needed. Helping City Bank’s customers access PPP loans is just one way that the Bank has been helping its customers and communities during this challenging time. City Bank has also been a supporter of the South Plains and Permian Basin food banks and recently increased its financial support given the challenging economic environment for so many.</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Finally, as announced on November 2, 2020, the Company has resumed its stock repurchase program. The stock repurchase program commenced in March of 2020 and allows for the repurchase of up to $10 million of the Company’s common stock. Repurchases under the stock repurchase program were temporarily suspended by the Company’s board of directors in April of 2020 in light of the uncertainties presented by the COVID-19 pandemic and surrounding events. To date, the Company has repurchased 4,700 shares of common stock totaling approximately $61,000 of the $10.0 million authorized for repurchase under the stock repurchase program. The Company’s board of directors also extended the expiration date of the stock repurchase program from April 15, 2021 until November 5, 2021, subject to certain limitations and conditions.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currently unable to fully assess or predict the extent of the effects of the COVID-19 pandemic on our operations as the ultimate impact will depend on factors that are currently unknown and/or beyond our control. Please refer to Part II, Item 1A, “Risk Factors” of the Form 10-Q.</w:t>
      </w:r>
    </w:p>
    <w:p>
      <w:pPr>
        <w:sectPr>
          <w:pgSz w:w="11900" w:h="16838" w:orient="portrait"/>
          <w:cols w:equalWidth="0" w:num="1">
            <w:col w:w="11240"/>
          </w:cols>
          <w:pgMar w:left="320" w:top="121" w:right="339" w:bottom="193"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93"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had net income of $16.7 million for the three months ended September 30, 2020, compared to net income of $8.3 million for the three months ended September 30, 2019. Return on average equity was 19.32% and return on average assets was 1.88% for the three months ended September 30, 2020 annualized, compared to 11.10% and 1.18%, respectively, for the three months ended September 30, 2019 annualized.</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total assets increased $305.5 million, or 9.4%, to $3.54 billion at September 30, 2020, compared to $3.24 billion at December 31, 2019. Our gross loans held for investment increased $144.6 million, or 6.7%, to $2.29 billion at September 30, 2020, compared to $2.14 billion at December 31, 2019. Our securities portfolio increased $18.7 million, or 2.6%, to $726.3 million at September 30, 2020, compared to $707.7 million at December 31, 2019. Total deposits increased $246.9 million, or 9.2%, to $2.94 billion at September 30, 2020, compared to $2.70 billion at December 31, 2019.</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September 29, 2020, the Company issued $50.0 million of fixed-to-floating rate subordinated notes due 2030. The notes bear interest at a fixed rate of 4.50% for the first five tears, and the interest rate will reset quarterly thereafter to the then current three-month Secured Overnight Financing Rate, as published by the Federal Reserve Bank of New York, plus 438 basis points.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income increased by $8.5 million to $16.7 million for the three months ended September 30, 2020, compared to $8.3 million for the three months ended September 30, 2019. This increase was primarily the result of an increase of $4.7 million in net interest income and an increase of $17.5 million in noninterest income, offset by a $5.6 million increase in the provision for loan losses and an increase of $6.0 million in noninterest expense.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Net income increased by $10.3 million to $29.4 million for the nine months ended September 30, 2020, compared to $19.1 million for the nine months ended September 30, 2019. The increase was primarily the result of an increase of $16.0 million in net interest income and an increase of $35.5 million in noninterest income, partially offset by an increase of $23.5 million in the provision for loan losses and an increase of $15.2 million in noninterest expense.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Interest Income</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Yield/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Rate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Interest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6"/>
              </w:rPr>
              <w:t>(Dollars in thousands)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Loans, excluding PPP</w:t>
            </w:r>
            <w:r>
              <w:rPr>
                <w:rFonts w:ascii="Arial" w:cs="Arial" w:eastAsia="Arial" w:hAnsi="Arial"/>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2,195,507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29,162</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1,993,507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29,695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212,337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1,602</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2,613</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287,128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187,400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1,343</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32,993</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interest-earning assets</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284,579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Total interest-earning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3,289,467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34,825</w:t>
            </w:r>
          </w:p>
        </w:tc>
        <w:tc>
          <w:tcPr>
            <w:tcW w:w="22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2,598,207</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33,768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Noninterest-earning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181,139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3,536,805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2,779,346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NOW, savings and money market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1,695,476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1,213</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1,399,727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4,057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1,304</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315,376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12,080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12,468</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&amp; other longer-term borrowings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95,870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tcPr>
          <w:p>
            <w:pPr>
              <w:ind w:left="340"/>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2,198,826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3,230</w:t>
            </w:r>
          </w:p>
        </w:tc>
        <w:tc>
          <w:tcPr>
            <w:tcW w:w="220" w:type="dxa"/>
            <w:vAlign w:val="bottom"/>
          </w:tcPr>
          <w:p>
            <w:pPr>
              <w:spacing w:after="0"/>
              <w:rPr>
                <w:sz w:val="19"/>
                <w:szCs w:val="19"/>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1,895,436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7,097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555,501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49,008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33,339</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noninterest-bearing liabilities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344,551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295,070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3,536,805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2,779,346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31,595</w:t>
            </w:r>
          </w:p>
        </w:tc>
        <w:tc>
          <w:tcPr>
            <w:tcW w:w="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26,671</w:t>
            </w: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ind w:left="560"/>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interest margin is calculated as the annualized net interest income, on a fully tax-equivalent basis, divided by average interest-earning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1"/>
        </w:trPr>
        <w:tc>
          <w:tcPr>
            <w:tcW w:w="460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4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Yield/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Rate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6"/>
              </w:rPr>
              <w:t>(Dollars in thousands)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Loans, excluding PPP</w:t>
            </w:r>
            <w:r>
              <w:rPr>
                <w:rFonts w:ascii="Arial" w:cs="Arial" w:eastAsia="Arial" w:hAnsi="Arial"/>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2,188,988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89,041</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1,965,297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86,471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127,880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2,678</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9,285</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281,904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142,158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3,037</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32,184</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interest-earning assets</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292,099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3,168,612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105,004</w:t>
            </w:r>
          </w:p>
        </w:tc>
        <w:tc>
          <w:tcPr>
            <w:tcW w:w="22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2,571,484</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98,485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177,507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3,417,135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2,748,991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NOW, savings and money market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1,630,524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5,199</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1,439,699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13,287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4,361</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314,128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15,425</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&amp; other longer-term borrowings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1,210</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26,890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1,213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tcPr>
          <w:p>
            <w:pPr>
              <w:ind w:left="340"/>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2,175,062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12,327</w:t>
            </w:r>
          </w:p>
        </w:tc>
        <w:tc>
          <w:tcPr>
            <w:tcW w:w="220" w:type="dxa"/>
            <w:vAlign w:val="bottom"/>
          </w:tcPr>
          <w:p>
            <w:pPr>
              <w:spacing w:after="0"/>
              <w:rPr>
                <w:sz w:val="19"/>
                <w:szCs w:val="19"/>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0.76%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1,937,535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22,227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Noninterest-bearing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524,468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31,795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noninterest-bearing liabilities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911,185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330,888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255,193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3,417,135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2,748,991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92,677</w:t>
            </w:r>
          </w:p>
        </w:tc>
        <w:tc>
          <w:tcPr>
            <w:tcW w:w="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76,258</w:t>
            </w: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ind w:left="560"/>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interest margin is calculated as the annualized net interest income, on a fully tax-equivalent basis, divided by average interest-earning assets.</w:t>
      </w:r>
    </w:p>
    <w:p>
      <w:pPr>
        <w:spacing w:after="0" w:line="25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Increases and decreases in interest income and interest expense result from changes in average balances (volume) of interest-earning assets and interest-bearing liabilities, as well as changes in average interest rates. The following tables sets forth the effects of changing rates and volumes on our net interest income during the period shown. Information is provided with respect to</w:t>
      </w:r>
    </w:p>
    <w:p>
      <w:pPr>
        <w:spacing w:after="0" w:line="1" w:lineRule="exact"/>
        <w:rPr>
          <w:sz w:val="20"/>
          <w:szCs w:val="20"/>
          <w:color w:val="auto"/>
        </w:rPr>
      </w:pPr>
    </w:p>
    <w:p>
      <w:pPr>
        <w:jc w:val="both"/>
        <w:ind w:firstLine="8"/>
        <w:spacing w:after="0" w:line="234" w:lineRule="auto"/>
        <w:tabs>
          <w:tab w:leader="none" w:pos="280" w:val="left"/>
        </w:tabs>
        <w:numPr>
          <w:ilvl w:val="0"/>
          <w:numId w:val="8"/>
        </w:numPr>
        <w:rPr>
          <w:rFonts w:ascii="Arial" w:cs="Arial" w:eastAsia="Arial" w:hAnsi="Arial"/>
          <w:sz w:val="22"/>
          <w:szCs w:val="22"/>
          <w:color w:val="auto"/>
        </w:rPr>
      </w:pPr>
      <w:r>
        <w:rPr>
          <w:rFonts w:ascii="Arial" w:cs="Arial" w:eastAsia="Arial" w:hAnsi="Arial"/>
          <w:sz w:val="22"/>
          <w:szCs w:val="22"/>
          <w:color w:val="auto"/>
        </w:rPr>
        <w:t>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3"/>
              </w:rPr>
              <w:t>2020 over 2019</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8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1,602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(4,169)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37" w:name="page38"/>
    <w:bookmarkEnd w:id="37"/>
    <w:p>
      <w:pPr>
        <w:spacing w:after="0"/>
        <w:tabs>
          <w:tab w:leader="none" w:pos="7300" w:val="left"/>
          <w:tab w:leader="none" w:pos="8040" w:val="left"/>
          <w:tab w:leader="none" w:pos="8680" w:val="left"/>
          <w:tab w:leader="none" w:pos="9520" w:val="left"/>
          <w:tab w:leader="none" w:pos="10000" w:val="left"/>
          <w:tab w:leader="none" w:pos="10700" w:val="left"/>
        </w:tabs>
        <w:rPr>
          <w:sz w:val="20"/>
          <w:szCs w:val="20"/>
          <w:color w:val="auto"/>
        </w:rPr>
      </w:pPr>
      <w:r>
        <w:rPr>
          <w:rFonts w:ascii="Arial" w:cs="Arial" w:eastAsia="Arial" w:hAnsi="Arial"/>
          <w:sz w:val="18"/>
          <w:szCs w:val="18"/>
          <w:color w:val="auto"/>
        </w:rPr>
        <w:t>Increase (decrease) in net interest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4,330</w:t>
        <w:tab/>
        <w:t>$</w:t>
      </w:r>
      <w:r>
        <w:rPr>
          <w:sz w:val="20"/>
          <w:szCs w:val="20"/>
          <w:color w:val="auto"/>
        </w:rPr>
        <w:tab/>
      </w:r>
      <w:r>
        <w:rPr>
          <w:rFonts w:ascii="Arial" w:cs="Arial" w:eastAsia="Arial" w:hAnsi="Arial"/>
          <w:sz w:val="18"/>
          <w:szCs w:val="18"/>
          <w:color w:val="auto"/>
        </w:rPr>
        <w:t>594</w:t>
        <w:tab/>
        <w:t>$</w:t>
      </w:r>
      <w:r>
        <w:rPr>
          <w:sz w:val="20"/>
          <w:szCs w:val="20"/>
          <w:color w:val="auto"/>
        </w:rPr>
        <w:tab/>
      </w:r>
      <w:r>
        <w:rPr>
          <w:rFonts w:ascii="Arial" w:cs="Arial" w:eastAsia="Arial" w:hAnsi="Arial"/>
          <w:sz w:val="16"/>
          <w:szCs w:val="16"/>
          <w:color w:val="auto"/>
        </w:rPr>
        <w:t>4,924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9"/>
          </w:tcPr>
          <w:p>
            <w:pPr>
              <w:jc w:val="right"/>
              <w:ind w:right="6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3"/>
              </w:rPr>
              <w:t>2020 over 2019</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8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(9,313)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(1,493)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Net interest income for the three months ended September 30, 2020 was $31.3 million, compared to $26.6 million for the three months ended September 30, 2019, an increase of $4.7 million, or 17.7%. The increase in net interest income was comprised of a $838,000 increase in interest income and a $3.9 million decrease in interest expense. Interest and fees on loans increased by $1.1 million from the third quarter of 2019 due to growth of $414.3 million in average loans, primarily from the Company’s acquisition of West Texas State Bank (“WTSB”) as well as the PPP loans that were originated largely in the second quarter of 2020, partially offset by a decrease of 63 basis points in non-PPP loan rates due to the decline in the interest rate environment experienced in the first quarter of 2020. The PPP loans yielded 3.00% during the third quarter of 2020, which includes accretion of the related SBA lender fees for processing PPP loans during the quarter. As of September 30, 2020, the Company originated approximately 2,100 PPP loans, totaling $218 million, and has received $7.8 million in PPP related SBA fees. These fees are deferred and then accreted into interest income over the life of the applicable loans. During the third quarter of 2020, the Company recognized $1.1 million in PPP related SBA fees. The Company expects that the majority of PPP loans will begin to be forgiven over the next several quarters. If a PPP loan is forgiven or paid off before maturity, the remaining unearned fee is recognized into income at that time. At September 30, 2020, there is $6.1 million of deferred fees that have not been accreted to income. These remaining fees are expected to be recognized as the PPP loans are forgiven over the next several quarters.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$3.9 million decrease in interest expense for the three months ended September 30, 2020 was primarily due to a decrease in the interest rate paid on interest-bearing liabilities of 91 basis points, partially offset by an increase of $303.4 million in average interest-bearing liabilities. The increase in average interest-bearing liabilities was largely due to the Company’s acquisition of WTSB, growth in deposits from PPP loan funding and other government stimulus payments and programs, and organic growth. Additionally, the decrease in the rate paid on interest-bearing liabilities was the result of the decline in the overall rate environment experienced in the first quarter of 2020. Additionally, average noninterest-bearing demand deposits increased to $944.4 million at September 30, 2020 from $555.5 million at September 30, 2019.</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September 30, 2020, net interest margin and net interest spread were 3.82% and 3.63%, respectively, compared to 4.07% and 3.67% for the same three-month period in 2019, which reflects the increase in interest income and the decrease in interest expense discussed above.</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Net interest income for the nine months ended September 30, 2020 was $91.9 million, compared to $76.0 million for the nine months ended September 30, 2019, an increase of $16.0 million, or 21.0%. The increase in net interest income was comprised of a $6.1 million increase in interest income and a $9.9 million decrease in interest expense. The growth in interest income was primarily attributable to a $351.6 million increase in average loans outstanding for the nine-month period ended September 30, 2020, compared to the nine-month period ended September 30, 2019, partially offset by an decrease of 45 basis points in the yield on total loans, excluding PPP loans. The increase in average loans outstanding was mainly due to the PPP loans originated largely during the second quarter of 2020 as well as the loans acquired from WTSB.</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$9.9 million decrease in interest expense for the nine months ended September 30, 2020 was primarily related to a decrease of 77 basis points in the rate paid on interest-bearing liabilities, partially offset by an increase of $237.5 million, or 12.3%, in average interest-bearing liabilities over the same nine-month period in 2019. The increase in average interest-bearing liabilities was mainly due to increased deposits, from the acquisition of WTSB, PPP loan funding and other government stimulus payments and programs as well as organic growth, and short-term borrowings to augment liquidity in funding the PPP loans. Additionally, average noninterest-bearing demand deposits increased to $870.6 million at September 30, 2020 from $524.5 million at September 30, 2019.</w:t>
      </w:r>
    </w:p>
    <w:p>
      <w:pPr>
        <w:sectPr>
          <w:pgSz w:w="11900" w:h="16838" w:orient="portrait"/>
          <w:cols w:equalWidth="0" w:num="1">
            <w:col w:w="11240"/>
          </w:cols>
          <w:pgMar w:left="320" w:top="122" w:right="339" w:bottom="146" w:gutter="0" w:footer="0" w:header="0"/>
        </w:sectPr>
      </w:pPr>
    </w:p>
    <w:bookmarkStart w:id="39" w:name="page40"/>
    <w:bookmarkEnd w:id="39"/>
    <w:p>
      <w:pPr>
        <w:jc w:val="both"/>
        <w:spacing w:after="0" w:line="241" w:lineRule="auto"/>
        <w:rPr>
          <w:sz w:val="20"/>
          <w:szCs w:val="20"/>
          <w:color w:val="auto"/>
        </w:rPr>
      </w:pPr>
      <w:r>
        <w:rPr>
          <w:rFonts w:ascii="Arial" w:cs="Arial" w:eastAsia="Arial" w:hAnsi="Arial"/>
          <w:sz w:val="22"/>
          <w:szCs w:val="22"/>
          <w:color w:val="auto"/>
        </w:rPr>
        <w:t>For the nine months ended September 30, 2020, net interest margin and net interest spread were 3.91% and 3.67%, respectively, compared to 3.96% and 3.59% for the same nine-month period in 2019, which reflects the increase in interest income and the decrease in interest expense discussed above.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line="62"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Loan Losses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provision for loan losses for the three months ended September 30, 2020 was $6.1 million compared to $420,000 for the three months ended September 30, 2019. The provision for loan losses for the nine months ended September 30, 2020 was $25.4 million, compared to $1.9 million for the nine months ended September 30, 2019. The increase in the provision for loan losses in the three-month and nine-month periods ended September 30, 2020 compared to the same three-month and nine-month periods in 2019 is primarily a result of the uncertain economic effects from the ongoing COVID-19 pandemic as well as the decline in oil and gas prices. The allowance for loan losses as a percentage of loans held for investment was 2.01% at September 30, 2020 and 1.13% at December 31, 2019. Further discussion of the allowance for loan losses is noted below.</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Income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major components of our noninterest income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9"/>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160" w:type="dxa"/>
            <w:vAlign w:val="bottom"/>
            <w:gridSpan w:val="7"/>
          </w:tcPr>
          <w:p>
            <w:pPr>
              <w:jc w:val="center"/>
              <w:ind w:left="490"/>
              <w:spacing w:after="0"/>
              <w:rPr>
                <w:sz w:val="20"/>
                <w:szCs w:val="20"/>
                <w:color w:val="auto"/>
              </w:rPr>
            </w:pPr>
            <w:r>
              <w:rPr>
                <w:rFonts w:ascii="Arial" w:cs="Arial" w:eastAsia="Arial" w:hAnsi="Arial"/>
                <w:sz w:val="18"/>
                <w:szCs w:val="18"/>
                <w:b w:val="1"/>
                <w:bCs w:val="1"/>
                <w:color w:val="auto"/>
                <w:w w:val="91"/>
              </w:rPr>
              <w:t>Nine Months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2"/>
              </w:rPr>
              <w:t>September 30,</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4"/>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Noninterest income:</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(Dollars in</w:t>
            </w:r>
          </w:p>
        </w:tc>
        <w:tc>
          <w:tcPr>
            <w:tcW w:w="200" w:type="dxa"/>
            <w:vAlign w:val="bottom"/>
          </w:tcPr>
          <w:p>
            <w:pPr>
              <w:spacing w:after="0"/>
              <w:rPr>
                <w:sz w:val="20"/>
                <w:szCs w:val="20"/>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5,171</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2,189</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Mortgage banking activities</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21,409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6,991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14,418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48,117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18,509</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Fiduciary income</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securities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line="216" w:lineRule="exact"/>
              <w:rPr>
                <w:sz w:val="20"/>
                <w:szCs w:val="20"/>
                <w:color w:val="auto"/>
              </w:rPr>
            </w:pPr>
            <w:r>
              <w:rPr>
                <w:rFonts w:ascii="Arial" w:cs="Arial" w:eastAsia="Arial" w:hAnsi="Arial"/>
                <w:sz w:val="16"/>
                <w:szCs w:val="16"/>
                <w:color w:val="auto"/>
              </w:rPr>
              <w:t>Other income and fees</w:t>
            </w:r>
            <w:r>
              <w:rPr>
                <w:rFonts w:ascii="Arial" w:cs="Arial" w:eastAsia="Arial" w:hAnsi="Arial"/>
                <w:sz w:val="25"/>
                <w:szCs w:val="25"/>
                <w:color w:val="auto"/>
                <w:vertAlign w:val="superscript"/>
              </w:rPr>
              <w:t>(1)</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3,504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31,660</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75,431</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income and fees includes the increase in the cash surrender value of life insurance, safe deposit box rental, check printing, collections, wire transfer and other miscellaneous services.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Noninterest income for the three months ended September 30, 2020 was $31.7 million, compared to $14.1 million for the three months ended September 30, 2019, an increase of $17.5 million, or 124.3%. Income from mortgage banking activities increased $14.4 million, or 206.2%, to $21.4 million for the three months ended September 30, 2020 from $7.0 million for the three months ended September 30, 2019. The increase was due primarily to an increase of $209.6 million in mortgage loan originations for the three months ended September 30, 2020 compared to the three months ended September 30, 2019. Additionally, fiduciary income increased $420,000 and income from insurance activities increased $2.2 million for the three months ended September 30, 2020 compared to the three months ended September 30, 2019. The increase in fiduciary income was primarily due to new customer acquisition with estate executorship and trust management as the primary services in late third quarter 2019. The increase in income from insurance activities is related to recent acquisitions as well as the effect of adoption of the revenue recognition standard for quarterly reporting in 2020, which has delayed the recognition of revenue until later in the year as compared to previous years.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Noninterest income for the nine months ended September 30, 2020 was $75.4 million, compared to $39.9 million for the nine months ended September 30, 2019, an increase of $35.5 million, or 89.1%. Income from mortgage banking activities increased $29.6 million, or 160.0%, to $48.1 million for the nine months ended September 30, 2020 from $18.5 million for the nine months ended September 30, 2019. This increase was primarily a result of an increase of $580.6 million in mortgage loan originations for the nine months ended September 30, 2020 compared to the nine months ended September 30, 2019, in addition to a $2.3 million gain on sale of securities in the first quarter of 2020. Further, fiduciary income increased $1.3 million and income from insurance activities increased $1.4 million. The increase in fiduciary income was primarily due to new customer acquisition with estate executorship and trust management as the primary services in late third quarter 2019. The increase in income from insurance activities is related to new revenue booked from two businesses acquired since September 1, 2019.</w:t>
      </w:r>
    </w:p>
    <w:p>
      <w:pPr>
        <w:sectPr>
          <w:pgSz w:w="11900" w:h="16901" w:orient="portrait"/>
          <w:cols w:equalWidth="0" w:num="1">
            <w:col w:w="11240"/>
          </w:cols>
          <w:pgMar w:left="320" w:top="122" w:right="339" w:bottom="0" w:gutter="0" w:footer="0" w:header="0"/>
        </w:sectPr>
      </w:pPr>
    </w:p>
    <w:bookmarkStart w:id="41" w:name="page42"/>
    <w:bookmarkEnd w:id="41"/>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Expense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major components of our noninterest expense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9"/>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160" w:type="dxa"/>
            <w:vAlign w:val="bottom"/>
            <w:gridSpan w:val="7"/>
          </w:tcPr>
          <w:p>
            <w:pPr>
              <w:jc w:val="center"/>
              <w:ind w:left="490"/>
              <w:spacing w:after="0"/>
              <w:rPr>
                <w:sz w:val="20"/>
                <w:szCs w:val="20"/>
                <w:color w:val="auto"/>
              </w:rPr>
            </w:pPr>
            <w:r>
              <w:rPr>
                <w:rFonts w:ascii="Arial" w:cs="Arial" w:eastAsia="Arial" w:hAnsi="Arial"/>
                <w:sz w:val="18"/>
                <w:szCs w:val="18"/>
                <w:b w:val="1"/>
                <w:bCs w:val="1"/>
                <w:color w:val="auto"/>
                <w:w w:val="91"/>
              </w:rPr>
              <w:t>Nine Months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2"/>
              </w:rPr>
              <w:t>September 30,</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4"/>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expense:</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(Dollars in</w:t>
            </w:r>
          </w:p>
        </w:tc>
        <w:tc>
          <w:tcPr>
            <w:tcW w:w="200" w:type="dxa"/>
            <w:vAlign w:val="bottom"/>
          </w:tcPr>
          <w:p>
            <w:pPr>
              <w:spacing w:after="0"/>
              <w:rPr>
                <w:sz w:val="20"/>
                <w:szCs w:val="20"/>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23,672</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66,103</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Occupancy expense, net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10,896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10,309</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Bankcard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5"/>
                <w:szCs w:val="25"/>
                <w:color w:val="auto"/>
                <w:vertAlign w:val="superscript"/>
              </w:rPr>
              <w:t>(1)</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4,137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13,543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10,502</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35,993</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105,211</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Noninterest expense for the three months ended September 30, 2020 was $36.0 million compared to $30.0 million for the three months ended September 30, 2019, an increase of $6.0 million, or 19.9%. Salaries and employee benefits increased $5.5 million, or 30.5%, from $18.1 million for the three months ended September 30, 2019 to $23.7 million for the three months ended September 30, 2020. This increase in salaries and employee benefits expense was predominately related to an additional $3.0 million in commissions paid on the higher volume of mortgage loan originations and personnel costs for the Bank’s branches in the Permian Basin that were acquired in the fourth quarter of 2019 through the Company’s acquisition of WTSB. The remaining other noninterest expenses increased $428,000, or 3.6%, which encompasses the additional variable mortgage expenses related to the growth in mortgage production and other operating expenses and core deposit intangible amortization from the acquisition of WTSB.</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Noninterest expense for the nine months ended September 30, 2020 was $105.2 million, compared to $90.0 million for the nine months ended September 30, 2019, an increase of $15.2 million, or 16.9%. Salaries and employee benefits increased $10.1 million, or 17.9%, from $56.0 million for the nine months ended September 30, 2019 to $66.1 million for the nine months ended September 30, 2020. This increase in salaries and employee benefits expense was predominately driven by the WTSB acquisition and increased commission paid on the higher volume of mortgage loan originations. Other noninterest expenses increased $5.1 million for the nine months ended September 30, 2020 compared to the same nine-month period in 2019. This increase was primarily due to core expenses for the acquired WTSB branches, core deposit intangible amortization expense, higher commissions and other variable mortgage expenses as a result of increased production, $602,000 in data conversion expenses and $300,000 in computer equipment purchased in connection with upgrading the equipment at the acquired branches as well as at existing branches. The computer equipment purchases were expensed due to the individual items falling below the Company’s capitalization threshold.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Total assets increased $305.5 million, or 9.4%, to $3.54 billion at September 30, 2020, compared to $3.24 billion at December 31, 2019. Our gross loans held for investment increased $144.6 million, or 6.7%, to $2.29 billion at September 30, 2020, compared to $2.14 billion at December 31, 2019. Our securities portfolio increased $18.7 million, or 2.6%, to $726.3 million at September 30, 2020, compared to $707.7 million at December 31, 2019. Total deposits increased $246.9 million, or 9.2% to $2.94 billion at September 30, 2020, compared to $2.70 billion at December 31, 2019.</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Portfolio</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presents the balance and associated percentage of each major category in our loans held for investment portfolio at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655,432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658,195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340,458</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309,505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578,181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441,398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372,114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362,796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193,023</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215,209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68,877</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80,149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82,520</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2,288,234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Allowance for loan losses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(46,076)</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(24,197)</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2,242,158</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2,119,426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Loans held for investment increased $144.6 million, or 6.7%, to $2.29 billion at September 30, 2020, compared to $2.14 billion at December 31, 2019. This increase in our loans was primarily due to the origination of $218.6 million in PPP loans during the nine-month period ended September 30, 2020, partially offset by the early payoff of two relationships totaling $22.2 million during the first quarter of 2020 and paydowns of $10.1 million in non-residential consumer loans and $8.0 million in direct energy loans as well as several large commercial real estate loans that paid off early in the third quarter of 2020. Further, auto loans have decreased $22.2 million as organic growth has slowed due the ongoing COVID-19 pandemic.</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Bank is primarily involved in real estate, commercial, agricultural and consumer lending activities with customers throughout Texas and Eastern New Mexico. We have a collateral concentration, as 62.9% of our loans held for investment were secured by real property as of September 30, 2020, compared to 65.5% as of December 31, 2019. We believe that these loans are not concentrated in any one single property type and that they are geographically dispersed throughout the areas we serve. Although the Bank has diversified loan portfolio,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Commercial Real Estate</w:t>
      </w:r>
      <w:r>
        <w:rPr>
          <w:rFonts w:ascii="Arial" w:cs="Arial" w:eastAsia="Arial" w:hAnsi="Arial"/>
          <w:sz w:val="21"/>
          <w:szCs w:val="21"/>
          <w:color w:val="auto"/>
        </w:rPr>
        <w:t>. Our commercial real estate portfolio includes loans for commercial property that is owned by real estate</w:t>
      </w:r>
      <w:r>
        <w:rPr>
          <w:rFonts w:ascii="Arial" w:cs="Arial" w:eastAsia="Arial" w:hAnsi="Arial"/>
          <w:sz w:val="21"/>
          <w:szCs w:val="21"/>
          <w:i w:val="1"/>
          <w:iCs w:val="1"/>
          <w:color w:val="auto"/>
        </w:rPr>
        <w:t xml:space="preserve"> </w:t>
      </w:r>
      <w:r>
        <w:rPr>
          <w:rFonts w:ascii="Arial" w:cs="Arial" w:eastAsia="Arial" w:hAnsi="Arial"/>
          <w:sz w:val="21"/>
          <w:szCs w:val="21"/>
          <w:color w:val="auto"/>
        </w:rPr>
        <w:t>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Commercial real estate loans decreased $2.8 million, or 0.4%, to $655.4 million as of September 30, 2020 from $658.2 million as of December 31, 2019.</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color w:val="auto"/>
        </w:rPr>
        <w:t>Commercial – General and Specialized</w:t>
      </w:r>
      <w:r>
        <w:rPr>
          <w:rFonts w:ascii="Arial" w:cs="Arial" w:eastAsia="Arial" w:hAnsi="Arial"/>
          <w:sz w:val="19"/>
          <w:szCs w:val="19"/>
          <w:color w:val="auto"/>
        </w:rPr>
        <w:t>. Commercial loans are underwritten after evaluating and understanding the borrower’s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and retail, construction, and other industries.</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970"/>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Commercial specialized loans increased $31.0 million, or 10.0%, to $340.5 million as of September 30, 2020 from $309.5 million as of December 31, 2019. This increase was primarily due to a net increase of $9.4 million in energy loans, $8.6 million in agricultural real estate loans, and $10.4 million in finance, investment &amp; insurance loans.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Commercial general loans increased $136.8 million, or 31.0%, to $578.2 million as of September 30, 2020 from $441.4 million as of December 31, 2019. The increase in commercial general loans was primarily due to PPP loans originations totaling $218.6 million, partially offset by the early payoffs and paydowns during 2020.</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Consumer</w:t>
      </w:r>
      <w:r>
        <w:rPr>
          <w:rFonts w:ascii="Arial" w:cs="Arial" w:eastAsia="Arial" w:hAnsi="Arial"/>
          <w:sz w:val="19"/>
          <w:szCs w:val="19"/>
          <w:color w:val="auto"/>
        </w:rPr>
        <w:t>. We utilize a computer-based credit scoring analysis to supplement our policies and procedures in underwriting</w:t>
      </w:r>
      <w:r>
        <w:rPr>
          <w:rFonts w:ascii="Arial" w:cs="Arial" w:eastAsia="Arial" w:hAnsi="Arial"/>
          <w:sz w:val="19"/>
          <w:szCs w:val="19"/>
          <w:i w:val="1"/>
          <w:iCs w:val="1"/>
          <w:color w:val="auto"/>
        </w:rPr>
        <w:t xml:space="preserve"> </w:t>
      </w:r>
      <w:r>
        <w:rPr>
          <w:rFonts w:ascii="Arial" w:cs="Arial" w:eastAsia="Arial" w:hAnsi="Arial"/>
          <w:sz w:val="19"/>
          <w:szCs w:val="19"/>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Consumer and other loans decreased $18.0 million, or 2.8%, to $634.0 million as of September 30, 2020, from $652.0 million as of December 31, 2019. The decrease in these loans was primarily the result of indirect auto loan originations slowing in 2020 to a level that is less than the payments on these loans as a result of worsening economic conditions surrounding the COVID-19 pandemic. As of September 30, 2020, our consumer loan portfolio was comprised of $372.1 million in 1-4 family residential loans, $193.0 million in auto loans, and $68.9 million in other consumer loans.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Construction</w:t>
      </w:r>
      <w:r>
        <w:rPr>
          <w:rFonts w:ascii="Arial" w:cs="Arial" w:eastAsia="Arial" w:hAnsi="Arial"/>
          <w:sz w:val="22"/>
          <w:szCs w:val="22"/>
          <w:color w:val="auto"/>
        </w:rPr>
        <w:t>. Loans for residential construction are for single-family properties to developers, builders, or end-users. These loans</w:t>
      </w:r>
      <w:r>
        <w:rPr>
          <w:rFonts w:ascii="Arial" w:cs="Arial" w:eastAsia="Arial" w:hAnsi="Arial"/>
          <w:sz w:val="22"/>
          <w:szCs w:val="22"/>
          <w:i w:val="1"/>
          <w:iCs w:val="1"/>
          <w:color w:val="auto"/>
        </w:rPr>
        <w:t xml:space="preserve"> </w:t>
      </w:r>
      <w:r>
        <w:rPr>
          <w:rFonts w:ascii="Arial" w:cs="Arial" w:eastAsia="Arial" w:hAnsi="Arial"/>
          <w:sz w:val="22"/>
          <w:szCs w:val="22"/>
          <w:color w:val="auto"/>
        </w:rPr>
        <w:t>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Construction loans decreased $2.4 million, or 2.9%, to $80.1 million as of September 30, 2020 from $82.5 million as of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Loan Losses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internal and external loan reviews.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allowance for loan losses was $46.1 million at September 30, 2020, compared to $24.2 million at December 31, 2019, an increase of $21.9 million, or 90.4%. The increase is primarily a result of management’s estimate of economic effects of the COVID-19 pandemic as well as the decline in oil and gas prices. These effects caused us to downgrade the risk ratings on some of the more at-risk sectors in our portfolio, primarily energy and hospitality during the first quarter and second quarter of 2020, as well as other risk rating migrations in the portfolio.</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an analysis of the allowance for loan losses at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September 30, 2019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3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4,870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1,624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3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Net charge-offs totaled $621,000 and were 0.10% (annualized) of average loans outstanding for the three months ended September 30, 2020, compared to $415,000 and 0.08% (annualized) for the three months ended September 30, 2019. Net charge-offs totaled $3.6 million and were 0.20% (annualized) of average loans outstanding for the nine months ended September 30, 2020, compared to $853,000 and 0.06% (annualized) for the nine months ended September 30, 2019. The increase in net charge-offs for the year-to-date comparison was primarily the result of a $518,000 charge-off on a retail commercial relationship in the first quarter of 2020, a $822,000 charge-off of an acquired direct energy relationship in the second quarter of 2020, a $342,000 charge-off on a commercial relationship during the third quarter of 2020, as well as other smaller commercial-general charge-offs during 2020. The allowance for loan losses as a percentage of loans held for investment was 2.01% at September 30, 2020 and 1.13% at December 31, 2019.</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While the entire allowance for loan losses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6,304</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4,233</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3,385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r>
      <w:tr>
        <w:trPr>
          <w:trHeight w:val="23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46,076</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 Quality</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Nonaccrual loans:</w:t>
            </w:r>
          </w:p>
        </w:tc>
        <w:tc>
          <w:tcPr>
            <w:tcW w:w="220" w:type="dxa"/>
            <w:vAlign w:val="bottom"/>
          </w:tcPr>
          <w:p>
            <w:pPr>
              <w:spacing w:after="0"/>
              <w:rPr>
                <w:sz w:val="20"/>
                <w:szCs w:val="20"/>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(Dollars in thousands)</w:t>
            </w: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nonaccrual loans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Past due loans 90 days or more and still accruing</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nonperforming loans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real estate owned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Restructured loans - nonaccrual</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Restructured loans - accruing</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Restructured loans, nonaccrual, are included in nonaccrual loans which are a component of nonperforming loans.</w:t>
      </w:r>
    </w:p>
    <w:p>
      <w:pPr>
        <w:sectPr>
          <w:pgSz w:w="11900" w:h="16838" w:orient="portrait"/>
          <w:cols w:equalWidth="0" w:num="1">
            <w:col w:w="11240"/>
          </w:cols>
          <w:pgMar w:left="320" w:top="122" w:right="339" w:bottom="0" w:gutter="0" w:footer="0" w:header="0"/>
        </w:sectPr>
      </w:pPr>
    </w:p>
    <w:bookmarkStart w:id="47" w:name="page48"/>
    <w:bookmarkEnd w:id="47"/>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cases where a borrower experiences financial difficulties and we make certain concessionary modifications to contractual terms, the loan is classified as a troubled debt restructuring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8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had no loans restructured as TDRs during the first nine months of 2020 or 2019. TDRs are excluded from our nonperforming loans unless they otherwise meet the definition of nonaccrual loans or past due 90 days or more.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COVID-19 Industry Exposures. </w:t>
      </w:r>
      <w:r>
        <w:rPr>
          <w:rFonts w:ascii="Arial" w:cs="Arial" w:eastAsia="Arial" w:hAnsi="Arial"/>
          <w:sz w:val="22"/>
          <w:szCs w:val="22"/>
          <w:color w:val="auto"/>
        </w:rPr>
        <w:t>The Company’s COVID-19 industry exposures at September 30, 2020 were:</w:t>
      </w:r>
    </w:p>
    <w:p>
      <w:pPr>
        <w:spacing w:after="0" w:line="240" w:lineRule="exact"/>
        <w:rPr>
          <w:sz w:val="20"/>
          <w:szCs w:val="20"/>
          <w:color w:val="auto"/>
        </w:rPr>
      </w:pPr>
    </w:p>
    <w:p>
      <w:pPr>
        <w:jc w:val="both"/>
        <w:ind w:left="660" w:hanging="328"/>
        <w:spacing w:after="0" w:line="24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Restaurant and retail owner-occupied loans totaled $85.4 million (or 3.7% of total loans). The average loan size is $306,000. There was $1.9 million in classified loans and $137,000 in loans past due 30 days or greater. There is also $1.4 million in nonaccrual loans. The related allowance for loan losses to total restaurant and retail owner-occupied loans is 3.55%. Approximately 3% of these loans were under an active modification as a result of the COVID-19 pandemic. Of these modifications, 45% were for six months of interest-only payments and the remaining 55% were 90 day payment deferrals.</w:t>
      </w:r>
    </w:p>
    <w:p>
      <w:pPr>
        <w:spacing w:after="0" w:line="228" w:lineRule="exact"/>
        <w:rPr>
          <w:rFonts w:ascii="Arial" w:cs="Arial" w:eastAsia="Arial" w:hAnsi="Arial"/>
          <w:sz w:val="22"/>
          <w:szCs w:val="22"/>
          <w:color w:val="auto"/>
        </w:rPr>
      </w:pPr>
    </w:p>
    <w:p>
      <w:pPr>
        <w:jc w:val="both"/>
        <w:ind w:left="660" w:hanging="328"/>
        <w:spacing w:after="0" w:line="283" w:lineRule="auto"/>
        <w:tabs>
          <w:tab w:leader="none" w:pos="660" w:val="left"/>
        </w:tabs>
        <w:numPr>
          <w:ilvl w:val="0"/>
          <w:numId w:val="10"/>
        </w:numPr>
        <w:rPr>
          <w:rFonts w:ascii="Arial" w:cs="Arial" w:eastAsia="Arial" w:hAnsi="Arial"/>
          <w:sz w:val="19"/>
          <w:szCs w:val="19"/>
          <w:color w:val="auto"/>
        </w:rPr>
      </w:pPr>
      <w:r>
        <w:rPr>
          <w:rFonts w:ascii="Arial" w:cs="Arial" w:eastAsia="Arial" w:hAnsi="Arial"/>
          <w:sz w:val="16"/>
          <w:szCs w:val="16"/>
          <w:color w:val="auto"/>
        </w:rPr>
        <w:t>Hospitality and assisted living center loans totaled $119.4 million (or 5.2% of total loans), excluding properties under construction. The average loan size is $2.6 million. There was $46.4 million in classified loans and no loans past due more than 30 days. There is also $2.8 million in nonaccrual loans. The related allowance for loan losses to total hospitality and assisted living center loans is 7.33%. Approximately 61% of these loans were under an active modification as a result of the COVID-19 pandemic. Of these modifications, 91% were for interest-only periods exceeding six months or a combination of interest only and 90 day payment deferral and the remaining 8% were 90 day payment deferrals.</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rPr>
        <w:t xml:space="preserve">Oil and Gas Exposures. </w:t>
      </w:r>
      <w:r>
        <w:rPr>
          <w:rFonts w:ascii="Arial" w:cs="Arial" w:eastAsia="Arial" w:hAnsi="Arial"/>
          <w:sz w:val="21"/>
          <w:szCs w:val="21"/>
          <w:color w:val="auto"/>
        </w:rPr>
        <w:t>The Company’s direct energy sector loans totaled $70.6 million (or 3.1% of total loans) at September 30,</w:t>
      </w:r>
      <w:r>
        <w:rPr>
          <w:rFonts w:ascii="Arial" w:cs="Arial" w:eastAsia="Arial" w:hAnsi="Arial"/>
          <w:sz w:val="21"/>
          <w:szCs w:val="21"/>
          <w:i w:val="1"/>
          <w:iCs w:val="1"/>
          <w:color w:val="auto"/>
        </w:rPr>
        <w:t xml:space="preserve"> </w:t>
      </w:r>
      <w:r>
        <w:rPr>
          <w:rFonts w:ascii="Arial" w:cs="Arial" w:eastAsia="Arial" w:hAnsi="Arial"/>
          <w:sz w:val="21"/>
          <w:szCs w:val="21"/>
          <w:color w:val="auto"/>
        </w:rPr>
        <w:t>2020. There was $8.5 million in classified loans and $62,000 in loans past due greater than 30 days. There is also $33,000 in nonaccrual loans. Management has expanded the monitoring of the loans in this category. The related allowance for loan losses to direct energy loans is 5.33%. Approximately 3% of these loans were under an active modification as a result of the COVID-19 pandemic. Of these modifications, 42% were for six months of interest-only payments, 31% were 90 day payment deferrals and remaining 27% were for interest-only periods exceeding six months.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Portfolio</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securities portfolio increased $18.7 million, or 2.6%, to $726.3 million at September 30, 2020, compared to $707.7 million at December 31, 2019. The increase was due to the purchase of $158.3 million in Texas municipal securities and unrealized gain of $26.6 million, partially offset by the sale of $92.2 million in mortgage-backed securities and $69.6 million in maturities. The sale of the mortgage-backed securities occurred in January 2020 and generated a gain of $2.3 million.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fair value of the securities portfolio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w w:val="91"/>
              </w:rPr>
              <w:t>September 30, 2020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left="350"/>
              <w:spacing w:after="0"/>
              <w:rPr>
                <w:sz w:val="20"/>
                <w:szCs w:val="20"/>
                <w:color w:val="auto"/>
              </w:rPr>
            </w:pPr>
            <w:r>
              <w:rPr>
                <w:rFonts w:ascii="Arial" w:cs="Arial" w:eastAsia="Arial" w:hAnsi="Arial"/>
                <w:sz w:val="18"/>
                <w:szCs w:val="18"/>
                <w:b w:val="1"/>
                <w:bCs w:val="1"/>
                <w:color w:val="auto"/>
                <w:w w:val="88"/>
              </w:rPr>
              <w:t>December 31, 2019</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16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7"/>
              </w:rPr>
              <w:t>Amortized</w:t>
            </w:r>
          </w:p>
        </w:tc>
        <w:tc>
          <w:tcPr>
            <w:tcW w:w="180" w:type="dxa"/>
            <w:vAlign w:val="bottom"/>
          </w:tcPr>
          <w:p>
            <w:pPr>
              <w:spacing w:after="0"/>
              <w:rPr>
                <w:sz w:val="17"/>
                <w:szCs w:val="17"/>
                <w:color w:val="auto"/>
              </w:rPr>
            </w:pPr>
          </w:p>
        </w:tc>
        <w:tc>
          <w:tcPr>
            <w:tcW w:w="96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Fair</w:t>
            </w:r>
          </w:p>
        </w:tc>
        <w:tc>
          <w:tcPr>
            <w:tcW w:w="9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12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7"/>
                <w:szCs w:val="17"/>
                <w:color w:val="auto"/>
              </w:rPr>
            </w:pPr>
          </w:p>
        </w:tc>
        <w:tc>
          <w:tcPr>
            <w:tcW w:w="94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6"/>
              </w:rPr>
              <w:t>Fair</w:t>
            </w:r>
          </w:p>
        </w:tc>
        <w:tc>
          <w:tcPr>
            <w:tcW w:w="9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Value</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Gain/(Loss)</w:t>
            </w: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w w:val="98"/>
              </w:rPr>
              <w:t>Gain/(Loss)</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(Dollars in</w:t>
            </w:r>
          </w:p>
        </w:tc>
        <w:tc>
          <w:tcPr>
            <w:tcW w:w="200" w:type="dxa"/>
            <w:vAlign w:val="bottom"/>
          </w:tcPr>
          <w:p>
            <w:pPr>
              <w:spacing w:after="0"/>
              <w:rPr>
                <w:sz w:val="20"/>
                <w:szCs w:val="20"/>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242,010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249,830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7,820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94,512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94,692</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15,778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463,899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464,516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107,249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106,777</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107,443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107,289</w:t>
            </w:r>
          </w:p>
        </w:tc>
        <w:tc>
          <w:tcPr>
            <w:tcW w:w="2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32,614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34,927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35,833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700,850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726,329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706,437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707,650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Certain securities have fair values less than amortized cost and, therefore, contain unrealized losses. At September 30, 2020,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8"/>
                <w:szCs w:val="18"/>
                <w:b w:val="1"/>
                <w:bCs w:val="1"/>
                <w:color w:val="auto"/>
                <w:w w:val="88"/>
              </w:rPr>
              <w:t>As of September 30, 2020</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5"/>
          </w:tcPr>
          <w:p>
            <w:pPr>
              <w:jc w:val="right"/>
              <w:ind w:right="680"/>
              <w:spacing w:after="0" w:line="198" w:lineRule="exact"/>
              <w:rPr>
                <w:sz w:val="20"/>
                <w:szCs w:val="20"/>
                <w:color w:val="auto"/>
              </w:rPr>
            </w:pPr>
            <w:r>
              <w:rPr>
                <w:rFonts w:ascii="Arial" w:cs="Arial" w:eastAsia="Arial" w:hAnsi="Arial"/>
                <w:sz w:val="18"/>
                <w:szCs w:val="18"/>
                <w:b w:val="1"/>
                <w:bCs w:val="1"/>
                <w:color w:val="auto"/>
              </w:rPr>
              <w:t>Due in One</w:t>
            </w:r>
          </w:p>
        </w:tc>
        <w:tc>
          <w:tcPr>
            <w:tcW w:w="100" w:type="dxa"/>
            <w:vAlign w:val="bottom"/>
          </w:tcPr>
          <w:p>
            <w:pPr>
              <w:spacing w:after="0"/>
              <w:rPr>
                <w:sz w:val="17"/>
                <w:szCs w:val="17"/>
                <w:color w:val="auto"/>
              </w:rPr>
            </w:pPr>
          </w:p>
        </w:tc>
        <w:tc>
          <w:tcPr>
            <w:tcW w:w="1840" w:type="dxa"/>
            <w:vAlign w:val="bottom"/>
            <w:gridSpan w:val="5"/>
          </w:tcPr>
          <w:p>
            <w:pPr>
              <w:jc w:val="right"/>
              <w:ind w:right="320"/>
              <w:spacing w:after="0" w:line="198" w:lineRule="exact"/>
              <w:rPr>
                <w:sz w:val="20"/>
                <w:szCs w:val="20"/>
                <w:color w:val="auto"/>
              </w:rPr>
            </w:pPr>
            <w:r>
              <w:rPr>
                <w:rFonts w:ascii="Arial" w:cs="Arial" w:eastAsia="Arial" w:hAnsi="Arial"/>
                <w:sz w:val="18"/>
                <w:szCs w:val="18"/>
                <w:b w:val="1"/>
                <w:bCs w:val="1"/>
                <w:color w:val="auto"/>
                <w:w w:val="92"/>
              </w:rPr>
              <w:t>Due after One Year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jc w:val="right"/>
              <w:ind w:right="360"/>
              <w:spacing w:after="0" w:line="198" w:lineRule="exact"/>
              <w:rPr>
                <w:sz w:val="20"/>
                <w:szCs w:val="20"/>
                <w:color w:val="auto"/>
              </w:rPr>
            </w:pPr>
            <w:r>
              <w:rPr>
                <w:rFonts w:ascii="Arial" w:cs="Arial" w:eastAsia="Arial" w:hAnsi="Arial"/>
                <w:sz w:val="18"/>
                <w:szCs w:val="18"/>
                <w:b w:val="1"/>
                <w:bCs w:val="1"/>
                <w:color w:val="auto"/>
                <w:w w:val="91"/>
              </w:rPr>
              <w:t>Due after Five Year</w:t>
            </w:r>
          </w:p>
        </w:tc>
        <w:tc>
          <w:tcPr>
            <w:tcW w:w="160" w:type="dxa"/>
            <w:vAlign w:val="bottom"/>
          </w:tcPr>
          <w:p>
            <w:pPr>
              <w:spacing w:after="0"/>
              <w:rPr>
                <w:sz w:val="17"/>
                <w:szCs w:val="17"/>
                <w:color w:val="auto"/>
              </w:rPr>
            </w:pPr>
          </w:p>
        </w:tc>
        <w:tc>
          <w:tcPr>
            <w:tcW w:w="1580" w:type="dxa"/>
            <w:vAlign w:val="bottom"/>
            <w:gridSpan w:val="3"/>
          </w:tcPr>
          <w:p>
            <w:pPr>
              <w:jc w:val="right"/>
              <w:ind w:right="41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Year or Less</w:t>
            </w:r>
          </w:p>
        </w:tc>
        <w:tc>
          <w:tcPr>
            <w:tcW w:w="100" w:type="dxa"/>
            <w:vAlign w:val="bottom"/>
          </w:tcPr>
          <w:p>
            <w:pPr>
              <w:spacing w:after="0"/>
              <w:rPr>
                <w:sz w:val="20"/>
                <w:szCs w:val="20"/>
                <w:color w:val="auto"/>
              </w:rPr>
            </w:pPr>
          </w:p>
        </w:tc>
        <w:tc>
          <w:tcPr>
            <w:tcW w:w="18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9"/>
              </w:rPr>
              <w:t>Through Five 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Through Ten Years</w:t>
            </w:r>
          </w:p>
        </w:tc>
        <w:tc>
          <w:tcPr>
            <w:tcW w:w="160" w:type="dxa"/>
            <w:vAlign w:val="bottom"/>
          </w:tcPr>
          <w:p>
            <w:pPr>
              <w:spacing w:after="0"/>
              <w:rPr>
                <w:sz w:val="20"/>
                <w:szCs w:val="20"/>
                <w:color w:val="auto"/>
              </w:rPr>
            </w:pPr>
          </w:p>
        </w:tc>
        <w:tc>
          <w:tcPr>
            <w:tcW w:w="17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center"/>
              <w:ind w:left="10"/>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220" w:type="dxa"/>
            <w:vAlign w:val="bottom"/>
            <w:gridSpan w:val="4"/>
          </w:tcPr>
          <w:p>
            <w:pPr>
              <w:ind w:left="320"/>
              <w:spacing w:after="0"/>
              <w:rPr>
                <w:sz w:val="20"/>
                <w:szCs w:val="20"/>
                <w:color w:val="auto"/>
              </w:rPr>
            </w:pPr>
            <w:r>
              <w:rPr>
                <w:rFonts w:ascii="Arial" w:cs="Arial" w:eastAsia="Arial" w:hAnsi="Arial"/>
                <w:sz w:val="18"/>
                <w:szCs w:val="18"/>
                <w:b w:val="1"/>
                <w:bCs w:val="1"/>
                <w:color w:val="auto"/>
                <w:w w:val="99"/>
              </w:rPr>
              <w:t>Amortized</w:t>
            </w: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w w:val="95"/>
              </w:rPr>
              <w:t>Amortized</w:t>
            </w:r>
          </w:p>
        </w:tc>
        <w:tc>
          <w:tcPr>
            <w:tcW w:w="14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960" w:type="dxa"/>
            <w:vAlign w:val="bottom"/>
            <w:gridSpan w:val="4"/>
          </w:tcPr>
          <w:p>
            <w:pPr>
              <w:ind w:left="40"/>
              <w:spacing w:after="0"/>
              <w:rPr>
                <w:sz w:val="20"/>
                <w:szCs w:val="20"/>
                <w:color w:val="auto"/>
              </w:rPr>
            </w:pPr>
            <w:r>
              <w:rPr>
                <w:rFonts w:ascii="Arial" w:cs="Arial" w:eastAsia="Arial" w:hAnsi="Arial"/>
                <w:sz w:val="18"/>
                <w:szCs w:val="18"/>
                <w:b w:val="1"/>
                <w:bCs w:val="1"/>
                <w:color w:val="auto"/>
              </w:rPr>
              <w:t>Amortized</w:t>
            </w: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Amortized</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Cost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(Dollars in thousands)</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1,246</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15,825</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223,929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13,898</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294,645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107,249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 amortizing</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32,614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34,723</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658,437</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589"/>
        </w:trPr>
        <w:tc>
          <w:tcPr>
            <w:tcW w:w="30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color w:val="auto"/>
              </w:rPr>
              <w:t>41</w:t>
            </w: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0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b w:val="1"/>
                <w:bCs w:val="1"/>
                <w:color w:val="auto"/>
                <w:w w:val="88"/>
              </w:rPr>
              <w:t>As of December 31, 2019</w:t>
            </w: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5"/>
          </w:tcPr>
          <w:p>
            <w:pPr>
              <w:jc w:val="right"/>
              <w:ind w:right="680"/>
              <w:spacing w:after="0" w:line="198" w:lineRule="exact"/>
              <w:rPr>
                <w:sz w:val="20"/>
                <w:szCs w:val="20"/>
                <w:color w:val="auto"/>
              </w:rPr>
            </w:pPr>
            <w:r>
              <w:rPr>
                <w:rFonts w:ascii="Arial" w:cs="Arial" w:eastAsia="Arial" w:hAnsi="Arial"/>
                <w:sz w:val="18"/>
                <w:szCs w:val="18"/>
                <w:b w:val="1"/>
                <w:bCs w:val="1"/>
                <w:color w:val="auto"/>
              </w:rPr>
              <w:t>Due in One</w:t>
            </w:r>
          </w:p>
        </w:tc>
        <w:tc>
          <w:tcPr>
            <w:tcW w:w="100" w:type="dxa"/>
            <w:vAlign w:val="bottom"/>
          </w:tcPr>
          <w:p>
            <w:pPr>
              <w:spacing w:after="0"/>
              <w:rPr>
                <w:sz w:val="17"/>
                <w:szCs w:val="17"/>
                <w:color w:val="auto"/>
              </w:rPr>
            </w:pPr>
          </w:p>
        </w:tc>
        <w:tc>
          <w:tcPr>
            <w:tcW w:w="1880" w:type="dxa"/>
            <w:vAlign w:val="bottom"/>
            <w:gridSpan w:val="4"/>
          </w:tcPr>
          <w:p>
            <w:pPr>
              <w:jc w:val="right"/>
              <w:ind w:right="360"/>
              <w:spacing w:after="0" w:line="198" w:lineRule="exact"/>
              <w:rPr>
                <w:sz w:val="20"/>
                <w:szCs w:val="20"/>
                <w:color w:val="auto"/>
              </w:rPr>
            </w:pPr>
            <w:r>
              <w:rPr>
                <w:rFonts w:ascii="Arial" w:cs="Arial" w:eastAsia="Arial" w:hAnsi="Arial"/>
                <w:sz w:val="18"/>
                <w:szCs w:val="18"/>
                <w:b w:val="1"/>
                <w:bCs w:val="1"/>
                <w:color w:val="auto"/>
                <w:w w:val="92"/>
              </w:rPr>
              <w:t>Due after One Year</w:t>
            </w:r>
          </w:p>
        </w:tc>
        <w:tc>
          <w:tcPr>
            <w:tcW w:w="1980" w:type="dxa"/>
            <w:vAlign w:val="bottom"/>
            <w:gridSpan w:val="6"/>
          </w:tcPr>
          <w:p>
            <w:pPr>
              <w:ind w:left="80"/>
              <w:spacing w:after="0" w:line="198" w:lineRule="exact"/>
              <w:rPr>
                <w:sz w:val="20"/>
                <w:szCs w:val="20"/>
                <w:color w:val="auto"/>
              </w:rPr>
            </w:pPr>
            <w:r>
              <w:rPr>
                <w:rFonts w:ascii="Arial" w:cs="Arial" w:eastAsia="Arial" w:hAnsi="Arial"/>
                <w:sz w:val="18"/>
                <w:szCs w:val="18"/>
                <w:b w:val="1"/>
                <w:bCs w:val="1"/>
                <w:color w:val="auto"/>
              </w:rPr>
              <w:t>Due after Five Years</w:t>
            </w:r>
          </w:p>
        </w:tc>
        <w:tc>
          <w:tcPr>
            <w:tcW w:w="160" w:type="dxa"/>
            <w:vAlign w:val="bottom"/>
          </w:tcPr>
          <w:p>
            <w:pPr>
              <w:spacing w:after="0"/>
              <w:rPr>
                <w:sz w:val="17"/>
                <w:szCs w:val="17"/>
                <w:color w:val="auto"/>
              </w:rPr>
            </w:pPr>
          </w:p>
        </w:tc>
        <w:tc>
          <w:tcPr>
            <w:tcW w:w="1580" w:type="dxa"/>
            <w:vAlign w:val="bottom"/>
            <w:gridSpan w:val="3"/>
          </w:tcPr>
          <w:p>
            <w:pPr>
              <w:ind w:left="36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Year or Less</w:t>
            </w:r>
          </w:p>
        </w:tc>
        <w:tc>
          <w:tcPr>
            <w:tcW w:w="100" w:type="dxa"/>
            <w:vAlign w:val="bottom"/>
          </w:tcPr>
          <w:p>
            <w:pPr>
              <w:spacing w:after="0"/>
              <w:rPr>
                <w:sz w:val="20"/>
                <w:szCs w:val="20"/>
                <w:color w:val="auto"/>
              </w:rPr>
            </w:pPr>
          </w:p>
        </w:tc>
        <w:tc>
          <w:tcPr>
            <w:tcW w:w="18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89"/>
              </w:rPr>
              <w:t>Through Five Years</w:t>
            </w:r>
          </w:p>
        </w:tc>
        <w:tc>
          <w:tcPr>
            <w:tcW w:w="120" w:type="dxa"/>
            <w:vAlign w:val="bottom"/>
          </w:tcPr>
          <w:p>
            <w:pPr>
              <w:spacing w:after="0"/>
              <w:rPr>
                <w:sz w:val="20"/>
                <w:szCs w:val="20"/>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88"/>
              </w:rPr>
              <w:t>Through Ten Years</w:t>
            </w:r>
          </w:p>
        </w:tc>
        <w:tc>
          <w:tcPr>
            <w:tcW w:w="160" w:type="dxa"/>
            <w:vAlign w:val="bottom"/>
          </w:tcPr>
          <w:p>
            <w:pPr>
              <w:spacing w:after="0"/>
              <w:rPr>
                <w:sz w:val="20"/>
                <w:szCs w:val="20"/>
                <w:color w:val="auto"/>
              </w:rPr>
            </w:pPr>
          </w:p>
        </w:tc>
        <w:tc>
          <w:tcPr>
            <w:tcW w:w="1740" w:type="dxa"/>
            <w:vAlign w:val="bottom"/>
            <w:gridSpan w:val="4"/>
          </w:tcPr>
          <w:p>
            <w:pPr>
              <w:ind w:left="34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center"/>
              <w:ind w:left="10"/>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w:t>
            </w: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Amortized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Amortized</w:t>
            </w: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Amortized</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(Dollars in thousands)</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14,206</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78,808</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1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23,513</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439,377</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107,443</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 amortizing</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35,833</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6,787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37,719</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661,461</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90"/>
              </w:rPr>
              <w:t>2.56%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Total deposits at September 30, 2020 were $2.94 billion, representing an increase of $246.9 million, or 9.2%, compared to $2.70 billion at December 31, 2019. The increase in total deposits since December 31, 2019 is primarily due to organic growth, customers depositing funds received from PPP loans and maintaining higher balances, and other government stimulus payments and programs. We anticipate that as customers spend down their PPP loan funds, this will result in a reduction in deposits. As of September 30, 2020, 30.8% of total deposits were comprised of noninterest-bearing demand accounts, 58.3% of interest-bearing non-maturity accounts and 10.9% of time deposits.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the deposit mix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906,059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790,921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323,955</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318,379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1,391,620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1,231,534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322,168</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356,023</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r>
      <w:tr>
        <w:trPr>
          <w:trHeight w:val="237"/>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2,943,802</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2,696,857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the remaining maturity of time deposits of $100,000 and greater as of the date indicated:</w:t>
      </w:r>
    </w:p>
    <w:p>
      <w:pPr>
        <w:sectPr>
          <w:pgSz w:w="11900" w:h="16838" w:orient="portrait"/>
          <w:cols w:equalWidth="0" w:num="1">
            <w:col w:w="11240"/>
          </w:cols>
          <w:pgMar w:left="320" w:top="122" w:right="339" w:bottom="1111"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833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Time deposits $100,000 or greater with remaining maturity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Three months or 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three months through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After six months through twelve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twelve months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September 30,</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8" w:lineRule="exact"/>
        <w:rPr>
          <w:sz w:val="20"/>
          <w:szCs w:val="20"/>
          <w:color w:val="auto"/>
        </w:rPr>
      </w:pPr>
    </w:p>
    <w:p>
      <w:pPr>
        <w:ind w:left="620" w:hanging="615"/>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33,003</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29,869</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57,587</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118,805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 w:lineRule="exact"/>
        <w:rPr>
          <w:sz w:val="20"/>
          <w:szCs w:val="20"/>
          <w:color w:val="auto"/>
        </w:rPr>
      </w:pPr>
    </w:p>
    <w:p>
      <w:pPr>
        <w:ind w:left="520" w:hanging="515"/>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239,264</w:t>
      </w:r>
    </w:p>
    <w:p>
      <w:pPr>
        <w:spacing w:after="0" w:line="222" w:lineRule="exact"/>
        <w:rPr>
          <w:sz w:val="20"/>
          <w:szCs w:val="20"/>
          <w:color w:val="auto"/>
        </w:rPr>
      </w:pPr>
    </w:p>
    <w:p>
      <w:pPr>
        <w:sectPr>
          <w:pgSz w:w="11900" w:h="16838" w:orient="portrait"/>
          <w:cols w:equalWidth="0" w:num="2">
            <w:col w:w="9300" w:space="720"/>
            <w:col w:w="1220"/>
          </w:cols>
          <w:pgMar w:left="320" w:top="122" w:right="339" w:bottom="1111"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Borrowed Funds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 addition to deposits, we utilize advances from the FHLB and other borrowings as a supplementary funding source to finance our operations.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color w:val="auto"/>
        </w:rPr>
        <w:t>FHLB Advances</w:t>
      </w:r>
      <w:r>
        <w:rPr>
          <w:rFonts w:ascii="Arial" w:cs="Arial" w:eastAsia="Arial" w:hAnsi="Arial"/>
          <w:sz w:val="21"/>
          <w:szCs w:val="21"/>
          <w:color w:val="auto"/>
        </w:rPr>
        <w:t>. The FHLB allows us to borrow, both short and long-term, on a blanket floating lien status collateralized by first</w:t>
      </w:r>
      <w:r>
        <w:rPr>
          <w:rFonts w:ascii="Arial" w:cs="Arial" w:eastAsia="Arial" w:hAnsi="Arial"/>
          <w:sz w:val="21"/>
          <w:szCs w:val="21"/>
          <w:i w:val="1"/>
          <w:iCs w:val="1"/>
          <w:color w:val="auto"/>
        </w:rPr>
        <w:t xml:space="preserve"> </w:t>
      </w:r>
      <w:r>
        <w:rPr>
          <w:rFonts w:ascii="Arial" w:cs="Arial" w:eastAsia="Arial" w:hAnsi="Arial"/>
          <w:sz w:val="21"/>
          <w:szCs w:val="21"/>
          <w:color w:val="auto"/>
        </w:rPr>
        <w:t>mortgage loans and commercial real estate loans as well as FHLB stock. At September 30, 2020 and December 31, 2019, we had total remaining borrowing capacity from the FHLB of $514.9 million and $304.8 million, respectively.</w:t>
      </w:r>
    </w:p>
    <w:p>
      <w:pPr>
        <w:sectPr>
          <w:pgSz w:w="11900" w:h="16838" w:orient="portrait"/>
          <w:cols w:equalWidth="0" w:num="1">
            <w:col w:w="11240"/>
          </w:cols>
          <w:pgMar w:left="320" w:top="122" w:right="339" w:bottom="1111" w:gutter="0" w:footer="0" w:header="0"/>
          <w:type w:val="continuous"/>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111"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FHLB borrowings as of and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8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2019</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95,870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95,000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116,517</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r>
    </w:tbl>
    <w:p>
      <w:pPr>
        <w:spacing w:after="0" w:line="222"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i w:val="1"/>
          <w:iCs w:val="1"/>
          <w:color w:val="auto"/>
        </w:rPr>
        <w:t>Federal Reserve Bank of Dallas</w:t>
      </w:r>
      <w:r>
        <w:rPr>
          <w:rFonts w:ascii="Arial" w:cs="Arial" w:eastAsia="Arial" w:hAnsi="Arial"/>
          <w:sz w:val="19"/>
          <w:szCs w:val="19"/>
          <w:color w:val="auto"/>
        </w:rPr>
        <w:t>. The Bank has a line of credit with the FRB. The amount of the line is determined on a monthly</w:t>
      </w:r>
      <w:r>
        <w:rPr>
          <w:rFonts w:ascii="Arial" w:cs="Arial" w:eastAsia="Arial" w:hAnsi="Arial"/>
          <w:sz w:val="19"/>
          <w:szCs w:val="19"/>
          <w:i w:val="1"/>
          <w:iCs w:val="1"/>
          <w:color w:val="auto"/>
        </w:rPr>
        <w:t xml:space="preserve"> </w:t>
      </w:r>
      <w:r>
        <w:rPr>
          <w:rFonts w:ascii="Arial" w:cs="Arial" w:eastAsia="Arial" w:hAnsi="Arial"/>
          <w:sz w:val="19"/>
          <w:szCs w:val="19"/>
          <w:color w:val="auto"/>
        </w:rPr>
        <w:t>basis by the FRB. The line is collateralized by a blanket floating lien on all agriculture, commercial and consumer loans. The amount of the line was $692.3 million and $547.6 million at September 30, 2020 and December 31, 2019,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FRB borrowings as of and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As of/For the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1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840" w:type="dxa"/>
            <w:vAlign w:val="bottom"/>
          </w:tcPr>
          <w:p>
            <w:pPr>
              <w:spacing w:after="0"/>
              <w:rPr>
                <w:sz w:val="20"/>
                <w:szCs w:val="20"/>
                <w:color w:val="auto"/>
              </w:rPr>
            </w:pPr>
          </w:p>
        </w:tc>
        <w:tc>
          <w:tcPr>
            <w:tcW w:w="21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8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2019</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7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0.00%</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0.00%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0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1,209</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0.00%</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Lines of Credit</w:t>
      </w:r>
      <w:r>
        <w:rPr>
          <w:rFonts w:ascii="Arial" w:cs="Arial" w:eastAsia="Arial" w:hAnsi="Arial"/>
          <w:sz w:val="22"/>
          <w:szCs w:val="22"/>
          <w:color w:val="auto"/>
        </w:rPr>
        <w:t>. The Bank has uncollateralized lines of credit with multiple banks as a source of funding for liquidity</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The total amount of the lines was $165.0 million as of September 30, 2020 and December 31, 2019. The lines were not used during the three or nine month periods ended September 30, 2020 or the three or nine month periods ending September 30, 2019.</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Subordinated Debt Securities</w:t>
      </w:r>
      <w:r>
        <w:rPr>
          <w:rFonts w:ascii="Arial" w:cs="Arial" w:eastAsia="Arial" w:hAnsi="Arial"/>
          <w:sz w:val="22"/>
          <w:szCs w:val="22"/>
          <w:color w:val="auto"/>
        </w:rPr>
        <w:t>. In December 2018, the Company issued $26.5 million in subordinated debt securities. Securities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totaling $12.4 million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t>
      </w:r>
      <w:r>
        <w:rPr>
          <w:rFonts w:ascii="Arial" w:cs="Arial" w:eastAsia="Arial" w:hAnsi="Arial"/>
          <w:sz w:val="22"/>
          <w:szCs w:val="22"/>
          <w:i w:val="1"/>
          <w:iCs w:val="1"/>
          <w:color w:val="auto"/>
        </w:rPr>
        <w:t>Wall Street Journal</w:t>
      </w:r>
      <w:r>
        <w:rPr>
          <w:rFonts w:ascii="Arial" w:cs="Arial" w:eastAsia="Arial" w:hAnsi="Arial"/>
          <w:sz w:val="22"/>
          <w:szCs w:val="22"/>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September 2020, the Company issued $50.0 million in subordinated debt securities. Proceeds were reduced by $926,000 in debt issuance costs. The securities have a maturity date of September 2030 and a fixed rate of 4.50% for the first five years. After the fixed rate period, the securities will float at the current three-month Secured Overnight Financing Rate, as published by the Federal Reserve Bank of New York plus 438 basis points. These securities pay interest semi-annually during the fixed rate period and quarterly during the floating period, are unsecured, and may be called by the Company at any time after the remaining maturity is five years or less. Additionally, these securities qualify for tier 2 capital treatment, subject to regulatory limitations.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balance of subordinated debt securities as of September 30, 2020 and December 31, 2019 was $75.5 million and $26.5 million, respectively.</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Junior Subordinated Deferrable Interest Debentures and Trust Preferred Securities</w:t>
      </w:r>
      <w:r>
        <w:rPr>
          <w:rFonts w:ascii="Arial" w:cs="Arial" w:eastAsia="Arial" w:hAnsi="Arial"/>
          <w:sz w:val="19"/>
          <w:szCs w:val="19"/>
          <w:color w:val="auto"/>
        </w:rPr>
        <w:t>. Between March 2004 and June 2007,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September 30, 2020 and December 31, 2019.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ectPr>
          <w:pgSz w:w="11900" w:h="16838" w:orient="portrait"/>
          <w:cols w:equalWidth="0" w:num="1">
            <w:col w:w="11240"/>
          </w:cols>
          <w:pgMar w:left="320" w:top="122" w:right="339" w:bottom="868"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68"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chart below indicates certain information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Stated</w:t>
            </w:r>
          </w:p>
        </w:tc>
        <w:tc>
          <w:tcPr>
            <w:tcW w:w="28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Date</w:t>
            </w:r>
          </w:p>
        </w:tc>
        <w:tc>
          <w:tcPr>
            <w:tcW w:w="28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of</w:t>
            </w:r>
          </w:p>
        </w:tc>
        <w:tc>
          <w:tcPr>
            <w:tcW w:w="28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Trust</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 of</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Trust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Preferred</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2"/>
              </w:rPr>
              <w:t>Trust Preferred</w:t>
            </w:r>
          </w:p>
        </w:tc>
      </w:tr>
      <w:tr>
        <w:trPr>
          <w:trHeight w:val="206"/>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Issue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7"/>
                <w:szCs w:val="17"/>
                <w:color w:val="auto"/>
              </w:rPr>
            </w:pPr>
          </w:p>
        </w:tc>
        <w:tc>
          <w:tcPr>
            <w:tcW w:w="12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3"/>
              </w:rPr>
              <w:t>Amount of</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Securities and</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r>
      <w:tr>
        <w:trPr>
          <w:trHeight w:val="251"/>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Trust</w:t>
            </w:r>
          </w:p>
        </w:tc>
        <w:tc>
          <w:tcPr>
            <w:tcW w:w="120" w:type="dxa"/>
            <w:vAlign w:val="bottom"/>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Date</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Debentures</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91"/>
              </w:rPr>
              <w:t>Debentures</w:t>
            </w:r>
            <w:r>
              <w:rPr>
                <w:rFonts w:ascii="Arial" w:cs="Arial" w:eastAsia="Arial" w:hAnsi="Arial"/>
                <w:sz w:val="28"/>
                <w:szCs w:val="28"/>
                <w:b w:val="1"/>
                <w:bCs w:val="1"/>
                <w:color w:val="auto"/>
                <w:w w:val="91"/>
                <w:vertAlign w:val="superscript"/>
              </w:rPr>
              <w:t>(1)</w:t>
            </w:r>
          </w:p>
        </w:tc>
        <w:tc>
          <w:tcPr>
            <w:tcW w:w="120" w:type="dxa"/>
            <w:vAlign w:val="bottom"/>
          </w:tcPr>
          <w:p>
            <w:pPr>
              <w:spacing w:after="0"/>
              <w:rPr>
                <w:sz w:val="21"/>
                <w:szCs w:val="21"/>
                <w:color w:val="auto"/>
              </w:rPr>
            </w:pPr>
          </w:p>
        </w:tc>
        <w:tc>
          <w:tcPr>
            <w:tcW w:w="28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7"/>
              </w:rPr>
              <w:t>Debentures</w:t>
            </w:r>
            <w:r>
              <w:rPr>
                <w:rFonts w:ascii="Arial" w:cs="Arial" w:eastAsia="Arial" w:hAnsi="Arial"/>
                <w:sz w:val="28"/>
                <w:szCs w:val="28"/>
                <w:b w:val="1"/>
                <w:bCs w:val="1"/>
                <w:color w:val="auto"/>
                <w:w w:val="87"/>
                <w:vertAlign w:val="superscript"/>
              </w:rPr>
              <w:t>(2)(3)</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(Dollars</w:t>
            </w: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2004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10,310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w:t>
            </w:r>
          </w:p>
        </w:tc>
        <w:tc>
          <w:tcPr>
            <w:tcW w:w="28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3-mo. LIBOR + 265 bps; 2.91%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South Plains Financial Capital Trust IV</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20,619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2035</w:t>
            </w:r>
          </w:p>
        </w:tc>
        <w:tc>
          <w:tcPr>
            <w:tcW w:w="2800" w:type="dxa"/>
            <w:vAlign w:val="bottom"/>
          </w:tcPr>
          <w:p>
            <w:pPr>
              <w:ind w:left="480"/>
              <w:spacing w:after="0"/>
              <w:rPr>
                <w:sz w:val="20"/>
                <w:szCs w:val="20"/>
                <w:color w:val="auto"/>
              </w:rPr>
            </w:pPr>
            <w:r>
              <w:rPr>
                <w:rFonts w:ascii="Arial" w:cs="Arial" w:eastAsia="Arial" w:hAnsi="Arial"/>
                <w:sz w:val="18"/>
                <w:szCs w:val="18"/>
                <w:color w:val="auto"/>
                <w:w w:val="91"/>
              </w:rPr>
              <w:t>3-mo. LIBOR + 139 bps; 1.64%</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15,464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2037</w:t>
            </w:r>
          </w:p>
        </w:tc>
        <w:tc>
          <w:tcPr>
            <w:tcW w:w="28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3-mo. LIBOR + 150 bps; 1.75%</w:t>
            </w: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46,393</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Rate as of last reset date, prior to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(the “ALCO Committee”), reviews this information to determine if the projected future net interest income levels would be acceptable. The Company attempts to stay within acceptable net interest income levels.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FRB discount window. At September 30, 2020, the Bank had the capacity to borrow additional funds from the FHLB of up to approximately $515 million and the capacity to borrow from the FRB discount window of approximately $692 million. The FRB has also lowered the primary credit rate to 0.25% and extended the term to 90 days to enhance liquidity and encourage use of the FRB discount window. In addition, the Company maintains overnight fed fund purchase arrangements with correspondent banks.</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 Management believes that these sources of liquidity will provide adequate funding and liquidity to address the economic uncertainties caused by the ongoing COVID-19 pandemic. However, during this period management is closely monitoring the Company’s potential liquidity needs, and if general economic conditions, the COVID-19 pandemic, or other events cause these sources of liquidity to become restricted or are eliminated, the Company may not be able to raise adequate funds or may incur substantially higher funding costs or operating restrictions in order to raise the necessary funds to support the Company’s operations and growth.</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Capital Requirements</w:t>
      </w:r>
    </w:p>
    <w:p>
      <w:pPr>
        <w:spacing w:after="0" w:line="23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Total shareholders’ equity increased to $352.6 million as of September 30, 2020, compared to $306.2 million as of December 31, 2019, an increase of $46.4 million, or 15.1%. The increase from December 31, 2019 was primarily the result of $29.4 million in net earnings for the nine months ended September 30, 2020, and a change in accumulated other comprehensive income of $17.8 million, net of tax.</w:t>
      </w:r>
    </w:p>
    <w:p>
      <w:pPr>
        <w:sectPr>
          <w:pgSz w:w="11900" w:h="16838" w:orient="portrait"/>
          <w:cols w:equalWidth="0" w:num="1">
            <w:col w:w="11240"/>
          </w:cols>
          <w:pgMar w:left="320" w:top="122" w:right="339" w:bottom="4"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 w:gutter="0" w:footer="0" w:header="0"/>
          <w:type w:val="continuous"/>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At September 30, 2020, both the Company and the Bank met all the capital adequacy requirements to which the Company and the Bank were subject. At September 30, 2020, the Bank was “well capitalized” under the regulatory framework for prompt corrective action. Management believes that no conditions or events have occurred since September 30, 2020 that would materially adversely change such capital classifications. From time to time, we may need to raise additional capital to support the Company’s and the Bank’s further growth and to maintain our “well capitalized” status.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Company’s and the Bank’s regulatory capital ratios as of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ind w:left="30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20"/>
                <w:szCs w:val="20"/>
                <w:color w:val="auto"/>
              </w:rPr>
            </w:pPr>
          </w:p>
        </w:tc>
        <w:tc>
          <w:tcPr>
            <w:tcW w:w="2420" w:type="dxa"/>
            <w:vAlign w:val="bottom"/>
            <w:gridSpan w:val="4"/>
          </w:tcPr>
          <w:p>
            <w:pPr>
              <w:ind w:left="32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South Plains Financial, Inc.</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457,689</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18.67%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373,684</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14.88%</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351,303</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14.33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306,303</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277,835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351,303</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City Bank:</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394,673</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16.10%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368,322</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14.67%</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363,834</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363,834</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363,834</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Treasury Stock</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March 13, 2020, the Company approved a stock repurchase program pursuant to which the Company may, from time to time, purchase up to $10.0 million of its outstanding shares of common stock (the “Program”). The shares may be repurchased from time to time in privately negotiated transactions or the open market, including pursuant to Rule 10b5-1 trading plans, and in accordance with applicable regulations of the SEC. The timing and exact amount of any repurchases will depend on various factors including, the performance of the Company’s stock price, general market and other conditions, applicable legal requirements and other factors. The Program may be terminated or amended by the Company’s board of directors at any time prior to the expiration date. On April 16, 2020, the Company announced a temporary suspension of the Program in light of the uncertainties presented by the COVID-19 pandemic and surrounding events. However, as announced on November 2, 2020, the Company has resumed the Program. While the Program originally had an expiration date of April 15, 2021, The Company’s board of directors extended the expiration of the Program to November 5, 20201, subject to certain limitations and conditions.</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September 30, 2020, the Company repurchased 4,700 shares of its common stock at a weighted average price of $13.03 per share for an aggregate amount of $61,000, all of which were immediately cancelled. These purchases were all in April 2020 and prior to the Company’s temporary suspension of the Program. The Company accounted for the transactions under the cost method. These transactions are recorded as “Purchase of treasury stock” in the accompanying consolidated statements of changes in stockholders’ equity.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Arrangements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Because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commitments we have made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(Dollars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409,969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10,748</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446,637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See “Borrowed Funds - FHLB Advances” herein for a discussion for amounts of letters of credit.</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Sensitivity and Market Risk</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15"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3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ectPr>
          <w:pgSz w:w="11900" w:h="16838" w:orient="portrait"/>
          <w:cols w:equalWidth="0" w:num="1">
            <w:col w:w="11240"/>
          </w:cols>
          <w:pgMar w:left="320" w:top="122" w:right="339" w:bottom="0" w:gutter="0" w:footer="0" w:header="0"/>
        </w:sectPr>
      </w:pPr>
    </w:p>
    <w:bookmarkStart w:id="55" w:name="page56"/>
    <w:bookmarkEnd w:id="55"/>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6" w:name="page57"/>
    <w:bookmarkEnd w:id="56"/>
    <w:p>
      <w:pPr>
        <w:spacing w:after="0" w:line="10"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summarize the simulated change in net interest income over a 12-month horizon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30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r>
      <w:tr>
        <w:trPr>
          <w:trHeight w:val="198"/>
        </w:trPr>
        <w:tc>
          <w:tcPr>
            <w:tcW w:w="3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5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Percent Change in</w:t>
            </w:r>
          </w:p>
        </w:tc>
        <w:tc>
          <w:tcPr>
            <w:tcW w:w="220" w:type="dxa"/>
            <w:vAlign w:val="bottom"/>
          </w:tcPr>
          <w:p>
            <w:pPr>
              <w:spacing w:after="0"/>
              <w:rPr>
                <w:sz w:val="17"/>
                <w:szCs w:val="17"/>
                <w:color w:val="auto"/>
              </w:rPr>
            </w:pPr>
          </w:p>
        </w:tc>
      </w:tr>
      <w:tr>
        <w:trPr>
          <w:trHeight w:val="221"/>
        </w:trPr>
        <w:tc>
          <w:tcPr>
            <w:tcW w:w="3000" w:type="dxa"/>
            <w:vAlign w:val="bottom"/>
          </w:tcPr>
          <w:p>
            <w:pPr>
              <w:spacing w:after="0"/>
              <w:rPr>
                <w:sz w:val="20"/>
                <w:szCs w:val="20"/>
                <w:color w:val="auto"/>
              </w:rPr>
            </w:pPr>
            <w:r>
              <w:rPr>
                <w:rFonts w:ascii="Arial" w:cs="Arial" w:eastAsia="Arial" w:hAnsi="Arial"/>
                <w:sz w:val="18"/>
                <w:szCs w:val="18"/>
                <w:b w:val="1"/>
                <w:bCs w:val="1"/>
                <w:color w:val="auto"/>
                <w:w w:val="88"/>
              </w:rPr>
              <w:t>Change in Interest Rates (Basis Points)</w:t>
            </w:r>
          </w:p>
        </w:tc>
        <w:tc>
          <w:tcPr>
            <w:tcW w:w="4640" w:type="dxa"/>
            <w:vAlign w:val="bottom"/>
          </w:tcPr>
          <w:p>
            <w:pPr>
              <w:spacing w:after="0"/>
              <w:rPr>
                <w:sz w:val="19"/>
                <w:szCs w:val="19"/>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Net Interest Income</w:t>
            </w:r>
          </w:p>
        </w:tc>
        <w:tc>
          <w:tcPr>
            <w:tcW w:w="240" w:type="dxa"/>
            <w:vAlign w:val="bottom"/>
          </w:tcPr>
          <w:p>
            <w:pPr>
              <w:spacing w:after="0"/>
              <w:rPr>
                <w:sz w:val="19"/>
                <w:szCs w:val="19"/>
                <w:color w:val="auto"/>
              </w:rPr>
            </w:pPr>
          </w:p>
        </w:tc>
        <w:tc>
          <w:tcPr>
            <w:tcW w:w="18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Net Interest Income</w:t>
            </w:r>
          </w:p>
        </w:tc>
      </w:tr>
      <w:tr>
        <w:trPr>
          <w:trHeight w:val="21"/>
        </w:trPr>
        <w:tc>
          <w:tcPr>
            <w:tcW w:w="300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46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7.57%</w:t>
            </w:r>
          </w:p>
        </w:tc>
        <w:tc>
          <w:tcPr>
            <w:tcW w:w="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+200</w:t>
            </w:r>
          </w:p>
        </w:tc>
        <w:tc>
          <w:tcPr>
            <w:tcW w:w="4640" w:type="dxa"/>
            <w:vAlign w:val="bottom"/>
          </w:tcPr>
          <w:p>
            <w:pPr>
              <w:spacing w:after="0"/>
              <w:rPr>
                <w:sz w:val="18"/>
                <w:szCs w:val="18"/>
                <w:color w:val="auto"/>
              </w:rPr>
            </w:pP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4.30%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46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-100</w:t>
            </w:r>
          </w:p>
        </w:tc>
        <w:tc>
          <w:tcPr>
            <w:tcW w:w="4640" w:type="dxa"/>
            <w:vAlign w:val="bottom"/>
          </w:tcPr>
          <w:p>
            <w:pPr>
              <w:spacing w:after="0"/>
              <w:rPr>
                <w:sz w:val="20"/>
                <w:szCs w:val="20"/>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(0.90)%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(0.23)%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September 30, 2020.</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 xml:space="preserve">Basis of Presentation and Consolidation. </w:t>
      </w:r>
      <w:r>
        <w:rPr>
          <w:rFonts w:ascii="Arial" w:cs="Arial" w:eastAsia="Arial" w:hAnsi="Arial"/>
          <w:sz w:val="22"/>
          <w:szCs w:val="22"/>
          <w:color w:val="auto"/>
        </w:rPr>
        <w:t>The consolidated financial statements include the accounts of the Company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wholly owned consolidated subsidiaries. All significant intercompany balances and transactions have been eliminated in consolidation.</w:t>
      </w:r>
    </w:p>
    <w:p>
      <w:pPr>
        <w:sectPr>
          <w:pgSz w:w="11900" w:h="1684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ectPr>
          <w:pgSz w:w="11900" w:h="16848" w:orient="portrait"/>
          <w:cols w:equalWidth="0" w:num="1">
            <w:col w:w="11240"/>
          </w:cols>
          <w:pgMar w:left="320" w:top="122" w:right="339" w:bottom="0" w:gutter="0" w:footer="0" w:header="0"/>
          <w:type w:val="continuous"/>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color w:val="auto"/>
        </w:rPr>
        <w:t xml:space="preserve">Cash and Cash Equivalents. </w:t>
      </w:r>
      <w:r>
        <w:rPr>
          <w:rFonts w:ascii="Arial" w:cs="Arial" w:eastAsia="Arial" w:hAnsi="Arial"/>
          <w:sz w:val="22"/>
          <w:szCs w:val="22"/>
          <w:color w:val="auto"/>
        </w:rPr>
        <w:t>The Company includes all cash on hand, balances due from other banks, and Federal funds sold, all</w:t>
      </w:r>
      <w:r>
        <w:rPr>
          <w:rFonts w:ascii="Arial" w:cs="Arial" w:eastAsia="Arial" w:hAnsi="Arial"/>
          <w:sz w:val="22"/>
          <w:szCs w:val="22"/>
          <w:i w:val="1"/>
          <w:iCs w:val="1"/>
          <w:color w:val="auto"/>
        </w:rPr>
        <w:t xml:space="preserve"> </w:t>
      </w:r>
      <w:r>
        <w:rPr>
          <w:rFonts w:ascii="Arial" w:cs="Arial" w:eastAsia="Arial" w:hAnsi="Arial"/>
          <w:sz w:val="22"/>
          <w:szCs w:val="22"/>
          <w:color w:val="auto"/>
        </w:rPr>
        <w:t>of which have original maturities within three months, as cash and cash equivalents.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Securities. </w:t>
      </w:r>
      <w:r>
        <w:rPr>
          <w:rFonts w:ascii="Arial" w:cs="Arial" w:eastAsia="Arial" w:hAnsi="Arial"/>
          <w:sz w:val="19"/>
          <w:szCs w:val="19"/>
          <w:color w:val="auto"/>
        </w:rPr>
        <w:t>Investment securities may be classified into trading, held-to-maturity, or available-for-sale portfolios. Securities that</w:t>
      </w:r>
      <w:r>
        <w:rPr>
          <w:rFonts w:ascii="Arial" w:cs="Arial" w:eastAsia="Arial" w:hAnsi="Arial"/>
          <w:sz w:val="19"/>
          <w:szCs w:val="19"/>
          <w:i w:val="1"/>
          <w:iCs w:val="1"/>
          <w:color w:val="auto"/>
        </w:rPr>
        <w:t xml:space="preserve"> </w:t>
      </w:r>
      <w:r>
        <w:rPr>
          <w:rFonts w:ascii="Arial" w:cs="Arial" w:eastAsia="Arial" w:hAnsi="Arial"/>
          <w:sz w:val="19"/>
          <w:szCs w:val="19"/>
          <w:color w:val="auto"/>
        </w:rPr>
        <w:t>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 than temporary are included in gain or loss on sale of securities. The cost of securities sold is based on the specific identification method.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 xml:space="preserve">Loans. </w:t>
      </w:r>
      <w:r>
        <w:rPr>
          <w:rFonts w:ascii="Arial" w:cs="Arial" w:eastAsia="Arial" w:hAnsi="Arial"/>
          <w:sz w:val="19"/>
          <w:szCs w:val="19"/>
          <w:color w:val="auto"/>
        </w:rPr>
        <w:t>Loans that management has the intent and ability to hold for the foreseeable future or until maturity or payoff are reported</w:t>
      </w:r>
      <w:r>
        <w:rPr>
          <w:rFonts w:ascii="Arial" w:cs="Arial" w:eastAsia="Arial" w:hAnsi="Arial"/>
          <w:sz w:val="19"/>
          <w:szCs w:val="19"/>
          <w:i w:val="1"/>
          <w:iCs w:val="1"/>
          <w:color w:val="auto"/>
        </w:rPr>
        <w:t xml:space="preserve"> </w:t>
      </w:r>
      <w:r>
        <w:rPr>
          <w:rFonts w:ascii="Arial" w:cs="Arial" w:eastAsia="Arial" w:hAnsi="Arial"/>
          <w:sz w:val="19"/>
          <w:szCs w:val="19"/>
          <w:color w:val="auto"/>
        </w:rPr>
        <w:t>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 xml:space="preserve">Allowance for Loan Losses. </w:t>
      </w:r>
      <w:r>
        <w:rPr>
          <w:rFonts w:ascii="Arial" w:cs="Arial" w:eastAsia="Arial" w:hAnsi="Arial"/>
          <w:sz w:val="19"/>
          <w:szCs w:val="19"/>
          <w:color w:val="auto"/>
        </w:rPr>
        <w:t>The allowance for loan losses is established as losses are estimated to have occurred through a</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ectPr>
          <w:pgSz w:w="11900" w:h="16838" w:orient="portrait"/>
          <w:cols w:equalWidth="0" w:num="1">
            <w:col w:w="11240"/>
          </w:cols>
          <w:pgMar w:left="320" w:top="122" w:right="339" w:bottom="6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79"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Loans Held for Sale. </w:t>
      </w:r>
      <w:r>
        <w:rPr>
          <w:rFonts w:ascii="Arial" w:cs="Arial" w:eastAsia="Arial" w:hAnsi="Arial"/>
          <w:sz w:val="22"/>
          <w:szCs w:val="22"/>
          <w:color w:val="auto"/>
        </w:rPr>
        <w:t>Loans held for sale are comprised of residential mortgage loans. Loans that are originated for best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Goodwill and Other Intangible Assets. </w:t>
      </w:r>
      <w:r>
        <w:rPr>
          <w:rFonts w:ascii="Arial" w:cs="Arial" w:eastAsia="Arial" w:hAnsi="Arial"/>
          <w:sz w:val="22"/>
          <w:szCs w:val="22"/>
          <w:color w:val="auto"/>
        </w:rPr>
        <w:t>Goodwill resulting from business combinations is generally determined as the excess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See Note 1, Summary of Significant Accounting Policies, in the notes to the consolidated financial statements included elsewhere in this Form 10-Q regarding the impact of new accounting pronouncements which we have adopted.</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Internal Control over Financial Reporting</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There were no changes in the Company’s internal control over financial reporting (as such term is defined in Rules 13a-15(f) and 15d-15(f) under the Exchange Act) that occurred during the three months ended September 30, 2020 that have materially affected, or are reasonably likely to materially affect, the Company’s internal control over financial reporting.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line="104"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and its subsidiaries are subject to various legal actions, as described in our Annual Report on Form 10-K for the year ended December 31, 2019 (the “2019 Annual Report on Form 10-K”) filed with the SEC on March 25, 2020. There are no material developments in the legal actions described in our 2019 Annual Report on Form 10-K.</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As previously disclosed, in connection with the recent acquisition of WTSB), the Company and the Bank filed a lawsuit in the 72nd Judicial District Court of Lubbock County, Texas: </w:t>
      </w:r>
      <w:r>
        <w:rPr>
          <w:rFonts w:ascii="Arial" w:cs="Arial" w:eastAsia="Arial" w:hAnsi="Arial"/>
          <w:sz w:val="22"/>
          <w:szCs w:val="22"/>
          <w:i w:val="1"/>
          <w:iCs w:val="1"/>
          <w:color w:val="auto"/>
        </w:rPr>
        <w:t>South Plains Financial, Inc. and City Bank v. R. Jay Phillips and West</w:t>
      </w:r>
      <w:r>
        <w:rPr>
          <w:rFonts w:ascii="Arial" w:cs="Arial" w:eastAsia="Arial" w:hAnsi="Arial"/>
          <w:sz w:val="22"/>
          <w:szCs w:val="22"/>
          <w:color w:val="auto"/>
        </w:rPr>
        <w:t xml:space="preserve"> </w:t>
      </w:r>
      <w:r>
        <w:rPr>
          <w:rFonts w:ascii="Arial" w:cs="Arial" w:eastAsia="Arial" w:hAnsi="Arial"/>
          <w:sz w:val="22"/>
          <w:szCs w:val="22"/>
          <w:i w:val="1"/>
          <w:iCs w:val="1"/>
          <w:color w:val="auto"/>
        </w:rPr>
        <w:t>Texas State Bank</w:t>
      </w:r>
      <w:r>
        <w:rPr>
          <w:rFonts w:ascii="Arial" w:cs="Arial" w:eastAsia="Arial" w:hAnsi="Arial"/>
          <w:sz w:val="22"/>
          <w:szCs w:val="22"/>
          <w:color w:val="auto"/>
        </w:rPr>
        <w:t>, Case No. 202053938, on April 8, 2020 (as amended). The petition named as defendants Mr. R. Jay Phillips</w:t>
      </w:r>
      <w:r>
        <w:rPr>
          <w:rFonts w:ascii="Arial" w:cs="Arial" w:eastAsia="Arial" w:hAnsi="Arial"/>
          <w:sz w:val="22"/>
          <w:szCs w:val="22"/>
          <w:i w:val="1"/>
          <w:iCs w:val="1"/>
          <w:color w:val="auto"/>
        </w:rPr>
        <w:t xml:space="preserve"> </w:t>
      </w:r>
      <w:r>
        <w:rPr>
          <w:rFonts w:ascii="Arial" w:cs="Arial" w:eastAsia="Arial" w:hAnsi="Arial"/>
          <w:sz w:val="22"/>
          <w:szCs w:val="22"/>
          <w:color w:val="auto"/>
        </w:rPr>
        <w:t>(“Phillips”) and WTSB.</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September 4, 2020, the parties entered into a Settlement Agreement and Full and Final Mutual Release (the “Settlement Agreement”), pursuant to which the parties resolved the claims and issues in the lawsuit and agreed to file a joint motion to dismiss with prejudice, which was granted by order dated September 17, 2020. Under the terms of the Settlement Agreement, Phillips agreed to make a single payment equaling a total sum of $1,000,000 for the benefit of the Company. In addition, the parties agreed in the Settlement Agreement to mutually release, acquit, and forever discharge, on behalf of themselves and their predecessors, successors and assigns, any and all claims and potential claims of any kind related to the Company’s acquisition of WTSB.</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Except as described above or in our 2019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2019 Annual Report on Form 10-K. The following risk factors represent material changes in the risk factors disclosed by the Company in the 2019 Annual Report on Form 10-K.</w:t>
      </w:r>
    </w:p>
    <w:p>
      <w:pPr>
        <w:spacing w:after="0" w:line="17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The COVID-19 pandemic is adversely affecting us and our customers, employees, and third-party service providers, and the adverse impacts on our business, financial position, results of operations, and prospects could be significant.</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COVID-19 pandemic continues to negatively impact the global economy, disrupt global supply chains, lower equity market valuations, create significant volatility and disruption in financial markets, increase unemployment levels and decrease consumer confidence generally. In addition, the pandemic caused the temporary closures of many businesses and the institution of social distancing and sheltering in place requirements in many states and communities. The pandemic could influence the recognition of credit losses in our loan portfolio and increase our allowance for credit losses, particularly as businesses remain closed and as more customers are expected to draw on their lines of credit or seek additional loans to help finance their businesses. Furthermore, the pandemic could affect the stability of our deposit base as well as our capital and liquidity position, impair the ability of borrowers to repay outstanding loans, impair the value of collateral securing loans, result in lost revenue and cause us to incur additional expenses. Similarly, because of changing economic and market conditions affecting issuers, we may be required to recognize other-than-temporary impairments in future periods on the securities we hold as well as reductions in other comprehensive income.</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extent of the impact of the COVID-19 pandemic on our capital, liquidity, and other financial positions and on our business, results of operations, and prospects will depend on a number of evolving factors, including: (i) the duration, extent, and severity of the pandemic, (ii) the response of governmental and nongovernmental authorities, (iii) the effect on our customers, counterparties, employees, and third-party service providers</w:t>
      </w:r>
      <w:r>
        <w:rPr>
          <w:rFonts w:ascii="Arial" w:cs="Arial" w:eastAsia="Arial" w:hAnsi="Arial"/>
          <w:sz w:val="22"/>
          <w:szCs w:val="22"/>
          <w:i w:val="1"/>
          <w:iCs w:val="1"/>
          <w:color w:val="auto"/>
        </w:rPr>
        <w:t>,</w:t>
      </w:r>
      <w:r>
        <w:rPr>
          <w:rFonts w:ascii="Arial" w:cs="Arial" w:eastAsia="Arial" w:hAnsi="Arial"/>
          <w:sz w:val="22"/>
          <w:szCs w:val="22"/>
          <w:color w:val="auto"/>
        </w:rPr>
        <w:t xml:space="preserve"> (iv) the effect on economies and markets, and (v) the success of hardship relief efforts to bridge the gap to reopening the economy. Even after the COVID-19 pandemic has subsided, we may continue to experience materially adverse impacts to our business as a result of the pandemic’s global economic impact, including the availability of credit, adverse impacts on our liquidity and any recession that has occurred or may occur in the future.</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duration of the pandemic and the resulting business interruptions and related impacts on our business and operations, which will depend on future developments, are highly uncertain and cannot be reasonably estimated at this time. The pandemic could cause us to experience higher credit losses in our lending portfolio, impairment of our goodwill and other financial assets, reduced demand for our products and services, and other negative impacts on our financial position, results of operations, and prospects.</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U.S. government has implemented programs to directly compensate individuals and grant or loan money to businesses in an effort to provide funding while the economy is shut down and in the process of re-opening. Many banks, including City Bank, have implemented hardship relief programs that include payment deferral and short-term funding options. The success of these programs could mute the effect on the Company’s credit losses, which may be difficult to determine.</w:t>
      </w:r>
    </w:p>
    <w:p>
      <w:pPr>
        <w:sectPr>
          <w:pgSz w:w="11900" w:h="16943" w:orient="portrait"/>
          <w:cols w:equalWidth="0" w:num="1">
            <w:col w:w="11240"/>
          </w:cols>
          <w:pgMar w:left="320" w:top="122" w:right="339" w:bottom="0" w:gutter="0" w:footer="0" w:header="0"/>
        </w:sectPr>
      </w:pPr>
    </w:p>
    <w:bookmarkStart w:id="61" w:name="page62"/>
    <w:bookmarkEnd w:id="61"/>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significant number of our borrowers have requested and received short-term loan payment deferrals. Although most of these loans have returned to normal payment schedules upon the expiration of their deferral, outstanding deferrals may negatively impact our revenue and other results of operations in the near term and, if not effective in mitigating the effect of the COVID-19 pandemic on our customers, may adversely affect our business and results of operations more substantially over a longer period of time. Moreover, the cumulative effects of the COVID-19 pandemic and the measures implemented by governments to combat the pandemic on the mortgaged properties may cause borrowers to be unable to meet their payment obligations under mortgage loans that we hold and may result in significant losses.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There are no comparable recent events that provide guidance as to the effect the spread of the COVID-19 pandemic may have, and, as a result, the ultimate impact of the outbreak is highly uncertain and subject to change. We do not yet know the full extent of the impacts on our business, our operations or the global economy as a whole. However, the effects could have a material impact on our results of operations and heighten many of our known risks described in the “Risk Factors” section of our Annual Report on Form 10-K for the fiscal year ended December 31, 2019.</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i w:val="1"/>
          <w:iCs w:val="1"/>
          <w:color w:val="auto"/>
        </w:rPr>
        <w:t>Current and future restrictions on our workforce’s access to our facilities and our reliance on third parties could limit our ability to meet customer servicing expectations and have a material adverse effect on our operations.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rely on business processes and profit center activity that largely depend on people, technology, and the use of complex systems and models to manage our business, including access to information technology systems and models as well as information, applications, payment systems and other services provided by third parties. In response to COVID-19, we have modified our business practices with a majority of our employees working remotely from their homes to have our operations uninterrupted as much as possible. Further, technology in employees’ homes may not be as robust as in our offices and could cause the networks, information systems, applications, and other tools available to employees to be more limited or less reliable than in our offices, the continuation of these work-from-home measures introduces additional operational risk, especially including increased cybersecurity risk. These cyber risks include greater phishing, malware, and other cybersecurity attacks, vulnerability to disruptions of our information technology infrastructure and telecommunications systems for remote operations, increased risk of unauthorized dissemination of confidential information, limited ability to restore the systems in the event of a systems failure or interruption, great risk of a security breach resulting in destruction or misuse of valuable information, and potential impairment of our ability to perform critical functions, including wiring funds, all of which could expose us to risks of data or financial loss, litigation and liability and could seriously disrupt our operations and the operations of any impacted customers.</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Moreover, we rely on many third parties in our business operations, including appraisers of real property collateral, vendors that supply essential services such as loan servicers, providers of financial information, systems and analytical tools and providers of electronic payment and settlement systems, and local and federal government agencies, offices, and courthouses. In light of the developing measures responding to the pandemic, many of these entities have limited the availability and access of their services. For example, loan origination could be delayed due to the limited availability of real estate appraisers for the collateral. Loan closings could be delayed related to reductions in available staff in recording offices or the closing of courthouses in certain counties, which slows the process for title work, mortgage and UCC filings in those counties. If the third party service providers continue to have limited capacities for a prolonged period or if additional limitations or potential disruptions in these services materialize, it may negatively affect our operations.</w:t>
      </w:r>
    </w:p>
    <w:p>
      <w:pPr>
        <w:spacing w:after="0" w:line="18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Changes in market interest rates or capital markets, including volatility resulting from the COVID-19 pandemic, could affect our revenues and expenses, the value of assets and obligations, and the availability and cost of capital or liquidity.</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COVID-19 pandemic continues to significantly affect the financial markets and has resulted in a number of Federal Reserve actions. Market interest rates have declined significantly. On March 3, 2020, the 10-year Treasury yield fell below 1.00% for the first time, and the Federal Reserve reduced the target federal funds rate by 50 basis points to 1.00% to 1.25%. On March 15, 2020, the Federal Reserve further reduced the target federal funds rate by 100 basis points to 0.00% to 0.25% and announced a $700 billion quantitative easing program in response to the expected economic downturn caused by the COVID-19 pandemic. The Federal Reserve reduced the interest that it pays on excess reserves from 1.60% to 1.10% on March 3, 2020, and then to 0.10% on March 15, 2020. We expect that these reductions in interest rates, especially if prolonged, could adversely affect our net interest income and margins and our profitability.</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Given our business mix, and the fact that most of our assets and liabilities are financial in nature, we tend to be sensitive to market interest rate movements and the performance of the financial markets. Our primary source of income is net interest income, which is the difference between the interest income generated by our interest-earning assets (consisting primarily of loans and, to a lesser extent, securities) and the interest expense generated by our interest-bearing liabilities. Prevailing economic conditions, fiscal and monetary policies and the policies of various regulatory agencies all affect market rates of interest and the availability and cost of credit, which, in turn, significantly affect financial institutions’ net interest income. If the interest we pay on deposits and other borrowings increases at a faster rate than increases in the interest we receive on loans and investments, net interest income, and, therefore, our earnings, could be affected. Earnings could also be affected if the interest we receive on loans and other investments falls more quickly than the interest we pay on deposits and other borrowings.</w:t>
      </w:r>
    </w:p>
    <w:p>
      <w:pPr>
        <w:sectPr>
          <w:pgSz w:w="11900" w:h="16838" w:orient="portrait"/>
          <w:cols w:equalWidth="0" w:num="1">
            <w:col w:w="11240"/>
          </w:cols>
          <w:pgMar w:left="320" w:top="122" w:right="339" w:bottom="436"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36" w:gutter="0" w:footer="0" w:header="0"/>
          <w:type w:val="continuous"/>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addition, the continued spread of the COVID-19 pandemic has also led to disruption and volatility in financial markets, which could increase our cost of capital and adversely affect our ability to access financial markets, which may in turn affect the value of the subordinated notes. This market volatility has resulted in a significant decline, and we may continue to experience further declines, in our stock price and market capitalization, which could result in goodwill impairment charges.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As a participating lender in the PPP, we are subject to additional risks of litigation from our customers or other parties and regulatory enforcement regarding our processing and forgiveness of PPP loans, as well as risks that the SBA may not fund some or all PPP loan guaranties.</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response to the COVID-19 pandemic, President Trump signed into law the CARES Act on March 27, 2020. Among other things, the CARES Act created a new facility, titled the “Paycheck Protection Program,” to the SBA’s 7(a) Loan Program. Under the PPP, small businesses and other entities and individuals can apply for loans from existing SBA lenders and other approved regulated lenders that enroll in the program, subject to numerous limitations and eligibility criteria. We are participating as a lender in the PPP and, as of September 30, 2020, the Bank had funded approximately 2,100 loans under the PPP, representing a principal balance of approximately $218 million.</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PPP opened on April 3, 2020; however, because of the short time frame between the passing of the CARES Act and the opening of the PPP, there was and continues to be ambiguity in the laws, rules, and guidance regarding the requirements and operation of the PPP, which exposes the Company to risks relating to noncompliance with the PPP. For instance, other financial institutions have experienced litigation related to their policies and procedures for accepting and processing applications for the</w:t>
      </w:r>
    </w:p>
    <w:p>
      <w:pPr>
        <w:spacing w:after="0" w:line="3" w:lineRule="exact"/>
        <w:rPr>
          <w:sz w:val="20"/>
          <w:szCs w:val="20"/>
          <w:color w:val="auto"/>
        </w:rPr>
      </w:pPr>
    </w:p>
    <w:p>
      <w:pPr>
        <w:ind w:right="20" w:firstLine="8"/>
        <w:spacing w:after="0" w:line="308" w:lineRule="auto"/>
        <w:tabs>
          <w:tab w:leader="none" w:pos="447"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financial liability, litigation costs or reputational damage caused by PPP related litigation could have a material adverse impact on our business, financial condition and results of operations.</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we have credit risk on PPP loans if a determination is made by the SBA that there is a deficiency in the manner in which the loan was originated, funded, or serviced. We also have credit risk related to how forgiveness of the PPP loans is handled and how the forgiveness amounts are determined. We cannot predict what operational, credit, or other shortfalls may arise as a result of the Company making loans under the PPP or how such shortfalls may adversely affect our financial condition, results of operations and future prospects.</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2"/>
        </w:trPr>
        <w:tc>
          <w:tcPr>
            <w:tcW w:w="1100" w:type="dxa"/>
            <w:vAlign w:val="bottom"/>
            <w:gridSpan w:val="2"/>
          </w:tcPr>
          <w:p>
            <w:pPr>
              <w:spacing w:after="0"/>
              <w:rPr>
                <w:rFonts w:ascii="Arial" w:cs="Arial" w:eastAsia="Arial" w:hAnsi="Arial"/>
                <w:sz w:val="14"/>
                <w:szCs w:val="14"/>
                <w:i w:val="1"/>
                <w:iCs w:val="1"/>
                <w:u w:val="single" w:color="auto"/>
                <w:color w:val="0000EE"/>
                <w:w w:val="97"/>
              </w:rPr>
            </w:pPr>
            <w:hyperlink w:anchor="page3">
              <w:r>
                <w:rPr>
                  <w:rFonts w:ascii="Arial" w:cs="Arial" w:eastAsia="Arial" w:hAnsi="Arial"/>
                  <w:sz w:val="14"/>
                  <w:szCs w:val="14"/>
                  <w:i w:val="1"/>
                  <w:iCs w:val="1"/>
                  <w:u w:val="single" w:color="auto"/>
                  <w:color w:val="0000EE"/>
                  <w:w w:val="97"/>
                </w:rPr>
                <w:t>Table of Contents</w:t>
              </w:r>
            </w:hyperlink>
          </w:p>
        </w:tc>
        <w:tc>
          <w:tcPr>
            <w:tcW w:w="160" w:type="dxa"/>
            <w:vAlign w:val="bottom"/>
          </w:tcPr>
          <w:p>
            <w:pPr>
              <w:spacing w:after="0"/>
              <w:rPr>
                <w:sz w:val="15"/>
                <w:szCs w:val="15"/>
                <w:color w:val="auto"/>
              </w:rPr>
            </w:pPr>
          </w:p>
        </w:tc>
        <w:tc>
          <w:tcPr>
            <w:tcW w:w="9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1"/>
        </w:trPr>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10000" w:type="dxa"/>
            <w:vAlign w:val="bottom"/>
            <w:gridSpan w:val="2"/>
          </w:tcPr>
          <w:p>
            <w:pPr>
              <w:ind w:left="45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2"/>
        </w:trPr>
        <w:tc>
          <w:tcPr>
            <w:tcW w:w="680" w:type="dxa"/>
            <w:vAlign w:val="bottom"/>
            <w:tcBorders>
              <w:top w:val="single" w:sz="8" w:color="auto"/>
            </w:tcBorders>
            <w:shd w:val="clear" w:color="auto" w:fill="CCEEFF"/>
          </w:tcPr>
          <w:p>
            <w:pPr>
              <w:spacing w:after="0" w:line="201" w:lineRule="exact"/>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3.1</w:t>
              </w:r>
            </w:hyperlink>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Amended and Restated Certificate of Formation of South Plains Financial, Inc. (incorporated by reference to Exhibit 3.1 to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Company’s Form S-1 filed with the Commission on April 12, 2019) (File No. 333-230851)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line="201" w:lineRule="exact"/>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3.2</w:t>
              </w:r>
            </w:hyperlink>
          </w:p>
        </w:tc>
        <w:tc>
          <w:tcPr>
            <w:tcW w:w="42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Amended and Restated Bylaws of South Plains Financial, Inc. (incorporated by reference to Exhibit 3.2 to the Company’s Form S-1 filed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with the Commission on April 12, 2019) (File No. 333-230851)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line="201" w:lineRule="exact"/>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4.1</w:t>
              </w:r>
            </w:hyperlink>
          </w:p>
        </w:tc>
        <w:tc>
          <w:tcPr>
            <w:tcW w:w="42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Indenture, dated as of September 29, 2020, by and between South Plains Financial, Inc. and UMB Bank, National Association, as trustee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(incorporated by reference to Exhibit 4.1 to the Company’s Form 8-K filed with the Commission on September 29, 2020) (File No. 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38895)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line="201" w:lineRule="exact"/>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4.2</w:t>
              </w:r>
            </w:hyperlink>
          </w:p>
        </w:tc>
        <w:tc>
          <w:tcPr>
            <w:tcW w:w="42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Form of 4.50% Fixed to Floating Rate Subordinated Note due 2030 (incorporated by reference to Exhibit 4.2 to the Company’s Form 8-K</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filed with the Commission on September 29, 2020) (File No. 001-38895)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line="201" w:lineRule="exact"/>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10.1</w:t>
              </w:r>
            </w:hyperlink>
          </w:p>
        </w:tc>
        <w:tc>
          <w:tcPr>
            <w:tcW w:w="42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Form of Note Purchase Agreement, dated as of September 29, 2020, by and among South Plains Financial, Inc. and each of the purchasers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party thereto (incorporated by reference to Exhibit 10.1 to the Company’s Form 8-K filed with the Commission on September 29,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(File No. 001-38895)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line="201" w:lineRule="exact"/>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10.2</w:t>
              </w:r>
            </w:hyperlink>
          </w:p>
        </w:tc>
        <w:tc>
          <w:tcPr>
            <w:tcW w:w="42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Form of Registration Rights Agreement, dated as of September 29, 2020, by and among South Plains Financial, Inc. and each of the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purchasers party thereto (incorporated by reference to Exhibit 10.2 to the Company’s Form 8-K filed with the Commission on September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29, 2020) (File No. 001-38895)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31.1*</w:t>
              </w:r>
            </w:hyperlink>
          </w:p>
        </w:tc>
        <w:tc>
          <w:tcPr>
            <w:tcW w:w="42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31.2*</w:t>
              </w:r>
            </w:hyperlink>
          </w:p>
        </w:tc>
        <w:tc>
          <w:tcPr>
            <w:tcW w:w="42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32.1**</w:t>
              </w:r>
            </w:hyperlink>
          </w:p>
        </w:tc>
        <w:tc>
          <w:tcPr>
            <w:tcW w:w="42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32.2**</w:t>
              </w:r>
            </w:hyperlink>
          </w:p>
        </w:tc>
        <w:tc>
          <w:tcPr>
            <w:tcW w:w="42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The following material from South Plains Financial, Inc.’s Form 10-Q for the quarter ended September 30, 2020, formatted in XBRL</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(eXtensible  Business  Reporting  Language),  filed  herewith:  (i)  Consolidated  Balance  Sheets,  (ii)  Consolidated  Statements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Comprehensive Income, (iii) Consolidated Statements of Changes in Stockholders’ Equity, (iv) Consolidated Statements of Cash Flows,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(v) Notes to Unaudited Consolidated Financial Statements.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222222"/>
        </w:rPr>
      </w:pPr>
      <w:r>
        <w:rPr>
          <w:rFonts w:ascii="Arial" w:cs="Arial" w:eastAsia="Arial" w:hAnsi="Arial"/>
          <w:sz w:val="18"/>
          <w:szCs w:val="18"/>
          <w:color w:val="222222"/>
        </w:rPr>
        <w:t>Filed with this Form 10-Q</w:t>
      </w:r>
    </w:p>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222222"/>
        </w:rPr>
        <w:t>Furnished with this Form 10-Q</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0" w:val="left"/>
          <w:tab w:leader="none" w:pos="5620" w:val="left"/>
          <w:tab w:leader="none" w:pos="7860" w:val="left"/>
        </w:tabs>
        <w:rPr>
          <w:sz w:val="20"/>
          <w:szCs w:val="20"/>
          <w:color w:val="auto"/>
        </w:rPr>
      </w:pPr>
      <w:r>
        <w:rPr>
          <w:rFonts w:ascii="Arial" w:cs="Arial" w:eastAsia="Arial" w:hAnsi="Arial"/>
          <w:sz w:val="18"/>
          <w:szCs w:val="18"/>
          <w:color w:val="auto"/>
        </w:rPr>
        <w:t>Date:</w:t>
        <w:tab/>
        <w:t>November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tabs>
          <w:tab w:leader="none" w:pos="560" w:val="left"/>
          <w:tab w:leader="none" w:pos="5620" w:val="left"/>
          <w:tab w:leader="none" w:pos="7800" w:val="left"/>
        </w:tabs>
        <w:rPr>
          <w:sz w:val="20"/>
          <w:szCs w:val="20"/>
          <w:color w:val="auto"/>
        </w:rPr>
      </w:pPr>
      <w:r>
        <w:rPr>
          <w:rFonts w:ascii="Arial" w:cs="Arial" w:eastAsia="Arial" w:hAnsi="Arial"/>
          <w:sz w:val="18"/>
          <w:szCs w:val="18"/>
          <w:color w:val="auto"/>
        </w:rPr>
        <w:t>Date:</w:t>
        <w:tab/>
        <w:t>November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September 30, 2020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September 30, 2020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90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 September 30, 2020 (the “Report”), as filed with the Securities and Exchange Commission on the date hereof, I certify, pursuant to 18 U.S.C. § 1350, as adopted pursuant to § 906 of the Sarbanes-Oxley Act of 2002, that to the best of my knowledge:</w:t>
      </w:r>
    </w:p>
    <w:p>
      <w:pPr>
        <w:spacing w:after="0" w:line="16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Date: November 6,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Curtis C. Griffith</w:t>
            </w:r>
          </w:p>
        </w:tc>
      </w:tr>
      <w:tr>
        <w:trPr>
          <w:trHeight w:val="202"/>
        </w:trPr>
        <w:tc>
          <w:tcPr>
            <w:tcW w:w="3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 September 30, 2020 (the “Report”), as filed with the Securities and Exchange Commission on the date hereof, I certify, pursuant to 18 U.S.C. § 1350, as adopted pursuant to § 906 of the Sarbanes-Oxley Act of 2002, that to the best of my knowledge:</w:t>
      </w:r>
    </w:p>
    <w:p>
      <w:pPr>
        <w:spacing w:after="0" w:line="16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Date: November 6,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upperLetter"/>
      <w:start w:val="68"/>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68" Type="http://schemas.openxmlformats.org/officeDocument/2006/relationships/hyperlink" Target="https://www.sec.gov/Archives/edgar/data/1163668/000114036119007042/s002614x4_ex3-1.htm" TargetMode="External"/><Relationship Id="rId69" Type="http://schemas.openxmlformats.org/officeDocument/2006/relationships/hyperlink" Target="https://www.sec.gov/Archives/edgar/data/1163668/000114036119007042/s002614x4_ex3-2.htm" TargetMode="External"/><Relationship Id="rId70" Type="http://schemas.openxmlformats.org/officeDocument/2006/relationships/hyperlink" Target="https://www.sec.gov/Archives/edgar/data/1163668/000114036120021876/brhc10015606_ex4-1.htm" TargetMode="External"/><Relationship Id="rId71" Type="http://schemas.openxmlformats.org/officeDocument/2006/relationships/hyperlink" Target="https://www.sec.gov/Archives/edgar/data/1163668/000114036120021876/brhc10015606_ex10-1.htm" TargetMode="External"/><Relationship Id="rId72" Type="http://schemas.openxmlformats.org/officeDocument/2006/relationships/hyperlink" Target="https://www.sec.gov/Archives/edgar/data/1163668/000114036120021876/bhrc10015606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2020-11-06T06:35:17Z</dcterms:created>
  <dcterms:modified xsi:type="dcterms:W3CDTF">2020-11-06T06:35:17Z</dcterms:modified>
</cp:coreProperties>
</file>