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Campbell Richard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SPFI </w:t>
              </w:r>
              <w:r>
                <w:rPr>
                  <w:rFonts w:ascii="Times New Roman" w:cs="Times New Roman" w:eastAsia="Times New Roman" w:hAnsi="Times New Roman"/>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11/08/2022</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3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80"/>
            <w:col w:w="7240"/>
          </w:cols>
          <w:pgMar w:left="460" w:top="219" w:right="359" w:bottom="8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7,223</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11/08/2022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1,648,086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11/09/2022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30.47</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1,643,786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RIG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$30.30 to $30.51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Henry TAW LP but subject to a voting agreement and irrevocable proxy pursuant to which Mr. Campbell exercises voting authority.</w:t>
      </w:r>
    </w:p>
    <w:p>
      <w:pPr>
        <w:spacing w:after="0" w:line="5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$30.38 to $30.60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Racham Investment Group LLC ("RIG LLC").</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Richard</w:t>
        <w:tab/>
        <w:t>11/10/2022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61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19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4463"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2022-11-10T08:24:13Z</dcterms:created>
  <dcterms:modified xsi:type="dcterms:W3CDTF">2022-11-10T08:24:13Z</dcterms:modified>
</cp:coreProperties>
</file>