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from Curtis C. Griffith, a director and executive officer of the Issuer, in a private transaction.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2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2025-03-12T18:47:47Z</dcterms:created>
  <dcterms:modified xsi:type="dcterms:W3CDTF">2025-03-12T18:47:47Z</dcterms:modified>
</cp:coreProperties>
</file>