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4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175260</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p>
      <w:pPr>
        <w:spacing w:after="0" w:line="200" w:lineRule="exact"/>
        <w:rPr>
          <w:sz w:val="24"/>
          <w:szCs w:val="24"/>
          <w:color w:val="auto"/>
        </w:rPr>
      </w:pPr>
    </w:p>
    <w:p>
      <w:pPr>
        <w:spacing w:after="0" w:line="2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sectPr>
          <w:pgSz w:w="11900" w:h="16838" w:orient="portrait"/>
          <w:cols w:equalWidth="0" w:num="3">
            <w:col w:w="4640" w:space="720"/>
            <w:col w:w="3040" w:space="720"/>
            <w:col w:w="2300"/>
          </w:cols>
          <w:pgMar w:left="240" w:top="529"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29" w:right="239" w:bottom="1440" w:gutter="0" w:footer="0" w:header="0"/>
          <w:type w:val="continuous"/>
        </w:sectPr>
      </w:pPr>
    </w:p>
    <w:p>
      <w:pPr>
        <w:spacing w:after="0" w:line="41"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140" w:space="720"/>
            <w:col w:w="2560"/>
          </w:cols>
          <w:pgMar w:left="240" w:top="5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(806) 792-7101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2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79" w:lineRule="exact"/>
        <w:rPr>
          <w:sz w:val="24"/>
          <w:szCs w:val="24"/>
          <w:color w:val="auto"/>
        </w:rPr>
      </w:pPr>
    </w:p>
    <w:p>
      <w:pPr>
        <w:ind w:right="32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July 25, 2019, South Plains Financial, Inc. (the “Company”) issued a press release announcing its financial results for the second quarter ended June 30, 2019. A copy of the Company’s press release covering such announcement and certain other matters is furnished as Exhibit 99.1 to this Current Report on Form 8-K.</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liabilities of that section. The information in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spacing w:after="0" w:line="2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980" w:hanging="48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500"/>
        <w:spacing w:after="0"/>
        <w:tabs>
          <w:tab w:leader="none" w:pos="960" w:val="left"/>
        </w:tabs>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t>Press release, dated July 25, 2019, announcing second quarter 2019 earnings of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Dated: July 25,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48895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 Reports Second Quarter 2019 Financial Results</w:t>
      </w:r>
    </w:p>
    <w:p>
      <w:pPr>
        <w:spacing w:after="0" w:line="2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LUBBOCK, Texas, July 25, 2019 (GLOBE NEWSWIRE) – South Plains Financial, Inc. (NASDAQ: SPFI) (“South Plains” or the “Company”), the parent company of City Bank, today reported its results for the quarter ended June 30,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2019 Highlights</w:t>
      </w:r>
    </w:p>
    <w:p>
      <w:pPr>
        <w:spacing w:after="0" w:line="13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second quarter of 2019 was $6.1 million, compared to $4.8 million</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in the first quarter of 2019.</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were $0.37 for the second quarter of 2019, compared to $0.32 for the first quarter of 2019.</w:t>
      </w:r>
    </w:p>
    <w:p>
      <w:pPr>
        <w:spacing w:after="0" w:line="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cost of deposits for the second quarter remained relatively stable at 108 basis points as compared to 105 basis points for the first quarter of 2019.</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assets for the second quarter of 2019 was 0.89% annualized, compared to 0.71% in the first quarter of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was $16.19 as of June 30, 2019, compared to $14.80 per share as of March 31, 2019.</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Subsequent Events</w:t>
      </w:r>
    </w:p>
    <w:p>
      <w:pPr>
        <w:spacing w:after="0" w:line="246" w:lineRule="exact"/>
        <w:rPr>
          <w:sz w:val="20"/>
          <w:szCs w:val="20"/>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25, 2019, the Company announced the entry into a definitive agreement to acquire West Texas State Bank (“WTSB”) for $76.1 million in cash. The acquisition is expected to close in the fourth quarter of 2019.</w:t>
      </w:r>
    </w:p>
    <w:p>
      <w:pPr>
        <w:spacing w:after="0" w:line="180"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Curtis Griffith, South Plains’ Chairman and Chief Executive Officer, commented, “I am pleased with our second quarter results as we delivered strong earnings and book value growth from the linked quarter as we execute on our strategy of expanding our position as a premier bank. We achieved this growth by not compromising on costs and will continue to be vigilant on expenses as we work to scale the Bank, leverage our investment in infrastructure, and improve our profitability. Another highlight in the quarter was the Bank’s credit quality which remains strong as we actively manage our portfolio to remediate any potential challenges. Importantly, we will remain disciplined on credit and not sacrifice our strict underwriting standards to drive loan growth in a more competitive environment.”</w:t>
      </w:r>
    </w:p>
    <w:p>
      <w:pPr>
        <w:spacing w:after="0" w:line="21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Mr. Griffith continued, “Our decision to go public in May was driven by the significant opportunity that we see to grow South Plains through strategic and disciplined M&amp;A given the fragmented community bank market that exists in our core geographic markets. In fact, there are more than 160 banks with total assets between $250 million and $1 billion in Texas and New Mexico. We believe that our longstanding presence in West Texas, our culture of emphasizing employees as our most important asset, and our financial commitment to helping and bettering our communities will give us a significant advantage in making South Plains an acquirer of choice. Proof of our strategy is evident in our announcement this morning of our acquisition of WTSB in a $76.1 million cash transaction. WTSB is a $429 million asset bank located in Odessa, Texas which, upon closing, will expand our geographic reach into the attractive Permian Basin.”</w:t>
      </w:r>
    </w:p>
    <w:p>
      <w:pPr>
        <w:spacing w:after="0" w:line="386"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Results of Operations, Quarter Ended June 30, 2019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Interest Income</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Net interest income was $24.8 million for the second quarter of 2019, compared to $23.4 million for the second quarter of 2018 and $24.5 million for the first quarter of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income was $32.5 million for the second quarter of 2019, compared to $28.4 million for the second quarter of 2018 and</w:t>
      </w:r>
    </w:p>
    <w:p>
      <w:pPr>
        <w:spacing w:after="0" w:line="1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$32.0 million for the first quarter of 2019. Interest and fees on loans increased by $3.0 million from the second quarter of 2018 due to organic growth of $46.9 million in average loans and an increase of 48 basis points in interest rates. The increase from the linked quarter was the result of $33.8 million more in average interest-earnings assets during the second quarter of 2019, offset by a 4 basis point decrease in the interest rates of those assets.</w:t>
      </w:r>
    </w:p>
    <w:p>
      <w:pPr>
        <w:spacing w:after="0" w:line="20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Interest expense was $7.7 million for the second quarter of 2019, compared to $5.0 million for the second quarter of 2018 and $7.5 million for the first quarter of 2019. The increase from the second quarter of 2018 was due to an increase in the rate paid on interest-bearing liabilities of 49 basis points and growth in the deposit base. The increase from the linked quarter was due to an increase in the rate paid on interest-bearing liabilities of 5 basis points in the second quarter of 2019. The average cost of deposits were 108 basis points for the second quarter of 2019, representing a 37 basis point increase from the second quarter of 2018 and a 3 basis point increase from the linked quarter.</w:t>
      </w:r>
    </w:p>
    <w:p>
      <w:pPr>
        <w:spacing w:after="0" w:line="20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net interest margin was 3.88% for the second quarter of 2019, compared to 3.98% for the second quarter of 2018 and 3.93% for the first quarter of 2019. The decreases from the second quarter of 2018 and the linked quarter were due primarily to the impact of higher interest-bearing liabilities costs, offset by increases in the rates on interest-earning assets.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Noninterest Income and Noninterest Expense</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Noninterest income was $13.7 million for the second quarter of 2019, compared to $13.0 million for the second quarter of 2018 and $12.1 million for the first quarter of 2019. The increase in noninterest income for the second quarter of 2019 compared to the second quarter of 2018 was primarily the result of an increase of $255,000 in mortgage banking activities revenue. The increase from the linked quarter was primarily the result of an increase of $1.8 million in mortgage banking activities revenue due to $22.2 million more in originations for the second quarter of 2019.</w:t>
      </w:r>
    </w:p>
    <w:p>
      <w:pPr>
        <w:spacing w:after="0" w:line="20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Noninterest expense was $29.9 million for the second quarter of 2019, compared to $28.4 million for the second quarter of 2018 and $30.0 million for the first quarter of 2019. This increase in noninterest expense for the second quarter of 2019 compared to the second quarter of 2018 was primarily driven by $1.2 million in 2019 operating expenses related to the online mortgage and staff acquisition, which closed on November 30, 2018. The decrease in noninterest expense in second quarter of 2019 compared to the linked quarter was due to a reduction in salaries and employee benefits of $341,000 as we continued to work on operational efficiencies.</w:t>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Loan Portfolio and Composition</w:t>
      </w:r>
    </w:p>
    <w:p>
      <w:pPr>
        <w:spacing w:after="0" w:line="23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Loans held for investment were $1.94 billion as of June 30, 2019, compared to $1.92 billion as of March 31, 2019 and $1.91 billion as of June 30, 2018. Loans held for investment increased $20.5 million, or 4.3% annualized, during the second quarter of 2019, compared to the linked quarter, primarily as a result of an increase of $40.4 million in seasonal agricultural production loan fundings. This growth was offset by two commercial – general relationships, totaling $19.8 million, that paid off during the quarter. As of June 30, 2019, loans held for investment increased $21.8 million, or 1.1%, from June 30, 2018. The primary segments of our organic growth for this period were $31.3 million in 1-4 family residential loans and $32.3 million in auto loans. This growth has been offset by a decline in the commercial – general segment of $43.2 million. The decline was primarily the result of the payoffs noted above as well as an additional two relationships, totaling $16.0 million, that paid off early in the first quarter of 2019.</w:t>
      </w:r>
    </w:p>
    <w:p>
      <w:pPr>
        <w:spacing w:after="0" w:line="21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Agricultural production loans were $147.7 million at June 30, 2019, compared to $107.3 million at March 31, 2019 and $148.1 million at June 30,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Deposits and Borrowings</w:t>
      </w:r>
    </w:p>
    <w:p>
      <w:pPr>
        <w:spacing w:after="0" w:line="23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Deposits totaled $2.28 billion as of June 30, 2019, compared to $2.30 billion as of March 31, 2019 and $2.18 billion as of June 30, 2018. Deposits decreased $23.1 million in the second quarter of 2019 primarily as the result of a planned reduction of $18.7 million in reciprocal deposits. Deposits increased $98.2 million from June 30, 2018 was the result of the Company’s organic growth.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Noninterest-bearing deposits were $513.4 million as of June 30, 2019, compared to $497.6 million as of March 31, 2019 and</w:t>
      </w:r>
    </w:p>
    <w:p>
      <w:pPr>
        <w:spacing w:after="0" w:line="1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$495.3 million as of June 30, 2018. Noninterest-bearing deposits represented 22.5%, 21.6%, and 22.7% of total deposits as of June 30, 2019, March 31, 2019, and June 30, 2018,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Asset Quality</w:t>
      </w:r>
    </w:p>
    <w:p>
      <w:pPr>
        <w:spacing w:after="0" w:line="23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provision for loan losses recorded for the second quarter of 2019 was $875,000, compared to $1.5 million for the second quarter of 2018 and $608,000 for the first quarter of 2019. The allowance for loan losses to loans held for investment was 1.25% at June 30, 2019, compared to 1.22% at March 31, 2019 and 1.13% at June 30, 2018.</w:t>
      </w: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nonperforming assets to total assets ratio as of June 30, 2019 was 0.37%, compared to 0.37% as of March 31, 2019 and 0.70% at June 30, 2018.</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Annualized net charge-offs were 0.02% for the second quarter of 2019, compared to 0.07% for the first quarter of 2019 and 0.38% for the second quarter of 2018.</w:t>
      </w:r>
    </w:p>
    <w:p>
      <w:pPr>
        <w:spacing w:after="0" w:line="185" w:lineRule="exact"/>
        <w:rPr>
          <w:sz w:val="20"/>
          <w:szCs w:val="20"/>
          <w:color w:val="auto"/>
        </w:rPr>
      </w:pPr>
    </w:p>
    <w:p>
      <w:pPr>
        <w:ind w:right="80" w:firstLine="8"/>
        <w:spacing w:after="0" w:line="23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 Corporation revocation was effective May 31, 2018. Net income, return on average assets, return on average shareholders’ equity and earnings per share for periods prior to the revocation are presented herein as if we had converted to a C Corporation as of January 1, 2018. The tax adjustment is calculated by adding back its franchise S Corporation tax to net income, and using tax rates for Federal income taxes of 21.0%. This calculation reflects only the revocation of the Company’s status as an S Corporation and does not give effect to any other transaction.</w:t>
      </w:r>
    </w:p>
    <w:p>
      <w:pPr>
        <w:spacing w:after="0" w:line="204" w:lineRule="exact"/>
        <w:rPr>
          <w:rFonts w:ascii="Times New Roman" w:cs="Times New Roman" w:eastAsia="Times New Roman" w:hAnsi="Times New Roman"/>
          <w:sz w:val="22"/>
          <w:szCs w:val="22"/>
          <w:color w:val="auto"/>
        </w:rPr>
      </w:pPr>
    </w:p>
    <w:p>
      <w:pPr>
        <w:ind w:right="200" w:firstLine="8"/>
        <w:spacing w:after="0" w:line="25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margin is calculated as the annual net interest income, on a fully tax-equivalent basis, divided by average interest-earning assets.</w:t>
      </w:r>
    </w:p>
    <w:p>
      <w:pPr>
        <w:spacing w:after="0" w:line="185" w:lineRule="exact"/>
        <w:rPr>
          <w:rFonts w:ascii="Times New Roman" w:cs="Times New Roman" w:eastAsia="Times New Roman" w:hAnsi="Times New Roman"/>
          <w:sz w:val="22"/>
          <w:szCs w:val="22"/>
          <w:color w:val="auto"/>
        </w:rPr>
      </w:pPr>
    </w:p>
    <w:p>
      <w:pPr>
        <w:ind w:right="160" w:firstLine="8"/>
        <w:spacing w:after="0" w:line="25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are presented giving effect to the ESOP Repurchase Right Termination. See Pro Forma Financial Information below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 xml:space="preserve">As previously announced, South Plains will host a conference call to discuss its second quarter 2019 results today, July 25, 2019 at 9:00am (Eastern Time). Investors and analysts interested in participating in the call are invited to dial 1-877-407-9716 (international callers please dial 1-201-493-6779) approximately 10 minutes prior to the start of the call. A live audio webcast of the conference call will be available on the Company’s website at </w:t>
      </w:r>
      <w:r>
        <w:rPr>
          <w:rFonts w:ascii="Times New Roman" w:cs="Times New Roman" w:eastAsia="Times New Roman" w:hAnsi="Times New Roman"/>
          <w:sz w:val="22"/>
          <w:szCs w:val="22"/>
          <w:u w:val="single" w:color="auto"/>
          <w:color w:val="auto"/>
        </w:rPr>
        <w:t>https://www.spfi.bank/investor-relations</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08" w:right="239" w:bottom="1440" w:gutter="0" w:footer="0" w:header="0"/>
        </w:sectPr>
      </w:pPr>
    </w:p>
    <w:p>
      <w:pPr>
        <w:spacing w:after="0" w:line="388"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6" w:name="page7"/>
    <w:bookmarkEnd w:id="6"/>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13692467. The replay will be available until August 8,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South Plains Financial, Inc.</w:t>
      </w:r>
    </w:p>
    <w:p>
      <w:pPr>
        <w:spacing w:after="0" w:line="23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 xml:space="preserve">South Plains is the bank holding company for City Bank, a Texas 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22"/>
          <w:szCs w:val="22"/>
          <w:u w:val="single" w:color="auto"/>
          <w:color w:val="auto"/>
        </w:rPr>
        <w:t>https://www.spfi.bank/investor-relations</w:t>
      </w:r>
      <w:r>
        <w:rPr>
          <w:rFonts w:ascii="Times New Roman" w:cs="Times New Roman" w:eastAsia="Times New Roman" w:hAnsi="Times New Roman"/>
          <w:sz w:val="22"/>
          <w:szCs w:val="22"/>
          <w:color w:val="auto"/>
        </w:rPr>
        <w:t xml:space="preserve">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Financial Information</w:t>
      </w:r>
    </w:p>
    <w:p>
      <w:pPr>
        <w:spacing w:after="0" w:line="237"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21"/>
          <w:szCs w:val="21"/>
          <w:color w:val="auto"/>
        </w:rPr>
        <w:t>As a result of the revocation of the Company’s S corporation election, the net income and earnings per share data presented herein may not be comparable for all periods presented herein. As a result, the Company is disclosing pro forma net income, income tax expense, and earnings per share as if the Company’s conversion to a C corporation had occurred as of January 1, 2018.</w:t>
      </w:r>
    </w:p>
    <w:p>
      <w:pPr>
        <w:spacing w:after="0" w:line="182"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Additionally, prior to the listing of our common stock on the NASDAQ, in accordance with applicable provisions of the Internal Revenue Code of 1986, as amended,, the terms of the South Plains Financial, Inc. Employee Stock Ownership Plan (“ESOP”) provided that ESOP participants had the right, for a specified period of time, to require the Company to repurchase shares of the Company’s common stock that were distributed to them by the ESOP. The shares of common stock held by the ESOP were reflected in the Company’s consolidated balance sheets as a line item called ”ESOP owned shares” appearing between total liabilities and shareholders’ equity. As a result, the ESOP-owned shares were deducted from shareholders’ equity in the Company’s consolidated balance sheets. This repurchase right terminated upon the listing of the Company’s common stock on the NASDAQ, which we sometimes refer to as the ESOP Repurchase Right Termination, whereupon our repurchase liability was extinguished and thereafter the ESOP-owned shares are included in shareholders’ equity.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3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and Tangible Common Equity to Tangible Assets.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 Not all companies use the same calculation of these measures; therefore, this presentation may not be comparable to other similarly titled measures as presented by other companies. Reconciliation of non-GAAP financial measures, to GAAP financial measures are provided at the end of this press release.</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3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forward-looking statements reflect South Plains’ current views with respect to, among other things, the completion of its acquisition of WTSB and other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223"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8"/>
          <w:szCs w:val="18"/>
          <w:color w:val="auto"/>
        </w:rPr>
        <w:t>Mikella Newsom, Chief Risk Officer and Secretary</w:t>
      </w:r>
    </w:p>
    <w:p>
      <w:pPr>
        <w:spacing w:after="0" w:line="27" w:lineRule="exact"/>
        <w:rPr>
          <w:sz w:val="20"/>
          <w:szCs w:val="20"/>
          <w:color w:val="auto"/>
        </w:rPr>
      </w:pPr>
    </w:p>
    <w:p>
      <w:pPr>
        <w:ind w:left="1040" w:right="8900" w:firstLine="8"/>
        <w:spacing w:after="0" w:line="290" w:lineRule="auto"/>
        <w:tabs>
          <w:tab w:leader="none" w:pos="1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771-3347 </w:t>
      </w:r>
      <w:r>
        <w:rPr>
          <w:rFonts w:ascii="Times New Roman" w:cs="Times New Roman" w:eastAsia="Times New Roman" w:hAnsi="Times New Roman"/>
          <w:sz w:val="17"/>
          <w:szCs w:val="17"/>
          <w:u w:val="single" w:color="auto"/>
          <w:color w:val="auto"/>
        </w:rPr>
        <w:t>investors@city.bank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Financial Highlights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As of and for the quarter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Income Statement Data:</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31,672</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28,408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7,672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7,005</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4,969</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24,667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23,439</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13,703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29,930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30,036</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30,498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28,646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28,422</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13,013</w:t>
            </w:r>
          </w:p>
        </w:tc>
      </w:tr>
      <w:tr>
        <w:trPr>
          <w:trHeight w:val="216"/>
        </w:trPr>
        <w:tc>
          <w:tcPr>
            <w:tcW w:w="4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income - pro forma </w:t>
            </w:r>
            <w:r>
              <w:rPr>
                <w:rFonts w:ascii="Times New Roman" w:cs="Times New Roman" w:eastAsia="Times New Roman" w:hAnsi="Times New Roman"/>
                <w:sz w:val="25"/>
                <w:szCs w:val="25"/>
                <w:color w:val="auto"/>
                <w:vertAlign w:val="superscript"/>
              </w:rPr>
              <w:t>(2)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6,080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5,333</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Data (Common Stock):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earnings, basic </w:t>
            </w:r>
            <w:r>
              <w:rPr>
                <w:rFonts w:ascii="Times New Roman" w:cs="Times New Roman" w:eastAsia="Times New Roman" w:hAnsi="Times New Roman"/>
                <w:sz w:val="25"/>
                <w:szCs w:val="25"/>
                <w:color w:val="auto"/>
                <w:vertAlign w:val="superscript"/>
              </w:rPr>
              <w:t>(1) (2)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earnings, diluted </w:t>
            </w:r>
            <w:r>
              <w:rPr>
                <w:rFonts w:ascii="Times New Roman" w:cs="Times New Roman" w:eastAsia="Times New Roman" w:hAnsi="Times New Roman"/>
                <w:sz w:val="25"/>
                <w:szCs w:val="25"/>
                <w:color w:val="auto"/>
                <w:vertAlign w:val="superscript"/>
              </w:rPr>
              <w:t>(1) (2)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Book value </w:t>
            </w:r>
            <w:r>
              <w:rPr>
                <w:rFonts w:ascii="Times New Roman" w:cs="Times New Roman" w:eastAsia="Times New Roman" w:hAnsi="Times New Roman"/>
                <w:sz w:val="25"/>
                <w:szCs w:val="25"/>
                <w:color w:val="auto"/>
                <w:vertAlign w:val="superscript"/>
              </w:rPr>
              <w:t>(1)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16,459,366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dilutive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16,563,543</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14,771,558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17,978,520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584"/>
        </w:trPr>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44"/>
        </w:trPr>
        <w:tc>
          <w:tcPr>
            <w:tcW w:w="4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08"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6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 of and for the quarter ended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4520" w:type="dxa"/>
            <w:vAlign w:val="bottom"/>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Period End Balance Sheet Data:</w:t>
            </w: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2,777,170</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2,745,997</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2,712,745</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2,687,610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2,616,647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1,935,653</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1,915,183</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1,957,197</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1,968,085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1,913,884</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24,171</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23,381</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23,126</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21,073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21,715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263,564</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339,051</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338,196</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398,475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254,517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513,383</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497,566</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510,067</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517,000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495,293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2,281,858</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2,304,929</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2,277,454</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2,261,356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2,183,631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291,113</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218,565</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212,775</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216,169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213,096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Performance Ratios: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Return on average assets </w:t>
            </w:r>
            <w:r>
              <w:rPr>
                <w:rFonts w:ascii="Times New Roman" w:cs="Times New Roman" w:eastAsia="Times New Roman" w:hAnsi="Times New Roman"/>
                <w:sz w:val="25"/>
                <w:szCs w:val="25"/>
                <w:color w:val="auto"/>
                <w:vertAlign w:val="superscript"/>
              </w:rPr>
              <w:t>(1) (2)</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0.89%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0.71%</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0.74%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5"/>
                <w:szCs w:val="25"/>
                <w:color w:val="auto"/>
                <w:vertAlign w:val="superscript"/>
              </w:rPr>
              <w:t>(1) (2)</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9.57%</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8.98%</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10.85%</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3.93%</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Yield on loans</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5.90%</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5.84%</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5.67%</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interest-bearing deposits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77.46%</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81.79%</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77.88%</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Credit Quality Data:</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7,946</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7,937</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6,954</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7,225</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11,774</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0.41%</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0.41%</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0.37%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2,305</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2,340</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2,285</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2,704</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6,590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0.37%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0.37%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1.25%</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1.18%</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 to average loans outstanding (annualized)</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0.02%</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0.07%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-0.18%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0.82%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10.48%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7.96%</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7.84%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10.48%</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7.96%</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7.84%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12.10%</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9.70%</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9.63%</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13.31%</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10.27%</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9.91%</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17.75%</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14.74%</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14.28%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14.29%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Reflects the ESOP Repurchase Right Termination.</w:t>
      </w:r>
    </w:p>
    <w:p>
      <w:pPr>
        <w:spacing w:after="0" w:line="184"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Assumes the Company’s S Coporation revocation was effective at the beginning of each period prior to May 31, 2018. The Federal tax rate used was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35.0% for periods prior to January 1, 2018 and 21.0% for periods after January 1, 2018.</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Balances and Yields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2018</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1,946,602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28,635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1,899,744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25,674</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 taxable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 nontaxable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interest-bearing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2,392,536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2,749,954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2,559,449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MMA’s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1,340,158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&amp; other long-term borrowings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deferable interest debentures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7,672</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486,943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2,559,449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24,938</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23,757</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4"/>
                <w:szCs w:val="24"/>
                <w:color w:val="auto"/>
                <w:vertAlign w:val="superscript"/>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loan balances include nonaccrual loans and loans held for sale.</w:t>
      </w:r>
    </w:p>
    <w:p>
      <w:pPr>
        <w:spacing w:after="0"/>
        <w:rPr>
          <w:sz w:val="20"/>
          <w:szCs w:val="20"/>
          <w:color w:val="auto"/>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Net interest margin is calculated as the annualized net income, on a fully tax-equivalent basis, divided by average interest-earning assets.</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Balances and Yields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2018</w:t>
            </w: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1,951,193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56,776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1,863,068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49,832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 taxable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 nontaxable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interest-bearing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64,717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56,349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2,575,721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MMA’s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2,798</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&amp; other long-term borrowings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deferable interest debentures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1,958,585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1,850,838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9,534</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480,468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49,587</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4"/>
                <w:szCs w:val="24"/>
                <w:color w:val="auto"/>
                <w:vertAlign w:val="superscript"/>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loan balances include nonaccrual loans and loans held for sale.</w:t>
      </w:r>
    </w:p>
    <w:p>
      <w:pPr>
        <w:spacing w:after="0"/>
        <w:rPr>
          <w:sz w:val="20"/>
          <w:szCs w:val="20"/>
          <w:color w:val="auto"/>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Net interest margin is calculated as the annualized net income, on a fully tax-equivalent basis, divided by average interest-earning assets.</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funds sold</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loans held for investment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2,777,170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Borrowings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preferred subordinated debentures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2,499,970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2,777,170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4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including fees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preferred subordinated debentures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23,439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17,818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occupancy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development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(6,568)</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 corp income tax adjustment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C corp net income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Loan Composition</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2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2018</w:t>
            </w:r>
          </w:p>
        </w:tc>
      </w:tr>
      <w:tr>
        <w:trPr>
          <w:trHeight w:val="432"/>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9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538,037</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533,941</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305,811</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427,728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434,645</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317,308</w:t>
            </w: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174,454</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68,943</w:t>
            </w: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78,782</w:t>
            </w:r>
          </w:p>
        </w:tc>
      </w:tr>
      <w:tr>
        <w:trPr>
          <w:trHeight w:val="257"/>
        </w:trPr>
        <w:tc>
          <w:tcPr>
            <w:tcW w:w="2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for investment</w:t>
            </w:r>
          </w:p>
        </w:tc>
        <w:tc>
          <w:tcPr>
            <w:tcW w:w="1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1,935,653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1,913,884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Deposit Composition</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2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2018</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2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510,067</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495,293</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NOW &amp; other transaction accounts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259,111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368,806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283,591</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MMDA &amp; other savings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1,087,044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1,098,836</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305,911</w:t>
            </w: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8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2,183,631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3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Our accounting and reporting policies conform to GAAP and the prevailing practices in the banking industry. However, we also evaluate our performance based on certain additional financial measures discussed in this press release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non-GAAP financial measures that we discuss in this press release should not be considered in isolation or as a substitute for the most directly comparable or other financial measures calculated in accordance with GAAP. Moreover, the manner in which we calculate the non-GAAP financial measures that we discuss in this press release may differ from that of other companies reporting measures with similar names. It is important to understand how other banking organizations calculate their financial measures with names similar to the non-GAAP financial measures we have discussed in this press release when comparing such non-GAAP financial measures.</w:t>
      </w:r>
    </w:p>
    <w:p>
      <w:pPr>
        <w:spacing w:after="0" w:line="20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i w:val="1"/>
          <w:iCs w:val="1"/>
          <w:color w:val="auto"/>
        </w:rPr>
        <w:t>Tangible Book Value Per Common Share</w:t>
      </w:r>
      <w:r>
        <w:rPr>
          <w:rFonts w:ascii="Times New Roman" w:cs="Times New Roman" w:eastAsia="Times New Roman" w:hAnsi="Times New Roman"/>
          <w:sz w:val="22"/>
          <w:szCs w:val="22"/>
          <w:color w:val="auto"/>
        </w:rPr>
        <w:t>. Tangible book value per share is a non-GAAP measure generally used by investors,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As we did not have any goodwill or other intangible assets for the periods presented, our tangible book value per common share for such periods ended was the same as our respective book value per common share.</w:t>
      </w:r>
    </w:p>
    <w:p>
      <w:pPr>
        <w:spacing w:after="0" w:line="18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i w:val="1"/>
          <w:iCs w:val="1"/>
          <w:color w:val="auto"/>
        </w:rPr>
        <w:t>Tangible Common Equity to Tangible Assets</w:t>
      </w:r>
      <w:r>
        <w:rPr>
          <w:rFonts w:ascii="Times New Roman" w:cs="Times New Roman" w:eastAsia="Times New Roman" w:hAnsi="Times New Roman"/>
          <w:sz w:val="22"/>
          <w:szCs w:val="22"/>
          <w:color w:val="auto"/>
        </w:rPr>
        <w:t>. Tangible common equity to tangible assets is a non-GAAP measure generally used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As we did not have any goodwill or other intangible assets for the periods presented, our tangible common equity to tangible assets for such periods ended was the same as our respective common shareholders’ equity to total assets.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2019-12-28T09:41:02Z</dcterms:created>
  <dcterms:modified xsi:type="dcterms:W3CDTF">2019-12-28T09:41:02Z</dcterms:modified>
</cp:coreProperties>
</file>