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154305</wp:posOffset>
            </wp:positionV>
            <wp:extent cx="7138670" cy="323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3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Filed by South Plains Financial,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Rule 425 under the Securities Act of 1933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and deemed filed pursuant to Rule 14a-12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under the Securities Exchange Act of 1934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Subject Company: South Plains Financial,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File No.: 001-38895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Date: December 1, 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-708660</wp:posOffset>
            </wp:positionH>
            <wp:positionV relativeFrom="paragraph">
              <wp:posOffset>137160</wp:posOffset>
            </wp:positionV>
            <wp:extent cx="7138670" cy="49987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499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367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88900</wp:posOffset>
            </wp:positionV>
            <wp:extent cx="7138670" cy="4696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88900</wp:posOffset>
            </wp:positionV>
            <wp:extent cx="718756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756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88900</wp:posOffset>
            </wp:positionV>
            <wp:extent cx="7198995" cy="4925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492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88900</wp:posOffset>
            </wp:positionV>
            <wp:extent cx="7163435" cy="4909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3435" cy="490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88900</wp:posOffset>
            </wp:positionV>
            <wp:extent cx="7138670" cy="4835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483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88900</wp:posOffset>
            </wp:positionV>
            <wp:extent cx="7138670" cy="51949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519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2025-12-02T05:13:55Z</dcterms:created>
  <dcterms:modified xsi:type="dcterms:W3CDTF">2025-12-02T05:13:55Z</dcterms:modified>
</cp:coreProperties>
</file>