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20, 2022</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South Plains Financial,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451" w:right="319" w:bottom="1440" w:gutter="0" w:footer="0" w:header="0"/>
        </w:sectPr>
      </w:pPr>
    </w:p>
    <w:p>
      <w:pPr>
        <w:spacing w:after="0" w:line="16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Texas</w:t>
      </w:r>
    </w:p>
    <w:p>
      <w:pPr>
        <w:spacing w:after="0" w:line="2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001-38895</w:t>
      </w:r>
    </w:p>
    <w:p>
      <w:pPr>
        <w:spacing w:after="0" w:line="27"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75-2453320</w:t>
      </w:r>
    </w:p>
    <w:p>
      <w:pPr>
        <w:spacing w:after="0" w:line="2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8" w:lineRule="exact"/>
        <w:rPr>
          <w:sz w:val="24"/>
          <w:szCs w:val="24"/>
          <w:color w:val="auto"/>
        </w:rPr>
      </w:pPr>
    </w:p>
    <w:p>
      <w:pPr>
        <w:sectPr>
          <w:pgSz w:w="11900" w:h="16838" w:orient="portrait"/>
          <w:cols w:equalWidth="0" w:num="3">
            <w:col w:w="4140" w:space="720"/>
            <w:col w:w="2860" w:space="720"/>
            <w:col w:w="2840"/>
          </w:cols>
          <w:pgMar w:left="300" w:top="451" w:right="319" w:bottom="1440" w:gutter="0" w:footer="0" w:header="0"/>
          <w:type w:val="continuous"/>
        </w:sect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5219 City Bank Parkway</w:t>
      </w:r>
    </w:p>
    <w:p>
      <w:pPr>
        <w:spacing w:after="0" w:line="2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Lubbock, Texas</w:t>
      </w:r>
    </w:p>
    <w:p>
      <w:pPr>
        <w:spacing w:after="0" w:line="1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79407</w:t>
      </w:r>
    </w:p>
    <w:p>
      <w:pPr>
        <w:spacing w:after="0" w:line="2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4"/>
          <w:szCs w:val="24"/>
          <w:color w:val="auto"/>
        </w:rPr>
      </w:pPr>
    </w:p>
    <w:p>
      <w:pPr>
        <w:sectPr>
          <w:pgSz w:w="11900" w:h="16838" w:orient="portrait"/>
          <w:cols w:equalWidth="0" w:num="2">
            <w:col w:w="7500" w:space="720"/>
            <w:col w:w="3060"/>
          </w:cols>
          <w:pgMar w:left="300" w:top="451"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right="4600" w:firstLine="6"/>
        <w:spacing w:after="0" w:line="524" w:lineRule="auto"/>
        <w:tabs>
          <w:tab w:leader="none" w:pos="25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7" w:lineRule="exact"/>
        <w:rPr>
          <w:sz w:val="24"/>
          <w:szCs w:val="24"/>
          <w:color w:val="auto"/>
        </w:rPr>
      </w:pPr>
    </w:p>
    <w:p>
      <w:pPr>
        <w:ind w:right="42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0" w:lineRule="exact"/>
        <w:rPr>
          <w:sz w:val="24"/>
          <w:szCs w:val="24"/>
          <w:color w:val="auto"/>
        </w:rPr>
      </w:pPr>
    </w:p>
    <w:p>
      <w:pPr>
        <w:ind w:left="9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7" w:lineRule="exact"/>
        <w:rPr>
          <w:sz w:val="24"/>
          <w:szCs w:val="24"/>
          <w:color w:val="auto"/>
        </w:rPr>
      </w:pPr>
    </w:p>
    <w:p>
      <w:pPr>
        <w:ind w:right="60"/>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223520</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332740</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51"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October 21, 2022, South Plains Financial, Inc. (the “Company”) issued a press release announcing its financial results for the third quarter ended September 30, 2022. A copy of the Company’s press release covering such announcement and certain other matters is furnished as Exhibit 99.1 to this Current Report on Form 8-K.</w:t>
      </w:r>
    </w:p>
    <w:p>
      <w:pPr>
        <w:spacing w:after="0" w:line="1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October 21, 2022, officers of the Company will have a conference call with respect to the Company’s financial results for the third quarter ended September 30, 2022. An earnings release slide presentation highlighting the Company’s financial results for the third quarter ended September 30, 2022 is furnished as Exhibit 99.2 to this Current Report on Form 8-K. This earnings release slide presentation will also be available on the Company’s website, www.spfi.bank, under the “News &amp; Events” section.</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Items 2.02 and 7.01 of this Current Report on Form 8-K, including Exhibit 99.1 and Exhibit 99.2 hereto,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hereto, shall not be incorporated by reference into any filing or other document pursuant to the Exchange Act or the Securities Act of 1933, as amended, except as shall be expressly set forth by specific reference in such filing or document.</w:t>
      </w:r>
    </w:p>
    <w:p>
      <w:pPr>
        <w:spacing w:after="0" w:line="14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Settlement of Previously-Disclosed Litigation</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As previously disclosed, in response to a Notice of Termination received from Kasasa, Ltd. f/k/a Moneyvue Financial, Inc., Bankvue Financial, Inc., and BancVue, Ltd. (“Kasasa”) purporting to terminate a Software License and Maintenance Agreement (the “Software License Agreement”), Trademark License Agreement (the “Trademark License Agreement”), and Addendum to Software License Agreement (“Addendum”) between the Company’s wholly-owned banking subsidiary City Bank (the “Bank”) and Kasasa, the Bank filed suit against Kasasa in Travis County, Texas, styled City Bank v. Kasasa, Ltd., Cause No. D-1-GN-20-003630, 53rd Judicial District, Travis County, Texas.</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or about September 23, 2022, the parties entered into a Settlement Agreement and Mutual Release (the “Settlement Agreement”), pursuant to which the parties agreed to the settlement and release of all claims related to the Software License Agreement, Trademark License Agreement, and Addendum, including all claims and counterclaims in the lawsuit. Thereafter, the parties filed a joint motion to dismiss with prejudice and the court formally dismissed the case by order dated October 7, 2022.</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Quarterly Dividend</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July 21, 2022, South Plains Financial, Inc. issued a press release announcing the declaration of a quarterly cash dividend of $0.12 per share on its outstanding common stock. The dividend will be paid on November 15, 2022 to shareholders of record as of the close of business on October 31, 2022. A copy of the press release is attached hereto as Exhibit 99.1 and is incorporated herein by reference.</w:t>
      </w:r>
    </w:p>
    <w:p>
      <w:pPr>
        <w:spacing w:after="0" w:line="13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85" w:lineRule="exact"/>
        <w:rPr>
          <w:sz w:val="20"/>
          <w:szCs w:val="20"/>
          <w:color w:val="auto"/>
        </w:rPr>
      </w:pPr>
    </w:p>
    <w:p>
      <w:pPr>
        <w:ind w:left="1040" w:hanging="517"/>
        <w:spacing w:after="0"/>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EE"/>
        </w:rPr>
        <w:t>99.1</w:t>
      </w:r>
      <w:r>
        <w:rPr>
          <w:sz w:val="20"/>
          <w:szCs w:val="20"/>
          <w:color w:val="auto"/>
        </w:rPr>
        <w:tab/>
      </w:r>
      <w:r>
        <w:rPr>
          <w:rFonts w:ascii="Times New Roman" w:cs="Times New Roman" w:eastAsia="Times New Roman" w:hAnsi="Times New Roman"/>
          <w:sz w:val="14"/>
          <w:szCs w:val="14"/>
          <w:color w:val="auto"/>
        </w:rPr>
        <w:t>Press release, dated October 21, 2022, announcing third quarter 2022 financial results of South Plains Financial, Inc.</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EE"/>
        </w:rPr>
        <w:t>99.2</w:t>
      </w:r>
      <w:r>
        <w:rPr>
          <w:sz w:val="20"/>
          <w:szCs w:val="20"/>
          <w:color w:val="auto"/>
        </w:rPr>
        <w:tab/>
      </w:r>
      <w:r>
        <w:rPr>
          <w:rFonts w:ascii="Times New Roman" w:cs="Times New Roman" w:eastAsia="Times New Roman" w:hAnsi="Times New Roman"/>
          <w:sz w:val="14"/>
          <w:szCs w:val="14"/>
          <w:color w:val="auto"/>
        </w:rPr>
        <w:t>Earnings release slide presentation, dated October 21, 2022.</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EE"/>
        </w:rPr>
        <w:t>99.3</w:t>
      </w:r>
      <w:r>
        <w:rPr>
          <w:sz w:val="20"/>
          <w:szCs w:val="20"/>
          <w:color w:val="auto"/>
        </w:rPr>
        <w:tab/>
      </w:r>
      <w:r>
        <w:rPr>
          <w:rFonts w:ascii="Times New Roman" w:cs="Times New Roman" w:eastAsia="Times New Roman" w:hAnsi="Times New Roman"/>
          <w:sz w:val="14"/>
          <w:szCs w:val="14"/>
          <w:color w:val="auto"/>
        </w:rPr>
        <w:t>Press release, dated October 20, 2022, announcing South Plains Financial, Inc. quarterly cash dividend.</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207645</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spacing w:after="0"/>
        <w:tabs>
          <w:tab w:leader="none" w:pos="5640" w:val="left"/>
          <w:tab w:leader="none" w:pos="6220" w:val="left"/>
        </w:tabs>
        <w:rPr>
          <w:sz w:val="20"/>
          <w:szCs w:val="20"/>
          <w:color w:val="auto"/>
        </w:rPr>
      </w:pPr>
      <w:r>
        <w:rPr>
          <w:rFonts w:ascii="Times New Roman" w:cs="Times New Roman" w:eastAsia="Times New Roman" w:hAnsi="Times New Roman"/>
          <w:sz w:val="14"/>
          <w:szCs w:val="14"/>
          <w:color w:val="auto"/>
        </w:rPr>
        <w:t>Dated: October 21, 2022</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23495</wp:posOffset>
            </wp:positionV>
            <wp:extent cx="31972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7225" cy="13970"/>
                    </a:xfrm>
                    <a:prstGeom prst="rect">
                      <a:avLst/>
                    </a:prstGeom>
                    <a:noFill/>
                  </pic:spPr>
                </pic:pic>
              </a:graphicData>
            </a:graphic>
          </wp:anchor>
        </w:drawing>
      </w:r>
    </w:p>
    <w:p>
      <w:pPr>
        <w:spacing w:after="0" w:line="2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Steven B. Crockett</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60"/>
          </w:cols>
          <w:pgMar w:left="300" w:top="123" w:right="6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2740025" cy="396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0025" cy="39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Plains Financial, Inc. Reports Third Quarter 2022 Financial Results</w:t>
      </w:r>
    </w:p>
    <w:p>
      <w:pPr>
        <w:spacing w:after="0" w:line="18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LUBBOCK, Texas, October 21, 2022 (GLOBE NEWSWIRE) – South Plains Financial, Inc. (NASDAQ:SPFI) (“South Plains” or the “Company”), the parent company of City Bank (“City Bank” or the “Bank”), today reported its financial results for the quarter ended September 30,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Third Quarter 2022 Highlights</w:t>
      </w:r>
    </w:p>
    <w:p>
      <w:pPr>
        <w:spacing w:after="0" w:line="185" w:lineRule="exact"/>
        <w:rPr>
          <w:sz w:val="20"/>
          <w:szCs w:val="20"/>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third quarter of 2022 was $15.5 million, compared to $15.9 million for the second quarter of 2022 and $15.2 million for the third quarter of 2021.</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for the third quarter of 2022 was $0.86, compared to $0.88 for the second quarter of 2022 and $0.82 for the third quarter of 2021.</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held for investment grew $109.9 million, or 17.0% annualized, during the third quarter of 2022 as compared to June 30, 2022.</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deposits for the third quarter of 2022 was 52 basis points, compared to 27 basis points for the second quarter of 2022 and 25 basis points for the third quarter of 2021.</w:t>
      </w:r>
    </w:p>
    <w:p>
      <w:pPr>
        <w:spacing w:after="0" w:line="11" w:lineRule="exact"/>
        <w:rPr>
          <w:rFonts w:ascii="Times New Roman" w:cs="Times New Roman" w:eastAsia="Times New Roman" w:hAnsi="Times New Roman"/>
          <w:sz w:val="14"/>
          <w:szCs w:val="14"/>
          <w:color w:val="auto"/>
        </w:rPr>
      </w:pPr>
    </w:p>
    <w:p>
      <w:pPr>
        <w:ind w:left="520" w:hanging="256"/>
        <w:spacing w:after="0" w:line="25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recorded a negative provision for loan losses of $782,000 in the third quarter of 2022, compared to no provisions for loan losses for the second quarter of 2022 and for the third quarter of 2021.</w:t>
      </w: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Nonperforming assets to total assets were 0.19% at September 30, 2022, compared to 0.20% at June 30, 2022 and 0.32% at September 30, 2021.</w:t>
      </w:r>
    </w:p>
    <w:p>
      <w:pPr>
        <w:spacing w:after="0" w:line="11" w:lineRule="exact"/>
        <w:rPr>
          <w:rFonts w:ascii="Times New Roman" w:cs="Times New Roman" w:eastAsia="Times New Roman" w:hAnsi="Times New Roman"/>
          <w:sz w:val="14"/>
          <w:szCs w:val="14"/>
          <w:color w:val="auto"/>
        </w:rPr>
      </w:pPr>
    </w:p>
    <w:p>
      <w:pPr>
        <w:ind w:left="520" w:hanging="256"/>
        <w:spacing w:after="0" w:line="25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assets for the third quarter of 2022 was 1.53% annualized, compared to 1.60% annualized for the second quarter of 2022 and 1.61% annualized for the third quarter of 2021.</w:t>
      </w:r>
    </w:p>
    <w:p>
      <w:pPr>
        <w:spacing w:after="0" w:line="17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(non-GAAP) per share was $18.61 as of September 30, 2022, compared to $19.50 per share as of June 30, 2022 and $20.90 per share as of September 30, 2021.</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repurchased 366 thousand shares of common stock in the third quarter of 2022 as compared to 257 thousand shares in the second quarter of 2022.</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Curtis Griffith, South Plains’ Chairman and Chief Executive Officer, commented, “Our business continued to perform well through the third quarter of 2022, highlighted by 17.0% annualized loan growth during the period driven by strength in both our community markets and major metropolitan markets of Dallas, Houston and El Paso. The expansion in our loan portfolio is contributing to strong underlying earnings growth, which has been masked by large recoveries, negative provisions for loan losses, and fair value increases in our mortgage servicing rights portfolio over the last three quarters. These items totaled $0.24 per share of income, net of tax, in the second quarter of 2022 and $0.10 per share of income, net of tax, in the third quarter of 2022. The investments that we have made to expand our lending platform and increase our presence in our metropolitan markets has provided an acceleration to our growth and is contributing to the building earnings power of the Company. Importantly, our mortgage banking business has reached a level where we believe it is no longer a headwind to our financial results, as we highlighted last quarter. While we are delivering improved loan growth, we are also maintaining our strict credit culture and underwriting standards, including not sacrificing credit quality for growth. Overall, our Company continues to perform well, and we believe this performance has not been reflected in our share price. As a result, we further accelerated the pace of our share repurchases in the third quarter having bought back 366 thousand shares as compared to 257 thousand shares and 106 thousand shares in the second and first quarter of 2022,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Quarter Ended September 30,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Net interest income was $35.1 million for the third quarter of 2022, compared to $37.1 million for the second quarter of 2022 and $31.2 million for the third quarter of 2021. Net interest margin, calculated on a tax-equivalent basis, was 3.70% for the third quarter of 2022, compared to 4.02% for the second quarter of 2022 and 3.58% for the third quarter of 2021. The average yield on loans was 5.12% for the third quarter of 2022, compared to 5.57% for the second quarter of 2022 and 4.99% for the third quarter of 2021. The average cost of deposits was 52 basis points for the third quarter of 2022, which is 25 basis points higher than the second quarter of 2022 and 27 basis points higher than the third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52" w:right="31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4"/>
          <w:szCs w:val="14"/>
          <w:color w:val="auto"/>
        </w:rPr>
        <w:t>Interest income was $41.1 million for the third quarter of 2022, compared to $40.8 million for the second quarter of 2022 and $34.4 million for the third quarter of 2021. Interest income increased $356 thousand in the third quarter of 2022 from the second quarter of 2022, which was comprised of an increase of $1.3 million in interest income from securities and other interest-earning assets, partially offset by a decrease of $1.0 million in loan interest income. The increase in interest income on securities and other interest-earning assets was primarily due to continued rising market interest rates. The decrease in loan interest income was primarily due to $4.4 million of interest income received related to four credits for the recovery of interest on previously charged-off credits, purchase discount principal recovery, and prepayment penalties during the second quarter of 2022, partially offset by an increase of $121.9 million in average loans outstanding, and the rising interest rate environment. Excluding the $4.4 million of large loan recoveries and prepayment penalties, the yield on loans was 4.88% during the second quarter of 2022, as compared to 5.12% in the third quarter of 2022, while net interest margin, on a tax-equivalent basis, was 3.54% during the second quarter of 2022, as compared to 3.70% for the third quarter of 2022. Interest income increased $6.7 million in the third quarter of 2022 compared to the third quarter of 2021. This increase was primarily due to an increase of average loans of $219.5 million, securities purchases, and rising market interest rates during the period.</w:t>
      </w:r>
    </w:p>
    <w:p>
      <w:pPr>
        <w:spacing w:after="0" w:line="1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Interest expense was $6.0 million for the third quarter of 2022, compared to $3.6 million for the second quarter of 2022 and $3.3 million for the third quarter of 2021. Interest expense increased $2.4 million compared to the second quarter of 2022 and $2.7 million compared to the third quarter of 2021 primarily as a result of rising interest rates on interest-bearing liabilities, with the increase being mainly comprised of interest expense on deposits.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Noninterest income was $20.9 million for the third quarter of 2022, compared to $18.8 million for the second quarter of 2022 and $25.8 million for the third quarter of 2021. The increase from the second quarter of 2022 was primarily due to $2.1 million of income in legal settlements and the seasonal increase of $3.3 million in income from insurance activities, partially offset by a decrease of $2.4 million in mortgage banking activities revenue. This decrease in mortgage banking revenues was mainly the result of mortgage loan originations declining $55.1 million, or 26.6%, as the residential mortgage market continued to slow during the third quarter of 2022 as a result of rising market interest rates and seasonality. The decrease in noninterest income for the third quarter of 2022 as compared to the third quarter of 2021 was primarily due to a decline of $8.5 million in mortgage banking activities revenue as mortgage loan originations declined $222.2 million, or 59.4%, as high-volume refinance activity experienced during 2020 and 2021 has slowed as a result of rising market interest rates. This decrease was partially offset by the growth in income from insurance activities and the income from legal settlements noted previously.</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Noninterest expense was $37.4 million for the third quarter of 2022, compared to $36.1 million for the second quarter of 2022 and $38.1 million for the third quarter of 2021. The increase from the second quarter of 2022 was primarily the result of an increase of $937 thousand in personnel expense due to the payment of an additional $1.8 million in commissions on insurance activities, partially offset by a decrease in mortgage commissions expense and related supporting personnel expense from the decline in mortgage loan originations and a decrease of $265 thousand in legal expenses. The decrease in noninterest expense for the third quarter of 2022 as compared to the third quarter of 2021 was primarily driven by lower mortgage commissions and other variable mortgage-based expenses due to the reduction in mortgage loan originations, partially offset by additional commercial lenders hired as part of a planned initiative, and an increase of $731 thousand in legal expenses.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Portfolio and Composition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Loans held for investment were $2.69 billion as of September 30, 2022, compared to $2.58 billion as of June 30, 2022 and $2.43 billion as of September 30, 2021. The $109.9 million, or 17.0% annualized, increase during the third quarter of 2022 as compared to the second quarter of 2022 was primarily the result of organic net loan growth. This loan growth remained relationship-focused and occurred primarily in commercial real estate loans, residential mortgage loans, and consumer auto loans, partially offset by a decrease in hotel loans. As of September 30, 2022, loans held for investment increased $261.3 million, or 10.8% year over year, from September 30, 2021, attributable to strong organic loan growth.</w:t>
      </w:r>
    </w:p>
    <w:p>
      <w:pPr>
        <w:spacing w:after="0" w:line="14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Agricultural production loans were $94.1 million as of September 30, 2022, compared to $88.8 million as of June 30, 2022 and $119.3 million as of September 30, 2021. The typical seasonal funding of these agricultural production loans during the third quarter of 2022 was below normal based on drought conditions experienced across the State of Texas.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 and Borrowings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Deposits totaled $3.46 billion as of September 30, 2022, compared to $3.43 billion as of June 30, 2022 and $3.21 billion as of September 30, 2021. Deposits increased by $34.7 million, or 1.0%, in the third quarter of 2022 from June 30, 2022. As of September 30, 2022, deposits increased $248.3 million, or 7.7% year over year, from September 30, 2021. Noninterest-bearing deposits were $1.26 billion as of September 30, 2022, compared to $1.20 billion as of June 30, 2022 and $1.05 billion as of September 30, 2021. Noninterest-bearing deposits represented 36.5% of total deposits as of September 30, 2022. The increase in deposits noted above is primarily a result of organic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recorded a negative provision for loan losses in the third quarter of 2022 of $782 thousand, compared to no provisions for loan losses in the second quarter of 2022 or for the third quarter of 2021. There was a loan loss recovery of $822 thousand of a direct energy credit during the third quarter of 2022. Overall, the Company continued to experience improving credit metrics in the loan portfolio during the third quarter of 2022. These improvements were specifically noted in the hotel segment, which had a net reduction in outstanding principal of $19.6 million during the quarter. The loan loss recovery noted above and improving credit metrics, offset by the organic growth in the loan portfolio, resulted in the negative provision for the third quarter of 2022. Nevertheless, concerns regarding forecasted economic conditions continue to worsen due to the rising interest rate environment and persistent high inflation levels in the United States, and provisions for loan losses may be necessary in future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allowance for loan losses to loans held for investment was 1.47% as of September 30, 2022, compared to 1.54% as of June 30, 2022 and 1.76% as of September 30, 2021.</w:t>
      </w:r>
    </w:p>
    <w:p>
      <w:pPr>
        <w:spacing w:after="0" w:line="18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ratio of nonperforming assets to total assets as of September 30, 2022 was 0.19%, compared to 0.20% as of June 30, 2022 and 0.32% at September 30, 2021. Annualized net charge-offs were (0.10)% for the third quarter of 2022, compared to (0.02)% for the second quarter of 2022 and 0.03% for the third quarter of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Book value per share decreased to $20.03 at September 30, 2022, compared to $20.91 at June 30, 2022. The decline was mainly driven by a $26.7 million dollar decrease in accumulated other comprehensive income (“AOCI”), partially offset by an increase of $13.4 million of net income after dividends paid. The decrease in AOCI was attributed to the decline in fair value of our available for sale securities and fair value hedges, net of tax, as a result of the rising interest rate environment.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South Plains will host a conference call to discuss its third quarter 2022 financial results today, October 21, 2022, at 11:00 a.m.,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cs="Times New Roman" w:eastAsia="Times New Roman" w:hAnsi="Times New Roman"/>
          <w:sz w:val="14"/>
          <w:szCs w:val="14"/>
          <w:u w:val="single" w:color="auto"/>
          <w:color w:val="auto"/>
        </w:rPr>
        <w:t>https://www.spfi.bank/news-events/events</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13733502. The replay will be available until November 4,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South Plains Financial, Inc.</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Times New Roman" w:cs="Times New Roman" w:eastAsia="Times New Roman" w:hAnsi="Times New Roman"/>
          <w:sz w:val="14"/>
          <w:szCs w:val="14"/>
          <w:u w:val="single" w:color="auto"/>
          <w:color w:val="auto"/>
        </w:rPr>
        <w:t>https://www.spfi.bank</w:t>
      </w:r>
      <w:r>
        <w:rPr>
          <w:rFonts w:ascii="Times New Roman" w:cs="Times New Roman" w:eastAsia="Times New Roman" w:hAnsi="Times New Roman"/>
          <w:sz w:val="14"/>
          <w:szCs w:val="14"/>
          <w:color w:val="auto"/>
        </w:rPr>
        <w:t xml:space="preserve"> for more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Common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non-GAAP financial measures to GAAP financial measures is provided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207645</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Company routinely posts important information for investors on its web site (under </w:t>
      </w:r>
      <w:r>
        <w:rPr>
          <w:rFonts w:ascii="Times New Roman" w:cs="Times New Roman" w:eastAsia="Times New Roman" w:hAnsi="Times New Roman"/>
          <w:sz w:val="14"/>
          <w:szCs w:val="14"/>
          <w:u w:val="single" w:color="auto"/>
          <w:color w:val="auto"/>
        </w:rPr>
        <w:t>www.spfi.bank</w:t>
      </w:r>
      <w:r>
        <w:rPr>
          <w:rFonts w:ascii="Times New Roman" w:cs="Times New Roman" w:eastAsia="Times New Roman" w:hAnsi="Times New Roman"/>
          <w:sz w:val="14"/>
          <w:szCs w:val="14"/>
          <w:color w:val="auto"/>
        </w:rPr>
        <w:t xml:space="preserve"> and, more specifically, under the News &amp; Events tab at </w:t>
      </w:r>
      <w:r>
        <w:rPr>
          <w:rFonts w:ascii="Times New Roman" w:cs="Times New Roman" w:eastAsia="Times New Roman" w:hAnsi="Times New Roman"/>
          <w:sz w:val="14"/>
          <w:szCs w:val="14"/>
          <w:u w:val="single" w:color="auto"/>
          <w:color w:val="auto"/>
        </w:rPr>
        <w:t>www.spfi.bank/news-events/press-releases</w:t>
      </w:r>
      <w:r>
        <w:rPr>
          <w:rFonts w:ascii="Times New Roman" w:cs="Times New Roman" w:eastAsia="Times New Roman" w:hAnsi="Times New Roman"/>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contained on, or that may be accessed through, the Company’s web site is not incorporated by reference into, and is not a part of, this document.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These forward-looking statements reflect South Plains’ current views with respect to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general economic conditions, the extent of the impact of the COVID-19 pandemic (and any current or future variants thereof) on our customers, changes in market interest rates, the persistence of the current inflationary environment in the United States and our market areas, the uncertain impacts of quantitative tightening and current and future monetary policies of the Federal Reserve, regulatory considerations, competition and market expansion opportunities, changes in non-interest expenditures or in the anticipated benefits of such expenditures,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and other documents South Plains files with the SEC from time to time. South Plains urges readers of this press release to review the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section of our most recent Annual Report on Form 10-K, as well as the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section of other documents South Plains files or furnishes with the SEC from time to time, which are available on the SEC’s website,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 All forward-looking statements, express or implied, included in the press release are qualified in their entirety by this cautionary statement.</w:t>
      </w:r>
    </w:p>
    <w:p>
      <w:pPr>
        <w:spacing w:after="0" w:line="15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4"/>
          <w:szCs w:val="14"/>
          <w:color w:val="auto"/>
        </w:rPr>
        <w:t>Contact:</w:t>
      </w:r>
      <w:r>
        <w:rPr>
          <w:sz w:val="20"/>
          <w:szCs w:val="20"/>
          <w:color w:val="auto"/>
        </w:rPr>
        <w:tab/>
      </w:r>
      <w:r>
        <w:rPr>
          <w:rFonts w:ascii="Times New Roman" w:cs="Times New Roman" w:eastAsia="Times New Roman" w:hAnsi="Times New Roman"/>
          <w:sz w:val="14"/>
          <w:szCs w:val="14"/>
          <w:color w:val="auto"/>
        </w:rPr>
        <w:t>Mikella Newsom, Chief Risk Officer and Secretary</w:t>
      </w:r>
    </w:p>
    <w:p>
      <w:pPr>
        <w:spacing w:after="0" w:line="25" w:lineRule="exact"/>
        <w:rPr>
          <w:sz w:val="20"/>
          <w:szCs w:val="20"/>
          <w:color w:val="auto"/>
        </w:rPr>
      </w:pPr>
    </w:p>
    <w:p>
      <w:pPr>
        <w:ind w:left="1700" w:right="8400" w:firstLine="6"/>
        <w:spacing w:after="0" w:line="273" w:lineRule="auto"/>
        <w:tabs>
          <w:tab w:leader="none" w:pos="204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771-3347 </w:t>
      </w:r>
      <w:r>
        <w:rPr>
          <w:rFonts w:ascii="Times New Roman" w:cs="Times New Roman" w:eastAsia="Times New Roman" w:hAnsi="Times New Roman"/>
          <w:sz w:val="14"/>
          <w:szCs w:val="14"/>
          <w:u w:val="single" w:color="auto"/>
          <w:color w:val="auto"/>
        </w:rPr>
        <w:t>investors@city.bank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207645</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3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3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r>
      <w:tr>
        <w:trPr>
          <w:trHeight w:val="171"/>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Income Statement Data: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41,108</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40,752</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33,080</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34,438</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6,006</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3,647</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3,133</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3,151</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35,102</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37,105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29,947</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31,449</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31,178</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loan losses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(782)</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(2,085)</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20,937</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18,835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23,697</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22,928</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25,791</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37,401</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36,056</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37,924</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36,132</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38,063</w:t>
            </w: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3,962</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4,001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3,527</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3,631</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15,458</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15,883</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14,278</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14,614</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15,190</w:t>
            </w: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Share Data (Common Stock):</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basic</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0.89</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0.91</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0.81</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0.82</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0.85</w:t>
            </w: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diluted</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0.86</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0.88</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0.78</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0.79</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0.82</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declared and paid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0.12</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0.11</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0.11</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0.09</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0.09</w:t>
            </w: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 value</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20.03</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20.91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21.90</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22.94</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Tangible book value (non-GAAP)</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18.61</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19.50</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20.49</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21.51</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17,286,531</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17,490,706</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17,716,136</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17,777,542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17,931,174</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dilutive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17,901,899</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18,020,548</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18,392,397</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18,433,038</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18,463,697</w:t>
            </w: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17,064,640</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17,417,094</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17,673,407</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17,760,243</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17,824,094</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Period End Balance Sheet Data: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329,962</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375,690</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528,612</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486,821</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327,600</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711,412</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763,943</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793,404</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724,504</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752,562</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2,690,366</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2,580,493</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2,453,631</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2,437,577</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2,429,041</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loan losses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39,657</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39,785</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39,649</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42,098</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42,768</w:t>
            </w: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3,992,690</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3,974,724</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3,999,744</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3,901,855</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3,774,175</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2,198,464</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2,230,105</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2,318,942</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2,269,855</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2,157,981</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1,262,072</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1,195,732</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1,131,215</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1,071,367</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1,054,264</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3,460,536</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3,425,837</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3,450,157</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3,341,222</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3,212,245</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122,307</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122,261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122,214</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122,168</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122,121</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341,799</w:t>
            </w:r>
          </w:p>
        </w:tc>
        <w:tc>
          <w:tcPr>
            <w:tcW w:w="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364,222</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387,068</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407,427</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398,276</w:t>
            </w: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Summary Performance Ratios: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w:t>
            </w:r>
          </w:p>
        </w:tc>
        <w:tc>
          <w:tcPr>
            <w:tcW w:w="2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1.60%</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average equity</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17.37%</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16.96%</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r>
      <w:tr>
        <w:trPr>
          <w:trHeight w:val="172"/>
        </w:trPr>
        <w:tc>
          <w:tcPr>
            <w:tcW w:w="3980" w:type="dxa"/>
            <w:vAlign w:val="bottom"/>
          </w:tcPr>
          <w:p>
            <w:pPr>
              <w:spacing w:after="0" w:line="173" w:lineRule="exact"/>
              <w:rPr>
                <w:sz w:val="20"/>
                <w:szCs w:val="20"/>
                <w:color w:val="auto"/>
              </w:rPr>
            </w:pPr>
            <w:r>
              <w:rPr>
                <w:rFonts w:ascii="Times New Roman" w:cs="Times New Roman" w:eastAsia="Times New Roman" w:hAnsi="Times New Roman"/>
                <w:sz w:val="12"/>
                <w:szCs w:val="12"/>
                <w:color w:val="auto"/>
              </w:rPr>
              <w:t xml:space="preserve">Net interest margin </w:t>
            </w:r>
            <w:r>
              <w:rPr>
                <w:rFonts w:ascii="Times New Roman" w:cs="Times New Roman" w:eastAsia="Times New Roman" w:hAnsi="Times New Roman"/>
                <w:sz w:val="19"/>
                <w:szCs w:val="19"/>
                <w:color w:val="auto"/>
                <w:vertAlign w:val="superscript"/>
              </w:rPr>
              <w:t>(1)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3.70%</w:t>
            </w:r>
          </w:p>
        </w:tc>
        <w:tc>
          <w:tcPr>
            <w:tcW w:w="2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4.02%</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3.58%</w:t>
            </w: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Yield on loans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5.12%</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5.57%</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Cost of interest-bearing deposits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0.82%</w:t>
            </w:r>
          </w:p>
        </w:tc>
        <w:tc>
          <w:tcPr>
            <w:tcW w:w="2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0.42%</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0.37%</w:t>
            </w: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66.38%</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64.11%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70.30%</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66.07%</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66.45%</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Summary Credit Quality Data: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loans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7,733</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7,889</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12,141</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10,598</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10,895</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loans to total loans held for investment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0.29%</w:t>
            </w:r>
          </w:p>
        </w:tc>
        <w:tc>
          <w:tcPr>
            <w:tcW w:w="2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0.31%</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0.45%</w:t>
            </w: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37</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59</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1,141</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1,032</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2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0.19%</w:t>
            </w:r>
          </w:p>
        </w:tc>
        <w:tc>
          <w:tcPr>
            <w:tcW w:w="2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0.20%</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0.32%</w:t>
            </w: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loan losses to total loans held for investment</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6"/>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Net charge-offs to average loans outstanding (annualized)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289"/>
        </w:trPr>
        <w:tc>
          <w:tcPr>
            <w:tcW w:w="3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980" w:type="dxa"/>
            <w:vAlign w:val="bottom"/>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14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4620" w:type="dxa"/>
            <w:vAlign w:val="bottom"/>
          </w:tcPr>
          <w:p>
            <w:pPr>
              <w:spacing w:after="0"/>
              <w:rPr>
                <w:sz w:val="16"/>
                <w:szCs w:val="16"/>
                <w:color w:val="auto"/>
              </w:rPr>
            </w:pPr>
          </w:p>
        </w:tc>
        <w:tc>
          <w:tcPr>
            <w:tcW w:w="14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3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14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8.56%</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9.16%</w:t>
            </w: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9.68%</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Tangible common equity to tangible assets (non-GAAP)</w:t>
            </w:r>
          </w:p>
        </w:tc>
        <w:tc>
          <w:tcPr>
            <w:tcW w:w="1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8.00%</w:t>
            </w: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8.60%</w:t>
            </w: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9.11%</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9.94%</w:t>
            </w:r>
          </w:p>
        </w:tc>
      </w:tr>
      <w:tr>
        <w:trPr>
          <w:trHeight w:val="17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14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11.67%</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12.24%</w:t>
            </w: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12.86%</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1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10.95%</w:t>
            </w: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10.93%</w:t>
            </w: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10.78%</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10.83%</w:t>
            </w:r>
          </w:p>
        </w:tc>
      </w:tr>
      <w:tr>
        <w:trPr>
          <w:trHeight w:val="17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14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16.46%</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17.32%</w:t>
            </w: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18.22%</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18.40%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207645</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 xml:space="preserve">Loans, excluding PPP </w:t>
            </w:r>
            <w:r>
              <w:rPr>
                <w:rFonts w:ascii="Times New Roman" w:cs="Times New Roman" w:eastAsia="Times New Roman" w:hAnsi="Times New Roman"/>
                <w:sz w:val="20"/>
                <w:szCs w:val="20"/>
                <w:color w:val="auto"/>
                <w:vertAlign w:val="superscript"/>
              </w:rPr>
              <w:t>(1)</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2,666,429</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34,176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5.09%</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2,365,010</w:t>
            </w: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28,947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Loans - PPP</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24.03%</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86,645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617,722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2.68%</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531,620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2.63%</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221,026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1.83%</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284,369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3,798,049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41,409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4.33%</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3,488,670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34,747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259,641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4,006,184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3,748,311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NOW, Savings, MMA’s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1,873,786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3,514</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0.74%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1,820,677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1.23%</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330,161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 securities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75,914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5.29%</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75,728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3.91%</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2,326,230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6,006</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1.02%</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2,273,684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1,248,804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1,035,910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78,139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43,171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395,546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4,006,184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3,748,311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gridSpan w:val="2"/>
          </w:tcPr>
          <w:p>
            <w:pPr>
              <w:spacing w:after="0"/>
              <w:rPr>
                <w:sz w:val="13"/>
                <w:szCs w:val="13"/>
                <w:color w:val="auto"/>
              </w:rPr>
            </w:pPr>
          </w:p>
        </w:tc>
        <w:tc>
          <w:tcPr>
            <w:tcW w:w="114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gridSpan w:val="2"/>
          </w:tcPr>
          <w:p>
            <w:pPr>
              <w:spacing w:after="0"/>
              <w:rPr>
                <w:sz w:val="13"/>
                <w:szCs w:val="13"/>
                <w:color w:val="auto"/>
              </w:rPr>
            </w:pPr>
          </w:p>
        </w:tc>
        <w:tc>
          <w:tcPr>
            <w:tcW w:w="116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35,403</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31,487</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 xml:space="preserve">Net interest margin </w:t>
            </w:r>
            <w:r>
              <w:rPr>
                <w:rFonts w:ascii="Times New Roman" w:cs="Times New Roman" w:eastAsia="Times New Roman" w:hAnsi="Times New Roman"/>
                <w:sz w:val="23"/>
                <w:szCs w:val="23"/>
                <w:color w:val="auto"/>
                <w:vertAlign w:val="superscript"/>
              </w:rPr>
              <w:t>(2)</w:t>
            </w: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3.70%</w:t>
            </w: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right="3180" w:firstLine="6"/>
        <w:spacing w:after="0" w:line="273" w:lineRule="auto"/>
        <w:tabs>
          <w:tab w:leader="none" w:pos="24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income, on a fully tax-equivalent basis, divided by average interest-earning assets. PPP - Small Business Administration Paycheck Protection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 xml:space="preserve">Loans, excluding PPP </w:t>
            </w:r>
            <w:r>
              <w:rPr>
                <w:rFonts w:ascii="Times New Roman" w:cs="Times New Roman" w:eastAsia="Times New Roman" w:hAnsi="Times New Roman"/>
                <w:sz w:val="20"/>
                <w:szCs w:val="20"/>
                <w:color w:val="auto"/>
                <w:vertAlign w:val="superscript"/>
              </w:rPr>
              <w:t>(1)</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2,548,174</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97,321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5.11%</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2,246,650</w:t>
            </w: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82,314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Loans - PPP</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19,509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13.30%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141,040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7,147</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10,058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2.27%</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540,380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7,118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2.66%</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219,242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4,414</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0.81%</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328,412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3,740,362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115,848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4.14%</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3,475,724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101,366</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261,449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3,976,658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3,737,173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NOW, Savings, MMA’s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5,782</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0.41%</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1,834,113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1.18%</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326,862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3,114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10,725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26,188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 securities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75,852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5.35%</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75,682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2.90%</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2,361,935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12,786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0.72%</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2,319,963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10,121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1,174,783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991,331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64,639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41,996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383,883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3,976,658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3,737,173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gridSpan w:val="2"/>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gridSpan w:val="2"/>
          </w:tcPr>
          <w:p>
            <w:pPr>
              <w:spacing w:after="0"/>
              <w:rPr>
                <w:sz w:val="13"/>
                <w:szCs w:val="13"/>
                <w:color w:val="auto"/>
              </w:rPr>
            </w:pPr>
          </w:p>
        </w:tc>
        <w:tc>
          <w:tcPr>
            <w:tcW w:w="116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103,062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91,245</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 xml:space="preserve">Net interest margin </w:t>
            </w:r>
            <w:r>
              <w:rPr>
                <w:rFonts w:ascii="Times New Roman" w:cs="Times New Roman" w:eastAsia="Times New Roman" w:hAnsi="Times New Roman"/>
                <w:sz w:val="23"/>
                <w:szCs w:val="23"/>
                <w:color w:val="auto"/>
                <w:vertAlign w:val="superscript"/>
              </w:rPr>
              <w:t>(2)</w:t>
            </w: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3.68%</w:t>
            </w: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right="3160" w:firstLine="6"/>
        <w:spacing w:after="0" w:line="273" w:lineRule="auto"/>
        <w:tabs>
          <w:tab w:leader="none" w:pos="25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income, on a fully tax-equivalent basis, divided by average interest-earning assets. PPP - Small Business Administration Paycheck Protection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0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52,749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68,425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277,213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418,396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funds sold</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711,412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724,504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sale</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26,922</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76,507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2,690,366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2,437,577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Allowance for loan losses</w:t>
            </w:r>
          </w:p>
        </w:tc>
        <w:tc>
          <w:tcPr>
            <w:tcW w:w="2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(39,657)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(42,098)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loans held for investment</w:t>
            </w:r>
          </w:p>
        </w:tc>
        <w:tc>
          <w:tcPr>
            <w:tcW w:w="29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2,650,709</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2,395,479</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56,532</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57,699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19,508</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19,508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Mortgage servicing assets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28,424</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164,501</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115,742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3,992,690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3,901,855</w:t>
            </w: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576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Liabilities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bearing deposits</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1,262,072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1,071,367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2,198,464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2,269,855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9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3,460,536</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3,341,222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Other borrowings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 securities</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75,914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75,775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Trust preferred subordinated debentures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68,048</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31,038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9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3,650,891</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3,494,428</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17,065</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17,760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116,565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133,215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281,679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242,750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(73,510)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9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341,799</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407,427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3,992,690</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3,901,855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including fees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34,463</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30,818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89,458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3,620</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15,680</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income</w:t>
            </w:r>
          </w:p>
        </w:tc>
        <w:tc>
          <w:tcPr>
            <w:tcW w:w="15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41,108</w:t>
            </w: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34,438</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114,940</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8,744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 securities</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3,037</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 preferred subordinated debentures</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expense</w:t>
            </w: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6,006</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12,786</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31,178</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102,154</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90,315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Provision for loan losses</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(2,867)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 after provision for loan losses</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35,884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31,178</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105,021</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92,233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Service charges on deposits</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1,851</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5,149</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insurance activities</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3,794</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8,003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Mortgage banking activities</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14,802</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28,593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47,329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card services and interchange fees</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3,045</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9,856</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2,299</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11,868</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Noninterest income</w:t>
            </w:r>
          </w:p>
        </w:tc>
        <w:tc>
          <w:tcPr>
            <w:tcW w:w="15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20,937</w:t>
            </w: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25,791</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63,469</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74,541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24,116</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67,620</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71,811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Net occupancy expense</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3,896</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11,902</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1,388</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7,795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development</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2,391</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7,886</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21,673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22,487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38,063</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111,381</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111,898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5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19,420</w:t>
            </w: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18,906</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57,109</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3,716</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11,490</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10,876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15,458</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15,190</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45,619</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Composition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34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869,231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755,444</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Commercial - Specialized</w:t>
            </w: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368,204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378,725</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 General</w:t>
            </w:r>
          </w:p>
        </w:tc>
        <w:tc>
          <w:tcPr>
            <w:tcW w:w="3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477,209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460,024</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Consumer:</w:t>
            </w: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1-4 Family Residential</w:t>
            </w:r>
          </w:p>
        </w:tc>
        <w:tc>
          <w:tcPr>
            <w:tcW w:w="3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424,802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387,690</w:t>
            </w:r>
          </w:p>
        </w:tc>
      </w:tr>
      <w:tr>
        <w:trPr>
          <w:trHeight w:val="172"/>
        </w:trPr>
        <w:tc>
          <w:tcPr>
            <w:tcW w:w="20" w:type="dxa"/>
            <w:vAlign w:val="bottom"/>
          </w:tcPr>
          <w:p>
            <w:pPr>
              <w:spacing w:after="0"/>
              <w:rPr>
                <w:sz w:val="14"/>
                <w:szCs w:val="14"/>
                <w:color w:val="auto"/>
              </w:rPr>
            </w:pPr>
          </w:p>
        </w:tc>
        <w:tc>
          <w:tcPr>
            <w:tcW w:w="5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Auto Loans</w:t>
            </w: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240,719</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Consumer</w:t>
            </w:r>
          </w:p>
        </w:tc>
        <w:tc>
          <w:tcPr>
            <w:tcW w:w="3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80,524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68,113</w:t>
            </w: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Construction</w:t>
            </w: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161,286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146,862</w:t>
            </w:r>
          </w:p>
        </w:tc>
      </w:tr>
      <w:tr>
        <w:trPr>
          <w:trHeight w:val="174"/>
        </w:trPr>
        <w:tc>
          <w:tcPr>
            <w:tcW w:w="20" w:type="dxa"/>
            <w:vAlign w:val="bottom"/>
          </w:tcPr>
          <w:p>
            <w:pPr>
              <w:spacing w:after="0"/>
              <w:rPr>
                <w:sz w:val="15"/>
                <w:szCs w:val="15"/>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loans held for investment</w:t>
            </w:r>
          </w:p>
        </w:tc>
        <w:tc>
          <w:tcPr>
            <w:tcW w:w="3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2,690,366</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2,437,577</w:t>
            </w:r>
          </w:p>
        </w:tc>
        <w:tc>
          <w:tcPr>
            <w:tcW w:w="100" w:type="dxa"/>
            <w:vAlign w:val="bottom"/>
            <w:tcBorders>
              <w:bottom w:val="single" w:sz="8" w:color="auto"/>
            </w:tcBorders>
            <w:shd w:val="clear" w:color="auto" w:fill="CCEEFF"/>
          </w:tcPr>
          <w:p>
            <w:pPr>
              <w:spacing w:after="0"/>
              <w:rPr>
                <w:sz w:val="15"/>
                <w:szCs w:val="15"/>
                <w:color w:val="auto"/>
              </w:rPr>
            </w:pPr>
          </w:p>
        </w:tc>
      </w:tr>
      <w:tr>
        <w:trPr>
          <w:trHeight w:val="328"/>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 Composition</w:t>
            </w: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34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demand deposits</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1,262,072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1,071,367</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NOW &amp; other transaction accounts</w:t>
            </w: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353,871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395,322</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MMDA &amp; other savings</w:t>
            </w:r>
          </w:p>
        </w:tc>
        <w:tc>
          <w:tcPr>
            <w:tcW w:w="3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1,518,485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1,534,795</w:t>
            </w: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326,108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339,738</w:t>
            </w:r>
          </w:p>
        </w:tc>
      </w:tr>
      <w:tr>
        <w:trPr>
          <w:trHeight w:val="212"/>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deposits</w:t>
            </w:r>
          </w:p>
        </w:tc>
        <w:tc>
          <w:tcPr>
            <w:tcW w:w="3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3,460,536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3,341,222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86"/>
        </w:trPr>
        <w:tc>
          <w:tcPr>
            <w:tcW w:w="20" w:type="dxa"/>
            <w:vAlign w:val="bottom"/>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0" w:type="dxa"/>
            <w:vAlign w:val="bottom"/>
            <w:gridSpan w:val="10"/>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Pre-tax, pre-provision income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15,458</w:t>
            </w:r>
          </w:p>
        </w:tc>
        <w:tc>
          <w:tcPr>
            <w:tcW w:w="10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15,883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14,278</w:t>
            </w: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14,614</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15,190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3,962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4,001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3,527</w:t>
            </w:r>
          </w:p>
        </w:tc>
        <w:tc>
          <w:tcPr>
            <w:tcW w:w="1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loan losses</w:t>
            </w:r>
          </w:p>
        </w:tc>
        <w:tc>
          <w:tcPr>
            <w:tcW w:w="4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(2,085)</w:t>
            </w:r>
          </w:p>
        </w:tc>
        <w:tc>
          <w:tcPr>
            <w:tcW w:w="120" w:type="dxa"/>
            <w:vAlign w:val="bottom"/>
            <w:tcBorders>
              <w:left w:val="single" w:sz="8" w:color="CCEEFF"/>
            </w:tcBorders>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Pre-tax, pre-provision income</w:t>
            </w: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18,638</w:t>
            </w:r>
          </w:p>
        </w:tc>
        <w:tc>
          <w:tcPr>
            <w:tcW w:w="10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19,884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15,720</w:t>
            </w: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18,245</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(Unaudited)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080" w:type="dxa"/>
            <w:vAlign w:val="bottom"/>
            <w:gridSpan w:val="3"/>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8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common stockholders’ equity</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341,799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364,222</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$ 387,068</w:t>
            </w:r>
          </w:p>
        </w:tc>
        <w:tc>
          <w:tcPr>
            <w:tcW w:w="1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$ 407,427</w:t>
            </w:r>
          </w:p>
        </w:tc>
        <w:tc>
          <w:tcPr>
            <w:tcW w:w="1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$ 398,276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(24,228)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(24,620)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(25,403)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(25,804)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top w:val="single" w:sz="8" w:color="auto"/>
              <w:left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left w:val="single" w:sz="8" w:color="CCEEFF"/>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317,571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339,602</w:t>
            </w:r>
          </w:p>
        </w:tc>
        <w:tc>
          <w:tcPr>
            <w:tcW w:w="10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$ 362,057</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$ 382,024</w:t>
            </w:r>
          </w:p>
        </w:tc>
        <w:tc>
          <w:tcPr>
            <w:tcW w:w="14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$ 372,472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3,992,690</w:t>
            </w: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3,974,724</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$ 3,999,744</w:t>
            </w:r>
          </w:p>
        </w:tc>
        <w:tc>
          <w:tcPr>
            <w:tcW w:w="1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$ 3,901,855</w:t>
            </w:r>
          </w:p>
        </w:tc>
        <w:tc>
          <w:tcPr>
            <w:tcW w:w="1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$ 3,774,175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(24,228)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(24,620)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(25,403)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(25,804)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left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left w:val="single" w:sz="8" w:color="CCEEFF"/>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3,968,462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3,950,104</w:t>
            </w:r>
          </w:p>
        </w:tc>
        <w:tc>
          <w:tcPr>
            <w:tcW w:w="10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$ 3,974,733</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$ 3,876,452</w:t>
            </w:r>
          </w:p>
        </w:tc>
        <w:tc>
          <w:tcPr>
            <w:tcW w:w="14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$ 3,748,371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Shares outstanding</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17,064,640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17,417,094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17,673,407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17,760,243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17,824,094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080" w:type="dxa"/>
            <w:vAlign w:val="bottom"/>
            <w:gridSpan w:val="3"/>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180" w:type="dxa"/>
            <w:vAlign w:val="bottom"/>
            <w:gridSpan w:val="2"/>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9.68%</w:t>
            </w: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10.44%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4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9.11%</w:t>
            </w:r>
          </w:p>
        </w:tc>
        <w:tc>
          <w:tcPr>
            <w:tcW w:w="120" w:type="dxa"/>
            <w:vAlign w:val="bottom"/>
            <w:tcBorders>
              <w:left w:val="single" w:sz="8" w:color="CCEEFF"/>
            </w:tcBorders>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9.85%</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Book value per share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14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book value per share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1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1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5" w:name="page16"/>
    <w:bookmarkEnd w:id="15"/>
    <w:p>
      <w:pPr>
        <w:ind w:left="92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137795</wp:posOffset>
            </wp:positionV>
            <wp:extent cx="7209790" cy="5807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0" w:num="1">
            <w:col w:w="10140"/>
          </w:cols>
          <w:pgMar w:left="1440" w:top="244"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21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5821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95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5895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2740025" cy="396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40025" cy="39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South Plains Financial, Inc. Declares Quarterly Cash Dividend</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LUBBOCK, Texas, October 20, 2022 (GLOBE NEWSWIRE) – South Plains Financial, Inc. (NASDAQ:SPFI) (“South Plains”), the parent company of City Bank, today announced that its Board of Directors has declared a quarterly cash dividend of $0.12 per share of common stock. The dividend is payable on November 15, 2022 to shareholders of record as of the close of business on October 31,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South Plains Financial, Inc.</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Times New Roman" w:cs="Times New Roman" w:eastAsia="Times New Roman" w:hAnsi="Times New Roman"/>
          <w:sz w:val="14"/>
          <w:szCs w:val="14"/>
          <w:u w:val="single" w:color="auto"/>
          <w:color w:val="auto"/>
        </w:rPr>
        <w:t>https://www.spfi.bank</w:t>
      </w:r>
      <w:r>
        <w:rPr>
          <w:rFonts w:ascii="Times New Roman" w:cs="Times New Roman" w:eastAsia="Times New Roman" w:hAnsi="Times New Roman"/>
          <w:sz w:val="14"/>
          <w:szCs w:val="14"/>
          <w:color w:val="auto"/>
        </w:rPr>
        <w:t xml:space="preserve"> for more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Contact:</w:t>
            </w:r>
          </w:p>
        </w:tc>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Mikella Newsom, Chief Risk Officer and Secretary</w:t>
            </w:r>
          </w:p>
        </w:tc>
      </w:tr>
      <w:tr>
        <w:trPr>
          <w:trHeight w:val="155"/>
        </w:trPr>
        <w:tc>
          <w:tcPr>
            <w:tcW w:w="1140" w:type="dxa"/>
            <w:vAlign w:val="bottom"/>
          </w:tcPr>
          <w:p>
            <w:pPr>
              <w:spacing w:after="0"/>
              <w:rPr>
                <w:sz w:val="13"/>
                <w:szCs w:val="13"/>
                <w:color w:val="auto"/>
              </w:rPr>
            </w:pPr>
          </w:p>
        </w:tc>
        <w:tc>
          <w:tcPr>
            <w:tcW w:w="29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investors@city.bank</w:t>
            </w: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7" w:lineRule="exact"/>
        <w:rPr>
          <w:sz w:val="20"/>
          <w:szCs w:val="20"/>
          <w:color w:val="auto"/>
        </w:rPr>
      </w:pPr>
    </w:p>
    <w:p>
      <w:pPr>
        <w:jc w:val="right"/>
        <w:ind w:right="9220" w:firstLine="1136"/>
        <w:spacing w:after="0" w:line="550" w:lineRule="auto"/>
        <w:tabs>
          <w:tab w:leader="none" w:pos="14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771-3347 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60260"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sectPr>
      <w:pgSz w:w="11900" w:h="16838" w:orient="portrait"/>
      <w:cols w:equalWidth="0" w:num="1">
        <w:col w:w="11280"/>
      </w:cols>
      <w:pgMar w:left="300" w:top="25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866"/>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86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2022-10-21T06:33:57Z</dcterms:created>
  <dcterms:modified xsi:type="dcterms:W3CDTF">2022-10-21T06:33:57Z</dcterms:modified>
</cp:coreProperties>
</file>