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December 15,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Texas</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001-38895</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75-2453320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5219 City Bank Parkway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79407</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p>
      <w:pPr>
        <w:pStyle w:val="TextBody"/>
        <w:bidi w:val="0"/>
        <w:spacing w:before="0" w:after="0"/>
        <w:jc w:val="left"/>
        <w:rPr/>
      </w:pPr>
      <w:r>
        <w:rPr/>
      </w:r>
    </w:p>
    <w:tbl>
      <w:tblPr>
        <w:tblW w:w="8673" w:type="dxa"/>
        <w:jc w:val="left"/>
        <w:tblInd w:w="-15" w:type="dxa"/>
        <w:tblLayout w:type="fixed"/>
        <w:tblCellMar>
          <w:top w:w="28" w:type="dxa"/>
          <w:left w:w="28" w:type="dxa"/>
          <w:bottom w:w="28" w:type="dxa"/>
          <w:right w:w="28" w:type="dxa"/>
        </w:tblCellMar>
      </w:tblPr>
      <w:tblGrid>
        <w:gridCol w:w="3451"/>
        <w:gridCol w:w="1591"/>
        <w:gridCol w:w="3631"/>
      </w:tblGrid>
      <w:tr>
        <w:trPr/>
        <w:tc>
          <w:tcPr>
            <w:tcW w:w="34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9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63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159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SPFI</w:t>
            </w:r>
          </w:p>
        </w:tc>
        <w:tc>
          <w:tcPr>
            <w:tcW w:w="363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8.01</w:t>
      </w:r>
      <w:r>
        <w:rPr>
          <w:rFonts w:ascii="Times New Roman" w:hAnsi="Times New Roman"/>
          <w:color w:val="000000"/>
          <w:sz w:val="20"/>
          <w:shd w:fill="FFFFFF" w:val="clear"/>
        </w:rPr>
        <w:t>          </w:t>
      </w:r>
      <w:r>
        <w:rPr>
          <w:rFonts w:ascii="Times New Roman" w:hAnsi="Times New Roman"/>
          <w:b/>
          <w:color w:val="000000"/>
          <w:sz w:val="20"/>
          <w:shd w:fill="FFFFFF" w:val="clear"/>
        </w:rPr>
        <w:t>Other Events.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December 15, 2023, South Plains Financial, Inc. (the “Company”) redeemed the entire $12,372,000 outstanding principal amount of the Company’s Subordinated Debt Securities due December 15, 2028 (the “2028 Notes”). The 2028 Notes were redeemed pursuant to the terms of the Subordinated Indenture, dated as of December 14, 2018, between the Company and Argent Trust Company, N.A., as trustee for the 2028 Notes (the “Trustee”) at the redemption price of 100% of the principal amount of the 2028 Notes, plus accrued and unpaid interest to, but excluding, December 15, 2023 (the “Redemption Price”). As provided in the notice of redemption, dated November 8, 2023, previously provided to the holders of the 2028 Notes, each such holder is entitled to receive the Redemption Price upon presentment and surrender of the 2028 Notes to the Trustee, who is acting as the Company’s paying agent in connection with the redemption.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redemption of the 2028 Notes was approved by the Company’s primary federal regulator on October 30, 2023.</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625" w:type="dxa"/>
        <w:jc w:val="left"/>
        <w:tblInd w:w="0" w:type="dxa"/>
        <w:tblLayout w:type="fixed"/>
        <w:tblCellMar>
          <w:top w:w="0" w:type="dxa"/>
          <w:left w:w="0" w:type="dxa"/>
          <w:bottom w:w="0" w:type="dxa"/>
          <w:right w:w="0" w:type="dxa"/>
        </w:tblCellMar>
      </w:tblPr>
      <w:tblGrid>
        <w:gridCol w:w="2225"/>
        <w:gridCol w:w="320"/>
        <w:gridCol w:w="60"/>
        <w:gridCol w:w="3020"/>
      </w:tblGrid>
      <w:tr>
        <w:trPr/>
        <w:tc>
          <w:tcPr>
            <w:tcW w:w="2225" w:type="dxa"/>
            <w:tcBorders/>
            <w:vAlign w:val="center"/>
          </w:tcPr>
          <w:p>
            <w:pPr>
              <w:pStyle w:val="TableContents"/>
              <w:bidi w:val="0"/>
              <w:spacing w:before="0" w:after="283"/>
              <w:jc w:val="left"/>
              <w:rPr/>
            </w:pPr>
            <w:r>
              <w:rPr/>
              <w:t> </w:t>
            </w:r>
          </w:p>
        </w:tc>
        <w:tc>
          <w:tcPr>
            <w:tcW w:w="3400"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tc>
      </w:tr>
      <w:tr>
        <w:trPr/>
        <w:tc>
          <w:tcPr>
            <w:tcW w:w="2225" w:type="dxa"/>
            <w:tcBorders/>
            <w:vAlign w:val="center"/>
          </w:tcPr>
          <w:p>
            <w:pPr>
              <w:pStyle w:val="TableContents"/>
              <w:bidi w:val="0"/>
              <w:spacing w:before="0" w:after="283"/>
              <w:jc w:val="left"/>
              <w:rPr/>
            </w:pPr>
            <w:r>
              <w:rPr/>
              <w:t> </w:t>
            </w:r>
          </w:p>
        </w:tc>
        <w:tc>
          <w:tcPr>
            <w:tcW w:w="3400" w:type="dxa"/>
            <w:gridSpan w:val="3"/>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December 15, 2023.</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080"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Steven B. Crockett</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B. Crockett</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513</Words>
  <Characters>2783</Characters>
  <CharactersWithSpaces>3263</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