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16, 2025</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40" w:right="319" w:bottom="1440" w:gutter="0" w:footer="0" w:header="0"/>
        </w:sectPr>
      </w:pPr>
    </w:p>
    <w:p>
      <w:pPr>
        <w:spacing w:after="0" w:line="16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2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7"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8" w:lineRule="exact"/>
        <w:rPr>
          <w:sz w:val="24"/>
          <w:szCs w:val="24"/>
          <w:color w:val="auto"/>
        </w:rPr>
      </w:pPr>
    </w:p>
    <w:p>
      <w:pPr>
        <w:sectPr>
          <w:pgSz w:w="11900" w:h="16838" w:orient="portrait"/>
          <w:cols w:equalWidth="0" w:num="3">
            <w:col w:w="4140" w:space="720"/>
            <w:col w:w="2860" w:space="720"/>
            <w:col w:w="2840"/>
          </w:cols>
          <w:pgMar w:left="300" w:top="440" w:right="319" w:bottom="1440" w:gutter="0" w:footer="0" w:header="0"/>
          <w:type w:val="continuous"/>
        </w:sect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7500" w:space="720"/>
            <w:col w:w="3060"/>
          </w:cols>
          <w:pgMar w:left="300" w:top="44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00" w:firstLine="6"/>
        <w:spacing w:after="0" w:line="524" w:lineRule="auto"/>
        <w:tabs>
          <w:tab w:leader="none" w:pos="25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7" w:lineRule="exact"/>
        <w:rPr>
          <w:sz w:val="24"/>
          <w:szCs w:val="24"/>
          <w:color w:val="auto"/>
        </w:rPr>
      </w:pPr>
    </w:p>
    <w:p>
      <w:pPr>
        <w:ind w:right="42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5"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211455</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July 16, 2025, South Plains Financial, Inc. (the “Company”) issued a press release announcing its financial results for the second quarter ended June 30, 2025. A copy of the Company’s press release covering such announcement and certain other matters is furnished as Exhibit 99.1 to this Current Report on Form 8-K.</w:t>
      </w:r>
    </w:p>
    <w:p>
      <w:pPr>
        <w:spacing w:after="0" w:line="1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July 16, 2025, officers of the Company will have a conference call with respect to the Company’s financial results for the second quarter ended June 30, 2025. An earnings release slide presentation highlighting the Company’s financial results for the second quarter ended June 30, 2025 is furnished as Exhibit 99.2 to this Current Report on Form 8-K. This earnings release slide presentation will also be available on the Company’s website, www.spfi.bank, under the “News &amp; Events” section.</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5" w:lineRule="exact"/>
        <w:rPr>
          <w:sz w:val="20"/>
          <w:szCs w:val="20"/>
          <w:color w:val="auto"/>
        </w:rPr>
      </w:pPr>
    </w:p>
    <w:p>
      <w:pPr>
        <w:ind w:left="1360" w:hanging="676"/>
        <w:spacing w:after="0"/>
        <w:tabs>
          <w:tab w:leader="none" w:pos="13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dated July 16, 2025, announcing second quarter 2025 financial results of South Plains Financial, Inc.</w:t>
      </w:r>
    </w:p>
    <w:p>
      <w:pPr>
        <w:spacing w:after="0" w:line="183"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Earnings release slide presentation, dated July 16, 2025.</w:t>
      </w:r>
    </w:p>
    <w:p>
      <w:pPr>
        <w:spacing w:after="0" w:line="183"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 w:leader="none" w:pos="5980" w:val="left"/>
        </w:tabs>
        <w:rPr>
          <w:sz w:val="20"/>
          <w:szCs w:val="20"/>
          <w:color w:val="auto"/>
        </w:rPr>
      </w:pPr>
      <w:r>
        <w:rPr>
          <w:rFonts w:ascii="Times New Roman" w:cs="Times New Roman" w:eastAsia="Times New Roman" w:hAnsi="Times New Roman"/>
          <w:sz w:val="14"/>
          <w:szCs w:val="14"/>
          <w:color w:val="auto"/>
        </w:rPr>
        <w:t>Date: July 16, 2025</w:t>
      </w:r>
      <w:r>
        <w:rPr>
          <w:sz w:val="20"/>
          <w:szCs w:val="20"/>
          <w:color w:val="auto"/>
        </w:rPr>
        <w:tab/>
      </w:r>
      <w:r>
        <w:rPr>
          <w:rFonts w:ascii="Times New Roman" w:cs="Times New Roman" w:eastAsia="Times New Roman" w:hAnsi="Times New Roman"/>
          <w:sz w:val="14"/>
          <w:szCs w:val="14"/>
          <w:color w:val="auto"/>
        </w:rPr>
        <w:t>By:</w:t>
        <w:tab/>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16510</wp:posOffset>
            </wp:positionV>
            <wp:extent cx="335470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4705" cy="1397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3" w:right="6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684780"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78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Reports Second Quarter 2025 Financial Results</w:t>
      </w:r>
    </w:p>
    <w:p>
      <w:pPr>
        <w:spacing w:after="0" w:line="18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LUBBOCK, Texas, July 16, 2025 (GLOBE NEWSWIRE) – South Plains Financial, Inc. (NASDAQ:SPFI) (“South Plains” or the “Company”), the parent company of City Bank (“City Bank” or the “Bank”), today reported its financial results for the quarter ended June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Second Quarter 2025 Highlights</w:t>
      </w:r>
    </w:p>
    <w:p>
      <w:pPr>
        <w:spacing w:after="0" w:line="185" w:lineRule="exact"/>
        <w:rPr>
          <w:sz w:val="20"/>
          <w:szCs w:val="20"/>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second quarter of 2025 was $14.6 million, compared to $12.3 million for the first quarter of 2025 and $11.1 million for the second quarter of 2024.</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for the second quarter of 2025 was $0.86, compared to $0.72 for the first quarter of 2025 and $0.66 for the second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deposits for the second quarter of 2025 was 214 basis points, compared to 219 basis points for the first quarter of 2025 and 243 basis points for the second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on a tax-equivalent basis, was 4.07% for the second quarter of 2025, compared to 3.81% for the first quarter of 2025 and 3.63% for the second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for the second quarter of 2025 was 1.34%, compared to 1.16% for the first quarter of 2025 and 1.07% for the second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was $26.70 as of June 30, 2025, compared to $26.05 as of March 31, 2025 and $24.15 as of June 30,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total risk-based capital ratio, common equity tier 1 risk-based capital ratio, and tier 1 leverage ratio at June 30, 2025 were 18.17%, 13.86%, and 12.12%, respectively.</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Curtis Griffith, South Plains’ Chairman and Chief Executive Officer, commented, “We delivered solid second quarter results highlighted by steady margin expansion, continued loan growth despite high levels of loan payoffs, which were expected, and healthy capital levels that continued to build through the quarter. Additionally, we believe the credit quality of our loan portfolio remained solid through the quarter. We believe that we are in a strong position to take advantage of opportunities as they present themselves and are pursuing a strategy to increase the assets of the Bank primarily focused on expanding our lending capabilities. Our community-based deposit franchise continues to provide a stable, lower-cost funding source for loan growth across our markets and our team has done a terrific job growing our loan portfolio over the last five years. We believe that we have opportunities to accelerate that growth by further expanding our lending platform and adding experienced commercial lenders who share our culture and values, and who can bring high quality customer relationships to the Bank. We recruited several experienced lenders in the Dallas market during the second quarter and will continue to add talent in the quarters to come as we expand our reach and continue to work to take market share.”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Quarter Ended June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interest income was $42.5 million for the second quarter of 2025, compared to $38.5 million for the first quarter of 2025 and $35.9 million for the second quarter of 2024. Net interest margin, calculated on a tax-equivalent basis, was 4.07% for the second quarter of 2025, compared to 3.81% for the first quarter of 2025 and 3.63% for the second quarter of 2024. The average yield on loans was 6.99% for the second quarter of 2025, compared to 6.67% for the first quarter of 2025 and 6.60% for the second quarter of 2024. The average cost of deposits was 214 basis points for the second quarter of 2025, which is 5 basis points lower than the first quarter of 2025 and 29 basis points lower than the second quarter of 2024. There was a recovery of $1.7 million in interest during the second quarter of 2025, related to a full repayment of a loan that had previously been on nonaccrual. This recovery positively impacted the net interest margin by 17 basis points and the loan yield by 23 basis points during the second quarter of 2025.</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Interest income was $64.1 million for the second quarter of 2025, compared to $59.9 million for the first quarter of 2025 and $59.2 million for the second quarter of 2024. Interest income increased $4.2 million in the second quarter of 2025 from the first quarter of 2025, which was primarily comprised of an increase of $3.3 million in loan interest income and an increase of $888 thousand in interest income on other earning assets. The increase in loan interest income was due primarily to the $1.7 million recovery of interest and growth of $20.0 million in average loans outstanding during the second quarter of 2025. The increase in interest income on other earning assets was mainly due to an increase of $69.8 million in average other interest-earning assets during the second quarter of 2025. Interest income increased $4.9 million in the second quarter of 2025 compared to the second quarter of 2024. This increase was primarily due to the $1.7 million recovery of interest and an increase of average loans of $12.0 million and higher loan interest rates during the period, resulting in growth of $3.3 million in loan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1" w:right="319" w:bottom="1440" w:gutter="0" w:footer="0" w:header="0"/>
        </w:sectPr>
      </w:pPr>
    </w:p>
    <w:bookmarkStart w:id="4" w:name="page5"/>
    <w:bookmarkEnd w:id="4"/>
    <w:p>
      <w:pPr>
        <w:jc w:val="both"/>
        <w:spacing w:after="0" w:line="267" w:lineRule="auto"/>
        <w:rPr>
          <w:sz w:val="20"/>
          <w:szCs w:val="20"/>
          <w:color w:val="auto"/>
        </w:rPr>
      </w:pPr>
      <w:r>
        <w:rPr>
          <w:rFonts w:ascii="Times New Roman" w:cs="Times New Roman" w:eastAsia="Times New Roman" w:hAnsi="Times New Roman"/>
          <w:sz w:val="14"/>
          <w:szCs w:val="14"/>
          <w:color w:val="auto"/>
        </w:rPr>
        <w:t>Interest expense was $21.6 million for the second quarter of 2025, compared to $21.4 million for the first quarter of 2025 and $23.3 million for the second quarter of 2024. Interest expense increased $237 thousand compared to the first quarter of 2025 and decreased $1.7 million compared to the second quarter of 2024. The $237 thousand increase was primarily as a result of a $21.2 million increase in average interest-bearing deposits during the second quarter of 2025 as compared to the first quarter of 2025. The $1.7 million decrease was primarily as a result of a 42 basis point decline in the cost of interest-bearing deposits, partially offset by an increase of $151.3 million in average interest-bearing deposits in the second quarter of 2025 as compared to the second quarter of 2024.</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Noninterest income was $12.2 million for the second quarter of 2025, compared to $10.6 million for the first quarter of 2025 and $12.7 million for the second quarter of 2024. The increase from the first quarter of 2025 was primarily due to an increase of $1.5 million in mortgage banking revenues, mainly as a result of an increase of $1.4 million in the fair value adjustment of the mortgage servicing rights assets as interest rates that affect the value stabilized in the second quarter of 2025 after declining in the first quarter of 2025. The decrease in noninterest income for the second quarter of 2025 as compared to the second quarter of 2024 was primarily due to a decrease of $523 thousand in income from investments in Small Business Investment Companies.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Noninterest expense was $33.5 million for the second quarter of 2025, compared to $33.0 million for the first quarter of 2025 and $32.6 million for the second quarter of 2024. The $513 thousand increase from the first quarter of 2025 was largely the result of an increase of $267 thousand in personnel expenses and $144 thousand in increased professional service expenses. The $971 thousand increase in noninterest expense for the second quarter of 2025 as compared to the second quarter of 2024 was largely the result of an increase of $509 thousand in personnel expenses, mainly a result of annual salary adjustments.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Portfolio and Composition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Loans held for investment were $3.10 billion as of June 30, 2025, compared to $3.08 billion as of March 31, 2025 and $3.09 billion as of June 30, 2024. The increase of $23.1 million, or 3.0% annualized, during the second quarter of 2025 as compared to the first quarter of 2025 occurred primarily as a result of organic loan growth experienced broadly across the portfolio, partially offset by a decrease of $52.6 million in multi-family property loans mainly due to the payoff of three loans totaling $49.1 million. As of June 30, 2025, loans held for investment increased $4.7 million, or 0.2%, from June 30,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and Borrowings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Deposits totaled $3.74 billion as of June 30, 2025, compared to $3.79 billion as of March 31, 2025 and $3.62 billion as of June 30, 2024. Deposits decreased by $53.6 million, or 1.4%, in the second quarter of 2025 from March 31, 2025. Deposits increased by $114.4 million, or 3.2%, at June 30, 2025 as compared to June 30, 2024. Noninterest-bearing deposits were $998.8 million as of June 30, 2025, compared to $966.5 million as of March 31, 2025 and $951.6 million as of June 30, 2024. Noninterest-bearing deposits represented 26.7% of total deposits as of June 30, 2025. The quarterly change in total deposits was mainly due to a seasonal decrease of $73.7 million in public fund deposits, partially offset by organic growth in retail and commercial deposits. The year-over-year increase in total deposits was primarily the result of continued organic growth in retail and commercial deposits.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Company recorded a provision for credit losses in the second quarter of 2025 of $2.5 million, compared to $420 thousand in the first quarter of 2025 and $1.8 million in the second quarter of 2024. The provision during the second quarter of 2025 was largely attributable to an increase in specific reserves, net charge-off activity, increased loan balances, and several credit quality downgrades.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credit losses to loans held for investment was 1.45% as of June 30, 2025, compared to 1.40% as of March 31, 2025 and 1.40% as of June 30, 2024.</w:t>
      </w:r>
    </w:p>
    <w:p>
      <w:pPr>
        <w:spacing w:after="0" w:line="1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ratio of nonperforming assets to total assets was 0.25% as of June 30, 2025, compared to 0.16% as of March 31, 2025 and 0.57% as of June 30, 2024. Annualized net charge-offs were 0.06% for the second quarter of 2025, compared to 0.07% for the first quarter of 2025 and 0.10% for the second quarter of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Book value per share increased to $27.98 at June 30, 2025, compared to $27.33 at March 31, 2025. The change was primarily driven by $12.2 million of net income after dividends paid, partially offset by a decrease in accumulated other comprehensive income of $2.3 million. The ratio of tangible common equity to tangible assets (non-GAAP) increased 34 basis points to 9.98% during the second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South Plains will host a conference call to discuss its second quarter 2025 financial results today, July 16, 2025,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cs="Times New Roman" w:eastAsia="Times New Roman" w:hAnsi="Times New Roman"/>
          <w:sz w:val="14"/>
          <w:szCs w:val="14"/>
          <w:u w:val="single" w:color="auto"/>
          <w:color w:val="auto"/>
        </w:rPr>
        <w:t>https://www.spfi.bank/news-events/events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13754259. The replay will be available until July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financial measures to GAAP financial measures is provided at the end of this press release.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routinely posts important information for investors on its web site (under </w:t>
      </w:r>
      <w:r>
        <w:rPr>
          <w:rFonts w:ascii="Times New Roman" w:cs="Times New Roman" w:eastAsia="Times New Roman" w:hAnsi="Times New Roman"/>
          <w:sz w:val="14"/>
          <w:szCs w:val="14"/>
          <w:u w:val="single" w:color="auto"/>
          <w:color w:val="auto"/>
        </w:rPr>
        <w:t>www.spfi.bank</w:t>
      </w:r>
      <w:r>
        <w:rPr>
          <w:rFonts w:ascii="Times New Roman" w:cs="Times New Roman" w:eastAsia="Times New Roman" w:hAnsi="Times New Roman"/>
          <w:sz w:val="14"/>
          <w:szCs w:val="14"/>
          <w:color w:val="auto"/>
        </w:rPr>
        <w:t xml:space="preserve"> and, more specifically, under the News &amp; Events tab at </w:t>
      </w:r>
      <w:r>
        <w:rPr>
          <w:rFonts w:ascii="Times New Roman" w:cs="Times New Roman" w:eastAsia="Times New Roman" w:hAnsi="Times New Roman"/>
          <w:sz w:val="14"/>
          <w:szCs w:val="14"/>
          <w:u w:val="single" w:color="auto"/>
          <w:color w:val="auto"/>
        </w:rPr>
        <w:t>www.spfi.bank/news-events/press-releases</w:t>
      </w:r>
      <w:r>
        <w:rPr>
          <w:rFonts w:ascii="Times New Roman" w:cs="Times New Roman" w:eastAsia="Times New Roman" w:hAnsi="Times New Roman"/>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on, or that may be accessed through, the Company’s web site is not incorporated by reference into, and is not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potential recession in the United States and our market areas; the impacts related to or resulting from uncertainty in the banking industry as a whole; increased competition for deposits in our market areas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our market areas; the uncertain impacts of ongoing quantitative tightening and current and future monetary policies of the Board of Governors of the Federal Reserve System; changes in unemployment rates in the United States and our market areas; adverse changes in customer spending and savings habits; declines in commercial real estate values and prices; a deterioration of the credit rating for U.S. long-term sovereign debt or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or other external events, including as a result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spacing w:after="0" w:line="32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700" w:right="8400" w:firstLine="6"/>
        <w:spacing w:after="0" w:line="273" w:lineRule="auto"/>
        <w:tabs>
          <w:tab w:leader="none" w:pos="20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5"/>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4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Income Statement Data:</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64,135</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59,922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61,324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61,640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59,208</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21,632</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21,395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22,776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24,346</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23,320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42,503</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38,527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38,548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37,294</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35,888</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2,500</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1,200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495</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12,165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10,625</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13,319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10,635</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12,709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33,543</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33,030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29,948</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33,128</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32,572</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4,020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3,408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4,222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3,094</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3,116</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14,605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12,294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16,497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11,212</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(Common Stock):</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basic</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0.90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0.68</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diluted</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0.86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0.66</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and paid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0.14</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 value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27.98</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27.33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26.67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27.04</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(non-GAAP)</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26.70</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26.05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25.40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25.75</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16,231,627</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16,415,862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16,400,361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16,386,079</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16,425,360</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dilutive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16,886,993</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17,065,599</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17,161,646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17,056,959</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16,932,077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16,230,475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16,235,647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16,455,826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16,386,627</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16,424,021</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Period End Balance Sheet Data:</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470,496</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536,300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359,082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471,167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298,006</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570,000</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571,527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577,240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606,889</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591,031</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3,098,978</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3,075,860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3,055,054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3,037,375</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3,094,273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45,010</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42,968</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43,237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42,886</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43,173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4,363,674</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4,405,209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4,232,239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4,337,659</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4,220,936</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2,740,179</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2,826,055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2,685,366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2,720,880</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2,672,948</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998,759</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966,464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935,510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998,480</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951,565</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3,738,938</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3,792,519</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3,620,876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3,719,360</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3,624,513</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111,799</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110,400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110,354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110,307</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110,261</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454,074</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443,743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438,949</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443,122</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417,985</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Performance Ratios: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(annualized)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equity (annualized)</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r>
      <w:tr>
        <w:trPr>
          <w:trHeight w:val="172"/>
        </w:trPr>
        <w:tc>
          <w:tcPr>
            <w:tcW w:w="4060" w:type="dxa"/>
            <w:vAlign w:val="bottom"/>
          </w:tcPr>
          <w:p>
            <w:pPr>
              <w:spacing w:after="0" w:line="173"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(1)</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on loans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Cost of interest-bearing deposits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Credit Quality Data:</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10,463</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24,693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23,452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0.76%</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535</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755</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86"/>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to average loans outstanding (annualized)</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w:t>
            </w:r>
          </w:p>
        </w:tc>
      </w:tr>
      <w:tr>
        <w:trPr>
          <w:trHeight w:val="300"/>
        </w:trPr>
        <w:tc>
          <w:tcPr>
            <w:tcW w:w="4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80" w:type="dxa"/>
            <w:vAlign w:val="bottom"/>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4"/>
              </w:rPr>
              <w:t>June 30</w:t>
            </w:r>
          </w:p>
        </w:tc>
        <w:tc>
          <w:tcPr>
            <w:tcW w:w="640" w:type="dxa"/>
            <w:vAlign w:val="bottom"/>
          </w:tcPr>
          <w:p>
            <w:pPr>
              <w:spacing w:after="0"/>
              <w:rPr>
                <w:sz w:val="14"/>
                <w:szCs w:val="14"/>
                <w:color w:val="auto"/>
              </w:rPr>
            </w:pPr>
          </w:p>
        </w:tc>
        <w:tc>
          <w:tcPr>
            <w:tcW w:w="13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400" w:type="dxa"/>
            <w:vAlign w:val="bottom"/>
            <w:gridSpan w:val="2"/>
          </w:tcPr>
          <w:p>
            <w:pPr>
              <w:ind w:left="50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4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7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6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97"/>
              </w:rPr>
              <w:t>10.41%</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10.07%</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10.37%</w:t>
            </w:r>
          </w:p>
        </w:tc>
        <w:tc>
          <w:tcPr>
            <w:tcW w:w="14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10.22%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172"/>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9.98%</w:t>
            </w: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9.64%</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9.92%</w:t>
            </w:r>
          </w:p>
        </w:tc>
        <w:tc>
          <w:tcPr>
            <w:tcW w:w="14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17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6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97"/>
              </w:rPr>
              <w:t>13.86%</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13.59%</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13.53%</w:t>
            </w:r>
          </w:p>
        </w:tc>
        <w:tc>
          <w:tcPr>
            <w:tcW w:w="14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13.25%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r>
      <w:tr>
        <w:trPr>
          <w:trHeight w:val="172"/>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7"/>
              </w:rPr>
              <w:t>12.12%</w:t>
            </w: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12.04%</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12.04%</w:t>
            </w:r>
          </w:p>
        </w:tc>
        <w:tc>
          <w:tcPr>
            <w:tcW w:w="14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7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6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97"/>
              </w:rPr>
              <w:t>18.17%</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17.93%</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17.86%</w:t>
            </w:r>
          </w:p>
        </w:tc>
        <w:tc>
          <w:tcPr>
            <w:tcW w:w="14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17.61%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3,094,558</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53,894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6.99%</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3,082,601</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50,579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3.71%</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533,553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152,202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2.67%</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155,408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456,818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4.17%</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225,720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4,212,086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64,356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6.13%</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3,997,282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59,431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171,472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4,378,849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2,326,779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15,890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2,221,427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17,652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3.81%</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392,778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64,031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5.23%</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63,845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735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6.35%</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2,875,918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21,632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3.02%</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2,724,446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23,320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990,343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960,106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63,679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70,854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413,348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4,378,849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4,168,754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42,724</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36,111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4.07%</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3,084,563</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104,471</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6.83%</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3,048,569</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99,519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9,392</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3.72%</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543,817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10,796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2.68%</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155,831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8,606</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4.11%</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262,345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4,168,609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124,498</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6.02%</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4,010,562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118,381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177,882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4,337,831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4,188,444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2,314,562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31,401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2,253,704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35,649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8,488</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3.89%</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383,816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5.26%</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63,822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6.38%</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2,865,271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43,027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3.03%</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2,747,738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46,679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962,557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959,219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64,875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70,856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410,631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4,337,831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4,188,444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81,471</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71,702</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3.94%</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60,400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54,114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304,968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570,000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577,240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17,182</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20,542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3,098,978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3,055,054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(45,010)</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(43,237)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3,053,968</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3,011,817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51,329</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52,951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servicing rights</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25,134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154,833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163,280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4,363,674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4,232,239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8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998,759</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935,510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2,740,179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2,685,366</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3,738,938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3,620,876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64,054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63,961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58,863</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62,060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3,909,600</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3,793,290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16,230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90,268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97,287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407,822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385,827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(60,246)</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(60,621)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454,074</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438,949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4,363,674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4,232,239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3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including fees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50,571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104,456</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99,503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8,637</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19,601</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18,432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64,135</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59,208</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124,057</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21,629</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39,889</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43,292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1,670</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856</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1,468</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1,717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21,632</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23,320</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43,027</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35,888</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81,030</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71,256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1,775</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2,920</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2,605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34,113</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78,110</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68,651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Service charges on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1,949</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4,239</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banking activities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3,397</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5,719</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Bank card services and interchange fees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4,052</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7,150</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3,311</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5,682</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5,901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12,709</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22,790</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19,199</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39,149</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38,187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occupancy expense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4,029</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7,999</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1,738</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3,604</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Marketing and development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860</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1,824</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6,746</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13,997</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33,543</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32,572</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66,573</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14,250</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34,327</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28,267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3,116</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7,428</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14,605</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11,134</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26,899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5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1,085,309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1,119,063</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Commercial - Specialized</w:t>
            </w: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388,955</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 General</w:t>
            </w:r>
          </w:p>
        </w:tc>
        <w:tc>
          <w:tcPr>
            <w:tcW w:w="3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620,934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557,371</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Consumer:</w:t>
            </w: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 Family Residential</w:t>
            </w:r>
          </w:p>
        </w:tc>
        <w:tc>
          <w:tcPr>
            <w:tcW w:w="3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589,935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566,400</w:t>
            </w: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Auto Loans</w:t>
            </w: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254,474</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Consumer</w:t>
            </w:r>
          </w:p>
        </w:tc>
        <w:tc>
          <w:tcPr>
            <w:tcW w:w="3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63,589</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64,936</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103,855</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 held for investment</w:t>
            </w:r>
          </w:p>
        </w:tc>
        <w:tc>
          <w:tcPr>
            <w:tcW w:w="3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3,098,978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3,055,054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1"/>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 Composition</w:t>
            </w: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5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998,759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935,510</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NOW &amp; other transaction accounts</w:t>
            </w: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1,244,023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498,718</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MMDA &amp; other savings</w:t>
            </w:r>
          </w:p>
        </w:tc>
        <w:tc>
          <w:tcPr>
            <w:tcW w:w="3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1,072,010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1,741,988</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424,146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444,660</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3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3,738,938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3,620,876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2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40" w:type="dxa"/>
            <w:vAlign w:val="bottom"/>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Pre-tax, pre-provision income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14,605</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16,497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11,212</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4,222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3,094</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495</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Pre-tax, pre-provision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21,125</w:t>
            </w:r>
          </w:p>
        </w:tc>
        <w:tc>
          <w:tcPr>
            <w:tcW w:w="2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21,919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14,801</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20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common stockholders’ equity</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454,074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443,743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$ 438,949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$ 443,122</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$ 417,985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(20,732)</w:t>
            </w:r>
          </w:p>
        </w:tc>
        <w:tc>
          <w:tcPr>
            <w:tcW w:w="1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(21,035)</w:t>
            </w: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(21,197)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(21,379)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gridSpan w:val="2"/>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433,342</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422,859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$ 417,914</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$ 421,925</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$ 396,606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4,363,674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4,405,209</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$ 4,232,239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$ 4,337,659</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$ 4,220,936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(20,732)</w:t>
            </w:r>
          </w:p>
        </w:tc>
        <w:tc>
          <w:tcPr>
            <w:tcW w:w="1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(21,035)</w:t>
            </w: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(21,197)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(21,379)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4,342,942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4,384,325</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$ 4,211,204</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$ 4,316,462</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$ 4,199,557</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16,230,475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16,235,647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16,455,826</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16,386,627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16,424,021</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10.41%</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10.22%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27.98</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27.33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27.04</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26.70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26.05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25.75</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5" w:name="page16"/>
    <w:bookmarkEnd w:id="15"/>
    <w:p>
      <w:pPr>
        <w:ind w:left="9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127000</wp:posOffset>
            </wp:positionV>
            <wp:extent cx="7209790" cy="5793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0" w:num="1">
            <w:col w:w="10140"/>
          </w:cols>
          <w:pgMar w:left="1440" w:top="241"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14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62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790" cy="5862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866"/>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2025-07-16T15:33:16Z</dcterms:created>
  <dcterms:modified xsi:type="dcterms:W3CDTF">2025-07-16T15:33:16Z</dcterms:modified>
</cp:coreProperties>
</file>