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Newsom Cory T</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LUBBOCK</w:t>
            </w:r>
          </w:p>
        </w:tc>
        <w:tc>
          <w:tcPr>
            <w:tcW w:w="1300" w:type="dxa"/>
            <w:vAlign w:val="bottom"/>
          </w:tcPr>
          <w:p>
            <w:pPr>
              <w:ind w:left="200"/>
              <w:spacing w:after="0"/>
              <w:rPr>
                <w:sz w:val="20"/>
                <w:szCs w:val="20"/>
                <w:color w:val="auto"/>
              </w:rPr>
            </w:pPr>
            <w:r>
              <w:rPr>
                <w:rFonts w:ascii="Arial" w:cs="Arial" w:eastAsia="Arial" w:hAnsi="Arial"/>
                <w:sz w:val="17"/>
                <w:szCs w:val="17"/>
                <w:color w:val="0000FF"/>
              </w:rPr>
              <w:t>TX</w:t>
            </w:r>
          </w:p>
        </w:tc>
        <w:tc>
          <w:tcPr>
            <w:tcW w:w="1320" w:type="dxa"/>
            <w:vAlign w:val="bottom"/>
          </w:tcPr>
          <w:p>
            <w:pPr>
              <w:ind w:left="120"/>
              <w:spacing w:after="0"/>
              <w:rPr>
                <w:sz w:val="20"/>
                <w:szCs w:val="20"/>
                <w:color w:val="auto"/>
              </w:rPr>
            </w:pPr>
            <w:r>
              <w:rPr>
                <w:rFonts w:ascii="Arial" w:cs="Arial" w:eastAsia="Arial" w:hAnsi="Arial"/>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4">
              <w:r>
                <w:rPr>
                  <w:rFonts w:ascii="Arial" w:cs="Arial" w:eastAsia="Arial" w:hAnsi="Arial"/>
                  <w:sz w:val="16"/>
                  <w:szCs w:val="16"/>
                  <w:color w:val="0000EE"/>
                </w:rPr>
                <w:t xml:space="preserve">SOUTH PLAINS FINANCIAL, INC. </w:t>
              </w:r>
            </w:hyperlink>
            <w:r>
              <w:rPr>
                <w:rFonts w:ascii="Arial" w:cs="Arial" w:eastAsia="Arial" w:hAnsi="Arial"/>
                <w:sz w:val="16"/>
                <w:szCs w:val="16"/>
                <w:color w:val="000000"/>
              </w:rPr>
              <w:t>[</w:t>
            </w:r>
          </w:p>
        </w:tc>
        <w:tc>
          <w:tcPr>
            <w:tcW w:w="20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80" w:type="dxa"/>
            <w:vAlign w:val="bottom"/>
            <w:gridSpan w:val="2"/>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4">
              <w:r>
                <w:rPr>
                  <w:rFonts w:ascii="Arial" w:cs="Arial" w:eastAsia="Arial" w:hAnsi="Arial"/>
                  <w:sz w:val="1"/>
                  <w:szCs w:val="1"/>
                  <w:color w:val="0000FF"/>
                </w:rPr>
                <w:t xml:space="preserve">SPFI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580" w:type="dxa"/>
            <w:vAlign w:val="bottom"/>
            <w:vMerge w:val="restart"/>
          </w:tcPr>
          <w:p>
            <w:pPr>
              <w:ind w:left="840"/>
              <w:spacing w:after="0"/>
              <w:rPr>
                <w:sz w:val="20"/>
                <w:szCs w:val="20"/>
                <w:color w:val="auto"/>
              </w:rPr>
            </w:pPr>
            <w:r>
              <w:rPr>
                <w:rFonts w:ascii="Arial" w:cs="Arial" w:eastAsia="Arial" w:hAnsi="Arial"/>
                <w:sz w:val="17"/>
                <w:szCs w:val="17"/>
                <w:color w:val="0000FF"/>
              </w:rPr>
              <w:t>President</w:t>
            </w: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320" w:type="dxa"/>
            <w:vAlign w:val="bottom"/>
            <w:gridSpan w:val="2"/>
            <w:vMerge w:val="restart"/>
          </w:tcPr>
          <w:p>
            <w:pPr>
              <w:ind w:left="80"/>
              <w:spacing w:after="0"/>
              <w:rPr>
                <w:sz w:val="20"/>
                <w:szCs w:val="20"/>
                <w:color w:val="auto"/>
              </w:rPr>
            </w:pPr>
            <w:r>
              <w:rPr>
                <w:rFonts w:ascii="Arial" w:cs="Arial" w:eastAsia="Arial" w:hAnsi="Arial"/>
                <w:sz w:val="17"/>
                <w:szCs w:val="17"/>
                <w:color w:val="0000FF"/>
              </w:rPr>
              <w:t>03/20/2020</w:t>
            </w: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3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133985</wp:posOffset>
            </wp:positionV>
            <wp:extent cx="6964045" cy="1836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836420"/>
                    </a:xfrm>
                    <a:prstGeom prst="rect">
                      <a:avLst/>
                    </a:prstGeom>
                    <a:noFill/>
                  </pic:spPr>
                </pic:pic>
              </a:graphicData>
            </a:graphic>
          </wp:anchor>
        </w:drawing>
      </w:r>
    </w:p>
    <w:p>
      <w:pPr>
        <w:spacing w:after="0" w:line="272"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03/20/2020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2,874</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13.95</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164,517</w:t>
            </w:r>
            <w:r>
              <w:rPr>
                <w:rFonts w:ascii="Arial" w:cs="Arial" w:eastAsia="Arial" w:hAnsi="Arial"/>
                <w:sz w:val="22"/>
                <w:szCs w:val="22"/>
                <w:color w:val="008000"/>
                <w:w w:val="88"/>
                <w:vertAlign w:val="superscript"/>
              </w:rPr>
              <w:t>(1)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vMerge w:val="restart"/>
          </w:tcPr>
          <w:p>
            <w:pPr>
              <w:jc w:val="center"/>
              <w:ind w:right="417"/>
              <w:spacing w:after="0"/>
              <w:rPr>
                <w:sz w:val="20"/>
                <w:szCs w:val="20"/>
                <w:color w:val="auto"/>
              </w:rPr>
            </w:pPr>
            <w:r>
              <w:rPr>
                <w:rFonts w:ascii="Arial" w:cs="Arial" w:eastAsia="Arial" w:hAnsi="Arial"/>
                <w:sz w:val="17"/>
                <w:szCs w:val="17"/>
                <w:color w:val="0000FF"/>
                <w:w w:val="91"/>
              </w:rPr>
              <w:t>750</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child</w:t>
            </w:r>
            <w:r>
              <w:rPr>
                <w:rFonts w:ascii="Arial" w:cs="Arial" w:eastAsia="Arial" w:hAnsi="Arial"/>
                <w:sz w:val="22"/>
                <w:szCs w:val="22"/>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76,865</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ESOP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reported include restricted stock units that may be settled only by delivery of an equal number of shares of common stock and which are subject to vesting and forfeiture conditions.</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for the benefit of the Reporting Person's child.</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the ESOP and allocated to the Reporting Person's account. Reflects ESOP allocations that have occurred since the date of the reporting person's last ownership report.</w:t>
      </w:r>
    </w:p>
    <w:p>
      <w:pPr>
        <w:spacing w:after="0" w:line="77"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Cory T.</w:t>
      </w:r>
      <w:r>
        <w:rPr>
          <w:sz w:val="20"/>
          <w:szCs w:val="20"/>
          <w:color w:val="auto"/>
        </w:rPr>
        <w:tab/>
      </w:r>
      <w:r>
        <w:rPr>
          <w:rFonts w:ascii="Arial" w:cs="Arial" w:eastAsia="Arial" w:hAnsi="Arial"/>
          <w:sz w:val="15"/>
          <w:szCs w:val="15"/>
          <w:color w:val="0000FF"/>
        </w:rPr>
        <w:t>03/21/2020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Newsom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75199"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2020-03-23T11:44:07Z</dcterms:created>
  <dcterms:modified xsi:type="dcterms:W3CDTF">2020-03-23T11:44:07Z</dcterms:modified>
</cp:coreProperties>
</file>