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the Securities Exchange Act of 1934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October 23, 2025</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South Plains Financial,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left"/>
        <w:rPr>
          <w:sz w:val="20"/>
        </w:rPr>
      </w:pPr>
      <w:r>
        <w:rPr>
          <w:sz w:val="20"/>
        </w:rPr>
      </w:r>
    </w:p>
    <w:tbl>
      <w:tblPr>
        <w:tblW w:w="8550" w:type="dxa"/>
        <w:jc w:val="left"/>
        <w:tblInd w:w="0" w:type="dxa"/>
        <w:tblLayout w:type="fixed"/>
        <w:tblCellMar>
          <w:top w:w="0" w:type="dxa"/>
          <w:left w:w="0" w:type="dxa"/>
          <w:bottom w:w="0" w:type="dxa"/>
          <w:right w:w="0" w:type="dxa"/>
        </w:tblCellMar>
      </w:tblPr>
      <w:tblGrid>
        <w:gridCol w:w="3575"/>
        <w:gridCol w:w="2210"/>
        <w:gridCol w:w="2765"/>
      </w:tblGrid>
      <w:tr>
        <w:trPr/>
        <w:tc>
          <w:tcPr>
            <w:tcW w:w="35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Texas</w:t>
            </w:r>
          </w:p>
        </w:tc>
        <w:tc>
          <w:tcPr>
            <w:tcW w:w="22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001-38895</w:t>
            </w:r>
          </w:p>
        </w:tc>
        <w:tc>
          <w:tcPr>
            <w:tcW w:w="27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75-2453320</w:t>
            </w:r>
          </w:p>
        </w:tc>
      </w:tr>
      <w:tr>
        <w:trPr/>
        <w:tc>
          <w:tcPr>
            <w:tcW w:w="357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7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sz w:val="20"/>
        </w:rPr>
      </w:pPr>
      <w:r>
        <w:rPr>
          <w:sz w:val="20"/>
        </w:rPr>
      </w:r>
    </w:p>
    <w:tbl>
      <w:tblPr>
        <w:tblW w:w="4165" w:type="dxa"/>
        <w:jc w:val="left"/>
        <w:tblInd w:w="0" w:type="dxa"/>
        <w:tblLayout w:type="fixed"/>
        <w:tblCellMar>
          <w:top w:w="0" w:type="dxa"/>
          <w:left w:w="0" w:type="dxa"/>
          <w:bottom w:w="0" w:type="dxa"/>
          <w:right w:w="0" w:type="dxa"/>
        </w:tblCellMar>
      </w:tblPr>
      <w:tblGrid>
        <w:gridCol w:w="3200"/>
        <w:gridCol w:w="60"/>
        <w:gridCol w:w="905"/>
      </w:tblGrid>
      <w:tr>
        <w:trPr/>
        <w:tc>
          <w:tcPr>
            <w:tcW w:w="32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5219 City Bank Parkway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Lubbock, Texas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79407</w:t>
            </w:r>
          </w:p>
        </w:tc>
      </w:tr>
      <w:tr>
        <w:trPr/>
        <w:tc>
          <w:tcPr>
            <w:tcW w:w="32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(806) 792-7101</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sz w:val="20"/>
        </w:rPr>
      </w:pPr>
      <w:r>
        <w:rPr>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sz w:val="20"/>
        </w:rPr>
      </w:pPr>
      <w:r>
        <w:rPr>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sz w:val="20"/>
        </w:rPr>
      </w:pPr>
      <w:r>
        <w:rPr>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sz w:val="20"/>
        </w:rPr>
      </w:pPr>
      <w:r>
        <w:rPr>
          <w:sz w:val="20"/>
        </w:rPr>
      </w:r>
    </w:p>
    <w:tbl>
      <w:tblPr>
        <w:tblW w:w="8505" w:type="dxa"/>
        <w:jc w:val="left"/>
        <w:tblInd w:w="-15" w:type="dxa"/>
        <w:tblLayout w:type="fixed"/>
        <w:tblCellMar>
          <w:top w:w="28" w:type="dxa"/>
          <w:left w:w="28" w:type="dxa"/>
          <w:bottom w:w="28" w:type="dxa"/>
          <w:right w:w="28" w:type="dxa"/>
        </w:tblCellMar>
      </w:tblPr>
      <w:tblGrid>
        <w:gridCol w:w="3395"/>
        <w:gridCol w:w="1535"/>
        <w:gridCol w:w="3575"/>
      </w:tblGrid>
      <w:tr>
        <w:trPr/>
        <w:tc>
          <w:tcPr>
            <w:tcW w:w="339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35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3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par value $1.00 per share</w:t>
            </w:r>
          </w:p>
        </w:tc>
        <w:tc>
          <w:tcPr>
            <w:tcW w:w="153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SPFI</w:t>
            </w:r>
          </w:p>
        </w:tc>
        <w:tc>
          <w:tcPr>
            <w:tcW w:w="35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sz w:val="20"/>
        </w:rPr>
      </w:pPr>
      <w:r>
        <w:rPr>
          <w:sz w:val="20"/>
        </w:rPr>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sz w:val="20"/>
        </w:rPr>
      </w:pPr>
      <w:r>
        <w:rPr>
          <w:sz w:val="20"/>
        </w:rPr>
      </w:r>
    </w:p>
    <w:p>
      <w:pPr>
        <w:pStyle w:val="HorizontalLine"/>
        <w:bidi w:val="0"/>
        <w:jc w:val="left"/>
        <w:rPr/>
      </w:pPr>
      <w:r>
        <w:rPr/>
      </w:r>
    </w:p>
    <w:p>
      <w:pPr>
        <w:pStyle w:val="HorizontalLine"/>
        <w:bidi w:val="0"/>
        <w:spacing w:before="200" w:after="200"/>
        <w:jc w:val="left"/>
        <w:rPr/>
      </w:pPr>
      <w:r>
        <w:rPr/>
      </w:r>
    </w:p>
    <w:tbl>
      <w:tblPr>
        <w:tblW w:w="4810" w:type="dxa"/>
        <w:jc w:val="left"/>
        <w:tblInd w:w="0" w:type="dxa"/>
        <w:tblLayout w:type="fixed"/>
        <w:tblCellMar>
          <w:top w:w="0" w:type="dxa"/>
          <w:left w:w="0" w:type="dxa"/>
          <w:bottom w:w="0" w:type="dxa"/>
          <w:right w:w="0" w:type="dxa"/>
        </w:tblCellMar>
      </w:tblPr>
      <w:tblGrid>
        <w:gridCol w:w="830"/>
        <w:gridCol w:w="398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2.02</w:t>
            </w:r>
          </w:p>
        </w:tc>
        <w:tc>
          <w:tcPr>
            <w:tcW w:w="398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October 23, 2025, South Plains Financial, Inc. (the “Company”) issued a press release announcing its financial results for the third quarter ended September 30, 2025.  A copy of the Company’s press release covering such announcement and certain other matters is furnished as Exhibit 99.1 to this Current Report on Form 8-K.</w:t>
      </w:r>
    </w:p>
    <w:p>
      <w:pPr>
        <w:pStyle w:val="TextBody"/>
        <w:bidi w:val="0"/>
        <w:spacing w:before="0" w:after="0"/>
        <w:ind w:left="0" w:right="0" w:firstLine="720"/>
        <w:jc w:val="left"/>
        <w:rPr>
          <w:sz w:val="20"/>
        </w:rPr>
      </w:pPr>
      <w:r>
        <w:rPr>
          <w:sz w:val="20"/>
        </w:rPr>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7.01</w:t>
            </w:r>
          </w:p>
        </w:tc>
        <w:tc>
          <w:tcPr>
            <w:tcW w:w="22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Regulation FD Disclosure.</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October 23, 2025, officers of the Company will conduct a conference call at 5:00 p.m., Eastern Time, with respect to the Company’s financial results for the third quarter ended September 30, 2025. An earnings release slide presentation highlighting the Company’s financial results for the third quarter ended September 30, 2025 is furnished as Exhibit 99.2 to this Current Report on Form 8-K. This earnings release slide presentation will also be available on the Company’s website, www.spfi.bank, under the “News &amp; Events” section.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accordance with General Instruction B.2 of Form 8-K, the information in Items 2.02 and 7.01 of this Current Report on Form 8-K, including Exhibit 99.1 and Exhibit 99.2 furnished herewith, shall not be deemed “filed” for the purposes of Section 18 of the Securities Exchange Act of 1934, as amended (the “Exchange Act”), or otherwise subject to the liabilities of that section.  The information in Items 2.02 and 7.01 of this Current Report on Form 8-K, including Exhibit 99.1 and Exhibit 99.2 furnished herewith, shall not be incorporated by reference into any filing or other document pursuant to the Exchange Act or the Securities Act of 1933, as amended, except as shall be expressly set forth by specific reference in such filing or document.</w:t>
      </w:r>
    </w:p>
    <w:p>
      <w:pPr>
        <w:pStyle w:val="TextBody"/>
        <w:bidi w:val="0"/>
        <w:spacing w:before="0" w:after="0"/>
        <w:jc w:val="left"/>
        <w:rPr>
          <w:sz w:val="20"/>
        </w:rPr>
      </w:pPr>
      <w:r>
        <w:rPr>
          <w:sz w:val="20"/>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pPr>
      <w:r>
        <w:rPr/>
      </w:r>
    </w:p>
    <w:tbl>
      <w:tblPr>
        <w:tblW w:w="9813" w:type="dxa"/>
        <w:jc w:val="left"/>
        <w:tblInd w:w="0" w:type="dxa"/>
        <w:tblLayout w:type="fixed"/>
        <w:tblCellMar>
          <w:top w:w="0" w:type="dxa"/>
          <w:left w:w="0" w:type="dxa"/>
          <w:bottom w:w="0" w:type="dxa"/>
          <w:right w:w="0" w:type="dxa"/>
        </w:tblCellMar>
      </w:tblPr>
      <w:tblGrid>
        <w:gridCol w:w="23"/>
        <w:gridCol w:w="380"/>
        <w:gridCol w:w="9410"/>
      </w:tblGrid>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w:t>
            </w:r>
          </w:p>
        </w:tc>
        <w:tc>
          <w:tcPr>
            <w:tcW w:w="9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Exhibits.</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pPr>
            <w:r>
              <w:rPr/>
            </w:r>
          </w:p>
        </w:tc>
        <w:tc>
          <w:tcPr>
            <w:tcW w:w="9410"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0"/>
              <w:jc w:val="left"/>
              <w:rPr/>
            </w:pPr>
            <w:hyperlink w:anchor="ef20057565_ex99-1.htm">
              <w:r>
                <w:rPr>
                  <w:rStyle w:val="InternetLink"/>
                  <w:rFonts w:ascii="Times New Roman" w:hAnsi="Times New Roman"/>
                  <w:color w:val="000000"/>
                  <w:sz w:val="20"/>
                </w:rPr>
                <w:t>99.1</w:t>
              </w:r>
            </w:hyperlink>
          </w:p>
        </w:tc>
        <w:tc>
          <w:tcPr>
            <w:tcW w:w="94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Press release, dated October 23, 2025, announcing third quarter 2025 financial results of South Plains Financial, Inc.</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pPr>
            <w:r>
              <w:rPr/>
            </w:r>
          </w:p>
        </w:tc>
        <w:tc>
          <w:tcPr>
            <w:tcW w:w="9410"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0"/>
              <w:jc w:val="left"/>
              <w:rPr/>
            </w:pPr>
            <w:hyperlink w:anchor="ef20057565_ex99-2.htm">
              <w:r>
                <w:rPr>
                  <w:rStyle w:val="InternetLink"/>
                  <w:rFonts w:ascii="Times New Roman" w:hAnsi="Times New Roman"/>
                  <w:color w:val="000000"/>
                  <w:sz w:val="20"/>
                </w:rPr>
                <w:t>99.2</w:t>
              </w:r>
            </w:hyperlink>
          </w:p>
        </w:tc>
        <w:tc>
          <w:tcPr>
            <w:tcW w:w="94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Earnings release slide presentation, dated October 23, 2025.</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pPr>
            <w:r>
              <w:rPr/>
            </w:r>
          </w:p>
        </w:tc>
        <w:tc>
          <w:tcPr>
            <w:tcW w:w="9410"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94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5004" w:type="dxa"/>
        <w:jc w:val="left"/>
        <w:tblInd w:w="0" w:type="dxa"/>
        <w:tblLayout w:type="fixed"/>
        <w:tblCellMar>
          <w:top w:w="0" w:type="dxa"/>
          <w:left w:w="0" w:type="dxa"/>
          <w:bottom w:w="0" w:type="dxa"/>
          <w:right w:w="0" w:type="dxa"/>
        </w:tblCellMar>
      </w:tblPr>
      <w:tblGrid>
        <w:gridCol w:w="1955"/>
        <w:gridCol w:w="462"/>
        <w:gridCol w:w="2587"/>
      </w:tblGrid>
      <w:tr>
        <w:trPr/>
        <w:tc>
          <w:tcPr>
            <w:tcW w:w="1955"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tc>
      </w:tr>
      <w:tr>
        <w:trPr/>
        <w:tc>
          <w:tcPr>
            <w:tcW w:w="1955"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October 23, 2025</w:t>
            </w:r>
          </w:p>
        </w:tc>
        <w:tc>
          <w:tcPr>
            <w:tcW w:w="462"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2587"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Steven B. Crockett</w:t>
            </w:r>
          </w:p>
        </w:tc>
      </w:tr>
    </w:tbl>
    <w:tbl>
      <w:tblPr>
        <w:tblW w:w="3140" w:type="dxa"/>
        <w:jc w:val="left"/>
        <w:tblInd w:w="0" w:type="dxa"/>
        <w:tblLayout w:type="fixed"/>
        <w:tblCellMar>
          <w:top w:w="0" w:type="dxa"/>
          <w:left w:w="0" w:type="dxa"/>
          <w:bottom w:w="0" w:type="dxa"/>
          <w:right w:w="0" w:type="dxa"/>
        </w:tblCellMar>
      </w:tblPr>
      <w:tblGrid>
        <w:gridCol w:w="60"/>
        <w:gridCol w:w="60"/>
        <w:gridCol w:w="302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Steven B. Crockett</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Financial Officer and Treasurer</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jc w:val="left"/>
        <w:rPr/>
      </w:pPr>
      <w:r>
        <w:rPr/>
      </w:r>
      <w:bookmarkStart w:id="0" w:name="ef20057565_ex99-1.htm"/>
      <w:bookmarkStart w:id="1" w:name="ksef20057565_ex991"/>
      <w:bookmarkStart w:id="2" w:name="ef20057565_ex99-1.htm"/>
      <w:bookmarkStart w:id="3" w:name="ksef20057565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 w:name="z8d288f234b9942b8afeb5d189b5dec58"/>
      <w:bookmarkStart w:id="5" w:name="z8d288f234b9942b8afeb5d189b5dec58"/>
      <w:bookmarkEnd w:id="5"/>
    </w:p>
    <w:tbl>
      <w:tblPr>
        <w:tblW w:w="5910" w:type="dxa"/>
        <w:jc w:val="left"/>
        <w:tblInd w:w="0" w:type="dxa"/>
        <w:tblLayout w:type="fixed"/>
        <w:tblCellMar>
          <w:top w:w="0" w:type="dxa"/>
          <w:left w:w="0" w:type="dxa"/>
          <w:bottom w:w="0" w:type="dxa"/>
          <w:right w:w="0" w:type="dxa"/>
        </w:tblCellMar>
      </w:tblPr>
      <w:tblGrid>
        <w:gridCol w:w="5910"/>
      </w:tblGrid>
      <w:tr>
        <w:trPr/>
        <w:tc>
          <w:tcPr>
            <w:tcW w:w="5910" w:type="dxa"/>
            <w:tcBorders/>
            <w:vAlign w:val="center"/>
          </w:tcPr>
          <w:p>
            <w:pPr>
              <w:pStyle w:val="TableContents"/>
              <w:bidi w:val="0"/>
              <w:spacing w:before="0" w:after="283"/>
              <w:jc w:val="left"/>
              <w:rPr/>
            </w:pPr>
            <w:r>
              <w:rPr/>
              <w:drawing>
                <wp:inline distT="0" distB="0" distL="0" distR="0">
                  <wp:extent cx="375285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52850" cy="590550"/>
                          </a:xfrm>
                          <a:prstGeom prst="rect">
                            <a:avLst/>
                          </a:prstGeom>
                        </pic:spPr>
                      </pic:pic>
                    </a:graphicData>
                  </a:graphic>
                </wp:inline>
              </w:drawing>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 Reports Third Quarter 2025 Financial Results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LUBBOCK, Texas, October 23, 2025 (GLOBE NEWSWIRE) – South Plains Financial, Inc. (NASDAQ:SPFI) (“South Plains” or the “Company”), the parent company of City Bank (“City Bank” or the “Bank”), today reported its financial results for the quarter ended September 30, 2025.</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Third Quarter 2025 Highlights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 w:name="z49f5c676f2f34aeb8efae73f44d52fec"/>
      <w:bookmarkStart w:id="7" w:name="z49f5c676f2f34aeb8efae73f44d52fec"/>
      <w:bookmarkEnd w:id="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Net income for the third quarter of 2025 was $16.3 million, compared to $14.6 million for the second quarter of 2025 and $11.2 million for the third quarter of 2024.</w:t>
            </w:r>
          </w:p>
        </w:tc>
      </w:tr>
    </w:tbl>
    <w:p>
      <w:pPr>
        <w:pStyle w:val="Normal"/>
        <w:bidi w:val="0"/>
        <w:spacing w:before="0" w:after="0"/>
        <w:jc w:val="left"/>
        <w:rPr>
          <w:sz w:val="4"/>
          <w:szCs w:val="4"/>
        </w:rPr>
      </w:pPr>
      <w:r>
        <w:rPr>
          <w:sz w:val="4"/>
          <w:szCs w:val="4"/>
        </w:rPr>
      </w:r>
      <w:bookmarkStart w:id="8" w:name="z5b9341b18ca7485a9233c6a1da04d88a"/>
      <w:bookmarkStart w:id="9" w:name="z5b9341b18ca7485a9233c6a1da04d88a"/>
      <w:bookmarkEnd w:id="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Diluted earnings per share for the third quarter of 2025 was $0.96, compared to $0.86 for the second quarter of 2025 and $0.66 for the third quarter of 2024.</w:t>
            </w:r>
          </w:p>
        </w:tc>
      </w:tr>
    </w:tbl>
    <w:p>
      <w:pPr>
        <w:pStyle w:val="Normal"/>
        <w:bidi w:val="0"/>
        <w:spacing w:before="0" w:after="0"/>
        <w:jc w:val="left"/>
        <w:rPr>
          <w:sz w:val="4"/>
          <w:szCs w:val="4"/>
        </w:rPr>
      </w:pPr>
      <w:r>
        <w:rPr>
          <w:sz w:val="4"/>
          <w:szCs w:val="4"/>
        </w:rPr>
      </w:r>
      <w:bookmarkStart w:id="10" w:name="z75d0bdafaea1424ab5fba9001081a335"/>
      <w:bookmarkStart w:id="11" w:name="z75d0bdafaea1424ab5fba9001081a335"/>
      <w:bookmarkEnd w:id="11"/>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Average cost of deposits for the third quarter of 2025 was 210 basis points, compared to 214 basis points for the second quarter of 2025 and 247 basis points for the third quarter of 2024.</w:t>
            </w:r>
          </w:p>
        </w:tc>
      </w:tr>
    </w:tbl>
    <w:p>
      <w:pPr>
        <w:pStyle w:val="Normal"/>
        <w:bidi w:val="0"/>
        <w:spacing w:before="0" w:after="0"/>
        <w:jc w:val="left"/>
        <w:rPr>
          <w:sz w:val="4"/>
          <w:szCs w:val="4"/>
        </w:rPr>
      </w:pPr>
      <w:r>
        <w:rPr>
          <w:sz w:val="4"/>
          <w:szCs w:val="4"/>
        </w:rPr>
      </w:r>
      <w:bookmarkStart w:id="12" w:name="z1b84deb706d645399f856df2736f68dd"/>
      <w:bookmarkStart w:id="13" w:name="z1b84deb706d645399f856df2736f68dd"/>
      <w:bookmarkEnd w:id="13"/>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Net interest margin, on a tax-equivalent basis, was 4.05% for the third quarter of 2025, compared to 4.07% for the second quarter of 2025 and 3.65% for the third quarter of 2024.</w:t>
            </w:r>
          </w:p>
        </w:tc>
      </w:tr>
    </w:tbl>
    <w:p>
      <w:pPr>
        <w:pStyle w:val="Normal"/>
        <w:bidi w:val="0"/>
        <w:spacing w:before="0" w:after="0"/>
        <w:jc w:val="left"/>
        <w:rPr>
          <w:sz w:val="4"/>
          <w:szCs w:val="4"/>
        </w:rPr>
      </w:pPr>
      <w:r>
        <w:rPr>
          <w:sz w:val="4"/>
          <w:szCs w:val="4"/>
        </w:rPr>
      </w:r>
      <w:bookmarkStart w:id="14" w:name="zfc01f91d12d548d396408ab19b998ef7"/>
      <w:bookmarkStart w:id="15" w:name="zfc01f91d12d548d396408ab19b998ef7"/>
      <w:bookmarkEnd w:id="15"/>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Return on average assets for the third quarter of 2025 was 1.47%, compared to 1.34% for the second quarter of 2025 and 1.05% for the third quarter of 2024.</w:t>
            </w:r>
          </w:p>
        </w:tc>
      </w:tr>
    </w:tbl>
    <w:p>
      <w:pPr>
        <w:pStyle w:val="Normal"/>
        <w:bidi w:val="0"/>
        <w:spacing w:before="0" w:after="0"/>
        <w:jc w:val="left"/>
        <w:rPr>
          <w:sz w:val="4"/>
          <w:szCs w:val="4"/>
        </w:rPr>
      </w:pPr>
      <w:r>
        <w:rPr>
          <w:sz w:val="4"/>
          <w:szCs w:val="4"/>
        </w:rPr>
      </w:r>
      <w:bookmarkStart w:id="16" w:name="zbdeda96b23e04d26bf66fc747d2a1de3"/>
      <w:bookmarkStart w:id="17" w:name="zbdeda96b23e04d26bf66fc747d2a1de3"/>
      <w:bookmarkEnd w:id="1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Tangible book value (non-GAAP) per share was $28.14 as of September 30, 2025, compared to $26.70 as of June 30, 2025 and $25.75 as of September 30, 2024.</w:t>
            </w:r>
          </w:p>
        </w:tc>
      </w:tr>
    </w:tbl>
    <w:p>
      <w:pPr>
        <w:pStyle w:val="Normal"/>
        <w:bidi w:val="0"/>
        <w:spacing w:before="0" w:after="0"/>
        <w:jc w:val="left"/>
        <w:rPr>
          <w:sz w:val="4"/>
          <w:szCs w:val="4"/>
        </w:rPr>
      </w:pPr>
      <w:r>
        <w:rPr>
          <w:sz w:val="4"/>
          <w:szCs w:val="4"/>
        </w:rPr>
      </w:r>
      <w:bookmarkStart w:id="18" w:name="zfc3453d23a3640d3bf286833f7eaf021"/>
      <w:bookmarkStart w:id="19" w:name="zfc3453d23a3640d3bf286833f7eaf021"/>
      <w:bookmarkEnd w:id="1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20"/>
              </w:rPr>
            </w:pPr>
            <w:r>
              <w:rPr>
                <w:sz w:val="20"/>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The consolidated total risk-based capital ratio, common equity tier 1 risk-based capital ratio, and tier 1 leverage ratio at September 30, 2025 were 17.34%, 14.41%, and 12.37%, respectively.</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Curtis Griffith, South Plains’ Chairman and Chief Executive Officer, commented, “We delivered strong third quarter results highlighted by solid earnings growth as we continued to experience net interest income expansion supported by our low cost, community-based deposit franchise. The credit quality of our loan portfolio also continued to improve as did our return on average assets. Our results demonstrate the strong foundation that we have purposefully built. We have added exceptional talent across the Bank while also making the necessary investments in our technology platform that positions South Plains to efficiently scale our operations as we grow. I believe the Bank is firmly positioned to accelerate our asset growth through both organic expansion and accretive M&amp;A opportunities. While we have been experiencing higher than normal paydowns which has proved a headwind to loan growth, we expect an acceleration in growth next year aided by the expansion of our lending platform where we expect to further increase our lending team by up to 20%. We continue to engage in discussions with potential target banks in our core markets although we are only interested in acquiring a bank that fits our conservative nature and overall culture, and meets our strict criteria for a deal. As a result, we will only do a deal that makes sense for the Bank and our shareholders.”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Results of Operations, Quarter Ended September 30, 2025</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Net Interest Income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Net interest income was $43.0 million for the third quarter of 2025, compared to $42.5 million for the second quarter of 2025 and $37.3 million for the third quarter of 2024. Net interest margin, calculated on a tax-equivalent basis, was 4.05% for the third quarter of 2025, compared to 4.07% for the second quarter of 2025 and 3.65% for the third quarter of 2024. The average yield on loans was 6.92% for the third quarter of 2025, compared to 6.99% for the second quarter of 2025 and 6.68% for the third quarter of 2024. The average cost of deposits was 210 basis points for the third quarter of 2025, which is 4 basis points lower than the second quarter of 2025 and 37 basis points lower than the third quarter of 2024. Loan interest income for the third quarter of 2025 included $640 thousand in interest and fees recognized related to the resolution of credit workouts. This amount positively impacted the net interest margin by 6 basis points and the loan yield by 8 basis points during the third quarter of 2025. There was a recovery of $1.7 million in interest during the second quarter of 2025, related to the full repayment of a loan that had previously been on nonaccrual. This recovery positively impacted the net interest margin by 17 basis points and the loan yield by 23 basis points during the second quarter of 2025.</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Interest income was $64.5 million for the third quarter of 2025, compared to $64.1 million for the second quarter of 2025 and $61.6 million for the third quarter of 2024. Interest income increased $385 thousand in the third quarter of 2025 from the second quarter of 2025, which was primarily comprised of an increase of $343 thousand in interest income on other earning assets. The increase in interest income on other earning assets was mainly due to an increase of $32.8 million in average other interest-earning assets during the third quarter of 2025. Interest income increased $2.9 million in the third quarter of 2025 compared to the third quarter of 2024. This increase was primarily due to the $640 thousand of loan interest and fees and an increase of average loans of $23.6 million and higher loan interest rates during the period, resulting in growth of $2.4 million in loan interest income.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Interest expense was $21.5 million for the third quarter of 2025, compared to $21.6 million for the second quarter of 2025 and $24.3 million for the third quarter of 2024. Interest expense decreased $131 thousand compared to the second quarter of 2025 and decreased $2.8 million compared to the third quarter of 2024. The $2.8 million decrease was primarily a result of a 49 basis point decline in the cost of interest-bearing deposits, partially offset by an increase of $71.5 million in average interest-bearing deposits in the third quarter of 2025 as compared to the third quarter of 2024.</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Noninterest Income and Noninterest Expense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Noninterest income was $11.2 million for the third quarter of 2025, compared to $12.2 million for the second quarter of 2025 and $10.6 million for the third quarter of 2024. The decrease from the second quarter of 2025 was primarily due to a decrease of $1.0 million in mortgage banking revenues, mainly as a result of the change in the fair value adjustment of the mortgage servicing rights assets – a write-down of $925 thousand in the third quarter of 2025 compared to a write-down of $156 thousand in the second quarter of 2025 – as interest rates that affect the value declined in the third quarter of 2025. The increase in noninterest income for the third quarter of 2025 as compared to the third quarter of 2024 was primarily due to an increase of $685 thousand in mortgage banking revenues, mainly as a result of the change in the fair value adjustment of the mortgage servicing rights assets – a write-down of $925 thousand in the third quarter of 2025 compared to a write-down of $2.1 million in the third quarter of 2024 – as interest rates that affect the value declined in the third quarter of 2025.</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Noninterest expense was $33.0 million for the third quarter of 2025, compared to $33.5 million for the second quarter of 2025 and $33.1 million for the third quarter of 2024. The $519 thousand decrease from the second quarter of 2025 was largely the result of a decrease of $581 thousand in professional service expenses related primarily to consulting on technology projects and initiatives. The $104 thousand decrease in noninterest expense for the third quarter of 2025 as compared to the third quarter of 2024 was largely the result of a decrease in professional service expenses of $514 thousand and a decrease of $258 thousand in other noninterest expenses, partially offset by an increase of $616 thousand in personnel expenses, mainly a result of annual salary adjustments. The $514 thousand decrease in professional service expense was mainly due to higher legal expense as well as consulting related to technology projects in the third quarter of 2024.</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Loan Portfolio and Composition</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Loans held for investment were $3.05 billion as of September 30, 2025, compared to $3.10 billion as of June 30, 2025 and $3.04 billion as of September 30, 2024. The decrease of $45.5 million, or 1.5%, during the third quarter of 2025 as compared to the second quarter of 2025 occurred primarily as a result of a decrease of $46.5 million in multi-family property loans mainly due to the payoff of two loans totaling $39.6 million, partially offset by organic loan growth. As of September 30, 2025, loans held for investment were essentially unchanged as compared to September 30, 2024.</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Deposits and Borrowings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Deposits totaled $3.88 billion as of September 30, 2025, compared to $3.74 billion as of June 30, 2025 and $3.72 billion as of September 30, 2024. Deposits increased by $142.2 million, or 3.8%, in the third quarter of 2025 from June 30, 2025. Deposits increased by $161.8 million, or 4.3%, at September 30, 2025 as compared to September 30, 2024. Noninterest-bearing deposits were $1.05 billion as of September 30, 2025, compared to $998.8 million as of June 30, 2025 and $998.5 million as of September 30, 2024. Noninterest-bearing deposits represented 27.0% of total deposits as of September 30, 2025. The quarterly and year-over-year changes in total deposits were due to organic growth in both retail and commercial deposits.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September 30, 2025, the Company redeemed $50 million in subordinated debt. The subordinated debt was at the end of the initial five-year fixed rate period. After the expiration of the fixed rate period, the subordinated debt would have reset quarterly at a higher variable interest rate as well as being subject to a reduction in regulatory capital treatment.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Asset Quality</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recorded a provision for credit losses in the third quarter of 2025 of $500 thousand, compared to $2.5 million in the second quarter of 2025 and $495 thousand in the third quarter of 2024. The decrease in provision for the third quarter of 2025 as compared to the second quarter of 2025 was largely attributable to a decrease in specific reserves, decreased loan balances, and overall improved credit quality.</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ratio of allowance for credit losses to loans held for investment was 1.45% as of September 30, 2025, compared to 1.45% as of June 30, 2025 and 1.41% as of September 30, 2024.</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The ratio of nonperforming assets to total assets was 0.26% as of September 30, 2025, compared to 0.25% as of June 30, 2025 and 0.59% as of September 30, 2024. Annualized net charge-offs were 0.16% for the third quarter of 2025, compared to 0.06% for the second quarter of 2025 and 0.11% for the third quarter of 2024.</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br/>
        <w:t>Capital</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Book value per share increased to $29.41 at September 30, 2025, compared to $27.98 at June 30, 2025. The change was primarily driven by $13.7 million of net income after dividends paid and by an increase in accumulated other comprehensive income of $9.1 million. The ratio of tangible common equity to tangible assets (non-GAAP) increased 27 basis points to 10.25% at September 30, 2025.</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Conference Call</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South Plains will host a conference call to discuss its third quarter 2025 financial results today, October 23, 2025, at 5:00 p.m., Eastern Time. Investors and analysts interested in participating in the call are invited to dial 1-877-407-9716 (international callers please dial 1-201-493-6779) approximately 10 minutes prior to the start of the call. A live audio webcast of the conference call and conference materials will be available on the Company’s website at </w:t>
      </w:r>
      <w:r>
        <w:rPr>
          <w:rFonts w:ascii="Times New Roman" w:hAnsi="Times New Roman"/>
          <w:color w:val="000000"/>
          <w:sz w:val="20"/>
          <w:u w:val="single"/>
        </w:rPr>
        <w:t>https://www.spfi.bank/news-events/events</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replay of the conference call will be available within two hours of the conclusion of the call and can be accessed on the investor section of the Company’s website as well as by dialing 1-844-512-2921 (international callers please dial 1-412-317-6671). The pin to access the telephone replay is 13756126. The replay will be available until November 6, 2025.</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South Plains Financial, Inc.</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visit </w:t>
      </w:r>
      <w:r>
        <w:rPr>
          <w:rFonts w:ascii="Times New Roman" w:hAnsi="Times New Roman"/>
          <w:color w:val="000000"/>
          <w:sz w:val="20"/>
          <w:u w:val="single"/>
        </w:rPr>
        <w:t>https://www.spfi.bank</w:t>
      </w:r>
      <w:r>
        <w:rPr>
          <w:rFonts w:ascii="Times New Roman" w:hAnsi="Times New Roman"/>
          <w:color w:val="000000"/>
          <w:sz w:val="20"/>
        </w:rPr>
        <w:t xml:space="preserve"> for more information.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Some of the financial measures included in this press release are not measures of financial performance recognized in accordance with generally accepted accounting principles in the United States (“GAAP”). These non-GAAP financial measures include Tangible Book Value Per Share, Tangible Common Equity to Tangible Assets, and Pre-Tax, Pre-Provision Income. The Company believes these non-GAAP financial measures provide both management and investors a more complete understanding of the Company’s financial position and performance. These non-GAAP financial measures are supplemental and are not a substitute for any analysis based on GAAP financial measures.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United States in our statements of income, balance sheets or statements of cash flows. Not all companies use the same calculation of these measures; therefore, this presentation may not be comparable to other similarly titled measures as presented by other companies.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reconciliation of non-GAAP financial measures to GAAP financial measures is provided at the end of this press release.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Company routinely posts important information for investors on its web site (under </w:t>
      </w:r>
      <w:r>
        <w:rPr>
          <w:rFonts w:ascii="Times New Roman" w:hAnsi="Times New Roman"/>
          <w:color w:val="000000"/>
          <w:sz w:val="20"/>
          <w:u w:val="single"/>
        </w:rPr>
        <w:t>www.spfi.bank</w:t>
      </w:r>
      <w:r>
        <w:rPr>
          <w:rFonts w:ascii="Times New Roman" w:hAnsi="Times New Roman"/>
          <w:color w:val="000000"/>
          <w:sz w:val="20"/>
        </w:rPr>
        <w:t xml:space="preserve"> and, more specifically, under the News &amp; Events tab at </w:t>
      </w:r>
      <w:r>
        <w:rPr>
          <w:rFonts w:ascii="Times New Roman" w:hAnsi="Times New Roman"/>
          <w:color w:val="000000"/>
          <w:sz w:val="20"/>
          <w:u w:val="single"/>
        </w:rPr>
        <w:t>www.spfi.bank/news-events/press-releases</w:t>
      </w:r>
      <w:r>
        <w:rPr>
          <w:rFonts w:ascii="Times New Roman" w:hAnsi="Times New Roman"/>
          <w:color w:val="000000"/>
          <w:sz w:val="20"/>
        </w:rPr>
        <w:t>). The Company intends to use its web site as a means of disclosing material non-public information and for complying with its disclosure obligations under Regulation FD (Fair Disclosure) promulgated by the U.S. Securities and Exchange Commission (the “SEC”). Accordingly, investors should monitor the Company’s web site, in addition to following the Company’s press releases, SEC filings, public conference calls, presentations and webcasts.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contained on, or that may be accessed through, the Company’s web site is not incorporated by reference into, and is not a part of, this document.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 Looking Statements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press release contains forward-looking statements within the meaning of the Private Securities Litigation Reform Act of 1995. These forward-looking statements reflect South Plains’ current views with respect to future events and South Plains’ financial performance.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Factors that could cause such changes include, but are not limited to, the impact on us and our customers of a decline in general economic conditions and any regulatory responses thereto; slower economic growth rates or potential recession in the United States and our market areas; the impacts related to or resulting from uncertainty in the banking industry as a whole; increased competition for deposits in our market areas among traditional and nontraditional financial services companies, and related changes in deposit customer behavior; the impact of changes in market interest rates, whether due to a continuation of the elevated interest rate environment or further reductions in interest rates and a resulting decline in net interest income; the lingering inflationary pressures, and the risk of the resurgence of elevated levels of inflation, in the United States and our market areas; the uncertain impacts of ongoing quantitative tightening and current and future monetary policies of the Board of Governors of the Federal Reserve System; changes in unemployment rates in the United States and our market areas; adverse changes in customer spending, borrowing and savings habits; declines in commercial real estate values and prices; a deterioration of the credit rating for U.S. long-term sovereign debt or the impact of uncertain or changing political conditions, including federal government shutdowns and uncertainty regarding United States fiscal debt, deficit and budget matters; cyber incidents or other failures, disruptions or breaches of our operational or security systems or infrastructure, or those of our third-party vendors or other service providers, including as a result of cyber-attacks; severe weather, natural disasters, acts of war or terrorism, geopolitical instability or other external events, including as a result of the policies of the current U.S. presidential administration or Congress; the impacts of tariffs, sanctions and other trade policies of the United States and its global trading counterparts and the resulting impact on the Company and its customers; competition and market expansion opportunities; changes in non-interest expenditures or in the anticipated benefits of such expenditures; the risks related to the development, implementation, use and management of emerging technologies, including artificial intelligence and machine learnings; potential costs related to the impacts of climate change; current or future litigation, regulatory examinations or other legal and/or regulatory actions; and changes in applicable laws and regulations. Additional information regarding these risks and uncertainties to which South Plains’ business and future financial performance are subject is contained in South Plains’ most recent Annual Report on Form 10-K and Quarterly Reports on Form 10-Q on file with the SEC, including the sections entitled “Risk Factors” and “Management’s Discussion and Analysis of Financial Condition and Results of Operations” of such documents, and other documents South Plains files or furnishes with the SEC from time to time, which are available on the SEC’s website, www.sec.gov.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the Company can give no assurance that the results contemplated in the forward-looking statements will be realized and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applicable law. All forward-looking statements, express or implied, included in the press release are qualified in their entirety by this cautionary statement.</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0" w:name="zd8679c81f5854c2b8fdeb0a334551eeb"/>
      <w:bookmarkStart w:id="21" w:name="zd8679c81f5854c2b8fdeb0a334551eeb"/>
      <w:bookmarkEnd w:id="21"/>
    </w:p>
    <w:tbl>
      <w:tblPr>
        <w:tblW w:w="4825" w:type="dxa"/>
        <w:jc w:val="left"/>
        <w:tblInd w:w="0" w:type="dxa"/>
        <w:tblLayout w:type="fixed"/>
        <w:tblCellMar>
          <w:top w:w="0" w:type="dxa"/>
          <w:left w:w="0" w:type="dxa"/>
          <w:bottom w:w="0" w:type="dxa"/>
          <w:right w:w="0" w:type="dxa"/>
        </w:tblCellMar>
      </w:tblPr>
      <w:tblGrid>
        <w:gridCol w:w="725"/>
        <w:gridCol w:w="4100"/>
      </w:tblGrid>
      <w:tr>
        <w:trPr/>
        <w:tc>
          <w:tcPr>
            <w:tcW w:w="7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Contact:</w:t>
            </w:r>
          </w:p>
        </w:tc>
        <w:tc>
          <w:tcPr>
            <w:tcW w:w="41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Mikella Newsom, Chief Risk Officer and Secretary</w:t>
            </w:r>
          </w:p>
        </w:tc>
      </w:tr>
      <w:tr>
        <w:trPr/>
        <w:tc>
          <w:tcPr>
            <w:tcW w:w="72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(866) 771-3347</w:t>
            </w:r>
          </w:p>
        </w:tc>
      </w:tr>
      <w:tr>
        <w:trPr/>
        <w:tc>
          <w:tcPr>
            <w:tcW w:w="72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0"/>
              <w:jc w:val="left"/>
              <w:rPr>
                <w:rFonts w:ascii="Times New Roman" w:hAnsi="Times New Roman"/>
                <w:color w:val="000000"/>
                <w:sz w:val="20"/>
                <w:u w:val="single"/>
              </w:rPr>
            </w:pPr>
            <w:r>
              <w:rPr>
                <w:rFonts w:ascii="Times New Roman" w:hAnsi="Times New Roman"/>
                <w:color w:val="000000"/>
                <w:sz w:val="20"/>
                <w:u w:val="single"/>
              </w:rPr>
              <w:t>investors@city.bank</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Source: South Plains Financial, Inc.</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Consolidated Financial Highlights - (Unaudited)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(Dollars in thousands, except share data)</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2" w:name="z7df4c0c8111640689b7a949efe60bd45"/>
      <w:bookmarkStart w:id="23" w:name="z7df4c0c8111640689b7a949efe60bd45"/>
      <w:bookmarkEnd w:id="23"/>
    </w:p>
    <w:tbl>
      <w:tblPr>
        <w:tblW w:w="10205" w:type="dxa"/>
        <w:jc w:val="left"/>
        <w:tblInd w:w="0" w:type="dxa"/>
        <w:tblLayout w:type="fixed"/>
        <w:tblCellMar>
          <w:top w:w="0" w:type="dxa"/>
          <w:left w:w="0" w:type="dxa"/>
          <w:bottom w:w="0" w:type="dxa"/>
          <w:right w:w="0" w:type="dxa"/>
        </w:tblCellMar>
      </w:tblPr>
      <w:tblGrid>
        <w:gridCol w:w="3825"/>
        <w:gridCol w:w="60"/>
        <w:gridCol w:w="141"/>
        <w:gridCol w:w="1079"/>
        <w:gridCol w:w="60"/>
        <w:gridCol w:w="60"/>
        <w:gridCol w:w="125"/>
        <w:gridCol w:w="950"/>
        <w:gridCol w:w="60"/>
        <w:gridCol w:w="60"/>
        <w:gridCol w:w="125"/>
        <w:gridCol w:w="950"/>
        <w:gridCol w:w="60"/>
        <w:gridCol w:w="60"/>
        <w:gridCol w:w="136"/>
        <w:gridCol w:w="1039"/>
        <w:gridCol w:w="60"/>
        <w:gridCol w:w="60"/>
        <w:gridCol w:w="141"/>
        <w:gridCol w:w="1079"/>
        <w:gridCol w:w="75"/>
      </w:tblGrid>
      <w:tr>
        <w:trPr/>
        <w:tc>
          <w:tcPr>
            <w:tcW w:w="38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45" w:type="dxa"/>
            <w:gridSpan w:val="18"/>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As of and for the quarter ended</w:t>
            </w:r>
          </w:p>
        </w:tc>
        <w:tc>
          <w:tcPr>
            <w:tcW w:w="75" w:type="dxa"/>
            <w:tcBorders/>
            <w:vAlign w:val="bottom"/>
          </w:tcPr>
          <w:p>
            <w:pPr>
              <w:pStyle w:val="TableContents"/>
              <w:bidi w:val="0"/>
              <w:spacing w:before="0" w:after="283"/>
              <w:jc w:val="left"/>
              <w:rPr/>
            </w:pPr>
            <w:r>
              <w:rPr/>
              <w:t> </w:t>
            </w:r>
          </w:p>
        </w:tc>
      </w:tr>
      <w:tr>
        <w:trPr/>
        <w:tc>
          <w:tcPr>
            <w:tcW w:w="38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75" w:type="dxa"/>
            <w:tcBorders/>
            <w:vAlign w:val="bottom"/>
          </w:tcPr>
          <w:p>
            <w:pPr>
              <w:pStyle w:val="TableContents"/>
              <w:bidi w:val="0"/>
              <w:spacing w:before="0" w:after="283"/>
              <w:jc w:val="left"/>
              <w:rPr/>
            </w:pPr>
            <w:r>
              <w:rPr/>
              <w:t> </w:t>
            </w:r>
          </w:p>
        </w:tc>
      </w:tr>
      <w:tr>
        <w:trPr/>
        <w:tc>
          <w:tcPr>
            <w:tcW w:w="3825"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Selected Income Statement Data:</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8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Interest income</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64,520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64,135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59,922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61,324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61,640</w:t>
            </w:r>
          </w:p>
        </w:tc>
        <w:tc>
          <w:tcPr>
            <w:tcW w:w="75" w:type="dxa"/>
            <w:tcBorders/>
            <w:shd w:fill="CCEEFF" w:val="clear"/>
            <w:vAlign w:val="bottom"/>
          </w:tcPr>
          <w:p>
            <w:pPr>
              <w:pStyle w:val="TableContents"/>
              <w:bidi w:val="0"/>
              <w:spacing w:before="0" w:after="283"/>
              <w:jc w:val="left"/>
              <w:rPr/>
            </w:pPr>
            <w:r>
              <w:rPr/>
              <w:t> </w:t>
            </w:r>
          </w:p>
        </w:tc>
      </w:tr>
      <w:tr>
        <w:trPr/>
        <w:tc>
          <w:tcPr>
            <w:tcW w:w="382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Interest expense</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21,501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21,632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21,395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22,776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24,346</w:t>
            </w:r>
          </w:p>
        </w:tc>
        <w:tc>
          <w:tcPr>
            <w:tcW w:w="75" w:type="dxa"/>
            <w:tcBorders/>
            <w:vAlign w:val="bottom"/>
          </w:tcPr>
          <w:p>
            <w:pPr>
              <w:pStyle w:val="TableContents"/>
              <w:bidi w:val="0"/>
              <w:spacing w:before="0" w:after="283"/>
              <w:jc w:val="left"/>
              <w:rPr/>
            </w:pPr>
            <w:r>
              <w:rPr/>
              <w:t> </w:t>
            </w:r>
          </w:p>
        </w:tc>
      </w:tr>
      <w:tr>
        <w:trPr/>
        <w:tc>
          <w:tcPr>
            <w:tcW w:w="38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interest income</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43,019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42,503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38,527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38,548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37,294</w:t>
            </w:r>
          </w:p>
        </w:tc>
        <w:tc>
          <w:tcPr>
            <w:tcW w:w="75" w:type="dxa"/>
            <w:tcBorders/>
            <w:shd w:fill="CCEEFF" w:val="clear"/>
            <w:vAlign w:val="bottom"/>
          </w:tcPr>
          <w:p>
            <w:pPr>
              <w:pStyle w:val="TableContents"/>
              <w:bidi w:val="0"/>
              <w:spacing w:before="0" w:after="283"/>
              <w:jc w:val="left"/>
              <w:rPr/>
            </w:pPr>
            <w:r>
              <w:rPr/>
              <w:t> </w:t>
            </w:r>
          </w:p>
        </w:tc>
      </w:tr>
      <w:tr>
        <w:trPr/>
        <w:tc>
          <w:tcPr>
            <w:tcW w:w="382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Provision for credit losses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495</w:t>
            </w:r>
          </w:p>
        </w:tc>
        <w:tc>
          <w:tcPr>
            <w:tcW w:w="75" w:type="dxa"/>
            <w:tcBorders/>
            <w:vAlign w:val="bottom"/>
          </w:tcPr>
          <w:p>
            <w:pPr>
              <w:pStyle w:val="TableContents"/>
              <w:bidi w:val="0"/>
              <w:spacing w:before="0" w:after="283"/>
              <w:jc w:val="left"/>
              <w:rPr/>
            </w:pPr>
            <w:r>
              <w:rPr/>
              <w:t> </w:t>
            </w:r>
          </w:p>
        </w:tc>
      </w:tr>
      <w:tr>
        <w:trPr/>
        <w:tc>
          <w:tcPr>
            <w:tcW w:w="38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Noninterest income</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12,165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13,319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10,635</w:t>
            </w:r>
          </w:p>
        </w:tc>
        <w:tc>
          <w:tcPr>
            <w:tcW w:w="75" w:type="dxa"/>
            <w:tcBorders/>
            <w:shd w:fill="CCEEFF" w:val="clear"/>
            <w:vAlign w:val="bottom"/>
          </w:tcPr>
          <w:p>
            <w:pPr>
              <w:pStyle w:val="TableContents"/>
              <w:bidi w:val="0"/>
              <w:spacing w:before="0" w:after="283"/>
              <w:jc w:val="left"/>
              <w:rPr/>
            </w:pPr>
            <w:r>
              <w:rPr/>
              <w:t> </w:t>
            </w:r>
          </w:p>
        </w:tc>
      </w:tr>
      <w:tr>
        <w:trPr/>
        <w:tc>
          <w:tcPr>
            <w:tcW w:w="382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Noninterest expense</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33,543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29,948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33,128</w:t>
            </w:r>
          </w:p>
        </w:tc>
        <w:tc>
          <w:tcPr>
            <w:tcW w:w="75" w:type="dxa"/>
            <w:tcBorders/>
            <w:vAlign w:val="bottom"/>
          </w:tcPr>
          <w:p>
            <w:pPr>
              <w:pStyle w:val="TableContents"/>
              <w:bidi w:val="0"/>
              <w:spacing w:before="0" w:after="283"/>
              <w:jc w:val="left"/>
              <w:rPr/>
            </w:pPr>
            <w:r>
              <w:rPr/>
              <w:t> </w:t>
            </w:r>
          </w:p>
        </w:tc>
      </w:tr>
      <w:tr>
        <w:trPr/>
        <w:tc>
          <w:tcPr>
            <w:tcW w:w="38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Income tax expense</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3,094</w:t>
            </w:r>
          </w:p>
        </w:tc>
        <w:tc>
          <w:tcPr>
            <w:tcW w:w="75" w:type="dxa"/>
            <w:tcBorders/>
            <w:shd w:fill="CCEEFF" w:val="clear"/>
            <w:vAlign w:val="bottom"/>
          </w:tcPr>
          <w:p>
            <w:pPr>
              <w:pStyle w:val="TableContents"/>
              <w:bidi w:val="0"/>
              <w:spacing w:before="0" w:after="283"/>
              <w:jc w:val="left"/>
              <w:rPr/>
            </w:pPr>
            <w:r>
              <w:rPr/>
              <w:t> </w:t>
            </w:r>
          </w:p>
        </w:tc>
      </w:tr>
      <w:tr>
        <w:trPr/>
        <w:tc>
          <w:tcPr>
            <w:tcW w:w="382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income</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16,318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14,605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12,294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16,497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11,212</w:t>
            </w:r>
          </w:p>
        </w:tc>
        <w:tc>
          <w:tcPr>
            <w:tcW w:w="75" w:type="dxa"/>
            <w:tcBorders/>
            <w:vAlign w:val="bottom"/>
          </w:tcPr>
          <w:p>
            <w:pPr>
              <w:pStyle w:val="TableContents"/>
              <w:bidi w:val="0"/>
              <w:spacing w:before="0" w:after="283"/>
              <w:jc w:val="left"/>
              <w:rPr/>
            </w:pPr>
            <w:r>
              <w:rPr/>
              <w:t> </w:t>
            </w:r>
          </w:p>
        </w:tc>
      </w:tr>
      <w:tr>
        <w:trPr/>
        <w:tc>
          <w:tcPr>
            <w:tcW w:w="3825"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Per Share Data (Common Stock):</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382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earnings, basic</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0.68</w:t>
            </w:r>
          </w:p>
        </w:tc>
        <w:tc>
          <w:tcPr>
            <w:tcW w:w="75" w:type="dxa"/>
            <w:tcBorders/>
            <w:vAlign w:val="bottom"/>
          </w:tcPr>
          <w:p>
            <w:pPr>
              <w:pStyle w:val="TableContents"/>
              <w:bidi w:val="0"/>
              <w:spacing w:before="0" w:after="283"/>
              <w:jc w:val="left"/>
              <w:rPr/>
            </w:pPr>
            <w:r>
              <w:rPr/>
              <w:t> </w:t>
            </w:r>
          </w:p>
        </w:tc>
      </w:tr>
      <w:tr>
        <w:trPr/>
        <w:tc>
          <w:tcPr>
            <w:tcW w:w="38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earnings, diluted</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0.66</w:t>
            </w:r>
          </w:p>
        </w:tc>
        <w:tc>
          <w:tcPr>
            <w:tcW w:w="75" w:type="dxa"/>
            <w:tcBorders/>
            <w:shd w:fill="CCEEFF" w:val="clear"/>
            <w:vAlign w:val="bottom"/>
          </w:tcPr>
          <w:p>
            <w:pPr>
              <w:pStyle w:val="TableContents"/>
              <w:bidi w:val="0"/>
              <w:spacing w:before="0" w:after="283"/>
              <w:jc w:val="left"/>
              <w:rPr/>
            </w:pPr>
            <w:r>
              <w:rPr/>
              <w:t> </w:t>
            </w:r>
          </w:p>
        </w:tc>
      </w:tr>
      <w:tr>
        <w:trPr/>
        <w:tc>
          <w:tcPr>
            <w:tcW w:w="382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dividends declared and paid</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0.14</w:t>
            </w:r>
          </w:p>
        </w:tc>
        <w:tc>
          <w:tcPr>
            <w:tcW w:w="75" w:type="dxa"/>
            <w:tcBorders/>
            <w:vAlign w:val="bottom"/>
          </w:tcPr>
          <w:p>
            <w:pPr>
              <w:pStyle w:val="TableContents"/>
              <w:bidi w:val="0"/>
              <w:spacing w:before="0" w:after="283"/>
              <w:jc w:val="left"/>
              <w:rPr/>
            </w:pPr>
            <w:r>
              <w:rPr/>
              <w:t> </w:t>
            </w:r>
          </w:p>
        </w:tc>
      </w:tr>
      <w:tr>
        <w:trPr/>
        <w:tc>
          <w:tcPr>
            <w:tcW w:w="38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Book value</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27.04</w:t>
            </w:r>
          </w:p>
        </w:tc>
        <w:tc>
          <w:tcPr>
            <w:tcW w:w="75" w:type="dxa"/>
            <w:tcBorders/>
            <w:shd w:fill="CCEEFF" w:val="clear"/>
            <w:vAlign w:val="bottom"/>
          </w:tcPr>
          <w:p>
            <w:pPr>
              <w:pStyle w:val="TableContents"/>
              <w:bidi w:val="0"/>
              <w:spacing w:before="0" w:after="283"/>
              <w:jc w:val="left"/>
              <w:rPr/>
            </w:pPr>
            <w:r>
              <w:rPr/>
              <w:t> </w:t>
            </w:r>
          </w:p>
        </w:tc>
      </w:tr>
      <w:tr>
        <w:trPr/>
        <w:tc>
          <w:tcPr>
            <w:tcW w:w="382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Tangible book value (non-GAAP)</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25.75</w:t>
            </w:r>
          </w:p>
        </w:tc>
        <w:tc>
          <w:tcPr>
            <w:tcW w:w="75" w:type="dxa"/>
            <w:tcBorders/>
            <w:vAlign w:val="bottom"/>
          </w:tcPr>
          <w:p>
            <w:pPr>
              <w:pStyle w:val="TableContents"/>
              <w:bidi w:val="0"/>
              <w:spacing w:before="0" w:after="283"/>
              <w:jc w:val="left"/>
              <w:rPr/>
            </w:pPr>
            <w:r>
              <w:rPr/>
              <w:t> </w:t>
            </w:r>
          </w:p>
        </w:tc>
      </w:tr>
      <w:tr>
        <w:trPr/>
        <w:tc>
          <w:tcPr>
            <w:tcW w:w="38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Weighted average shares outstanding, basic</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16,241,695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16,231,627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16,415,862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16,400,361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16,386,079</w:t>
            </w:r>
          </w:p>
        </w:tc>
        <w:tc>
          <w:tcPr>
            <w:tcW w:w="75" w:type="dxa"/>
            <w:tcBorders/>
            <w:shd w:fill="CCEEFF" w:val="clear"/>
            <w:vAlign w:val="bottom"/>
          </w:tcPr>
          <w:p>
            <w:pPr>
              <w:pStyle w:val="TableContents"/>
              <w:bidi w:val="0"/>
              <w:spacing w:before="0" w:after="283"/>
              <w:jc w:val="left"/>
              <w:rPr/>
            </w:pPr>
            <w:r>
              <w:rPr/>
              <w:t> </w:t>
            </w:r>
          </w:p>
        </w:tc>
      </w:tr>
      <w:tr>
        <w:trPr/>
        <w:tc>
          <w:tcPr>
            <w:tcW w:w="382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Weighted average shares outstanding, dilutive</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16,990,546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16,886,993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17,065,599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17,161,646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17,056,959</w:t>
            </w:r>
          </w:p>
        </w:tc>
        <w:tc>
          <w:tcPr>
            <w:tcW w:w="75" w:type="dxa"/>
            <w:tcBorders/>
            <w:vAlign w:val="bottom"/>
          </w:tcPr>
          <w:p>
            <w:pPr>
              <w:pStyle w:val="TableContents"/>
              <w:bidi w:val="0"/>
              <w:spacing w:before="0" w:after="283"/>
              <w:jc w:val="left"/>
              <w:rPr/>
            </w:pPr>
            <w:r>
              <w:rPr/>
              <w:t> </w:t>
            </w:r>
          </w:p>
        </w:tc>
      </w:tr>
      <w:tr>
        <w:trPr/>
        <w:tc>
          <w:tcPr>
            <w:tcW w:w="38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Shares outstanding at end of period</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16,247,839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16,230,475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16,235,647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16,455,826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16,386,627</w:t>
            </w:r>
          </w:p>
        </w:tc>
        <w:tc>
          <w:tcPr>
            <w:tcW w:w="75" w:type="dxa"/>
            <w:tcBorders/>
            <w:shd w:fill="CCEEFF" w:val="clear"/>
            <w:vAlign w:val="bottom"/>
          </w:tcPr>
          <w:p>
            <w:pPr>
              <w:pStyle w:val="TableContents"/>
              <w:bidi w:val="0"/>
              <w:spacing w:before="0" w:after="283"/>
              <w:jc w:val="left"/>
              <w:rPr/>
            </w:pPr>
            <w:r>
              <w:rPr/>
              <w:t> </w:t>
            </w:r>
          </w:p>
        </w:tc>
      </w:tr>
      <w:tr>
        <w:trPr/>
        <w:tc>
          <w:tcPr>
            <w:tcW w:w="3825"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Selected Period End Balance Sheet Data:</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8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and cash equivalents</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635,046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470,496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536,300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359,082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471,167</w:t>
            </w:r>
          </w:p>
        </w:tc>
        <w:tc>
          <w:tcPr>
            <w:tcW w:w="75" w:type="dxa"/>
            <w:tcBorders/>
            <w:shd w:fill="CCEEFF" w:val="clear"/>
            <w:vAlign w:val="bottom"/>
          </w:tcPr>
          <w:p>
            <w:pPr>
              <w:pStyle w:val="TableContents"/>
              <w:bidi w:val="0"/>
              <w:spacing w:before="0" w:after="283"/>
              <w:jc w:val="left"/>
              <w:rPr/>
            </w:pPr>
            <w:r>
              <w:rPr/>
              <w:t> </w:t>
            </w:r>
          </w:p>
        </w:tc>
      </w:tr>
      <w:tr>
        <w:trPr/>
        <w:tc>
          <w:tcPr>
            <w:tcW w:w="382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Investment securities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571,138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571,527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577,240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606,889</w:t>
            </w:r>
          </w:p>
        </w:tc>
        <w:tc>
          <w:tcPr>
            <w:tcW w:w="75" w:type="dxa"/>
            <w:tcBorders/>
            <w:vAlign w:val="bottom"/>
          </w:tcPr>
          <w:p>
            <w:pPr>
              <w:pStyle w:val="TableContents"/>
              <w:bidi w:val="0"/>
              <w:spacing w:before="0" w:after="283"/>
              <w:jc w:val="left"/>
              <w:rPr/>
            </w:pPr>
            <w:r>
              <w:rPr/>
              <w:t> </w:t>
            </w:r>
          </w:p>
        </w:tc>
      </w:tr>
      <w:tr>
        <w:trPr/>
        <w:tc>
          <w:tcPr>
            <w:tcW w:w="38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loans held for investment</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3,053,503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3,098,978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3,075,860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3,055,054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3,037,375</w:t>
            </w:r>
          </w:p>
        </w:tc>
        <w:tc>
          <w:tcPr>
            <w:tcW w:w="75" w:type="dxa"/>
            <w:tcBorders/>
            <w:shd w:fill="CCEEFF" w:val="clear"/>
            <w:vAlign w:val="bottom"/>
          </w:tcPr>
          <w:p>
            <w:pPr>
              <w:pStyle w:val="TableContents"/>
              <w:bidi w:val="0"/>
              <w:spacing w:before="0" w:after="283"/>
              <w:jc w:val="left"/>
              <w:rPr/>
            </w:pPr>
            <w:r>
              <w:rPr/>
              <w:t> </w:t>
            </w:r>
          </w:p>
        </w:tc>
      </w:tr>
      <w:tr>
        <w:trPr/>
        <w:tc>
          <w:tcPr>
            <w:tcW w:w="382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Allowance for credit losses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44,125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45,010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42,968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43,237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42,886</w:t>
            </w:r>
          </w:p>
        </w:tc>
        <w:tc>
          <w:tcPr>
            <w:tcW w:w="75" w:type="dxa"/>
            <w:tcBorders/>
            <w:vAlign w:val="bottom"/>
          </w:tcPr>
          <w:p>
            <w:pPr>
              <w:pStyle w:val="TableContents"/>
              <w:bidi w:val="0"/>
              <w:spacing w:before="0" w:after="283"/>
              <w:jc w:val="left"/>
              <w:rPr/>
            </w:pPr>
            <w:r>
              <w:rPr/>
              <w:t> </w:t>
            </w:r>
          </w:p>
        </w:tc>
      </w:tr>
      <w:tr>
        <w:trPr/>
        <w:tc>
          <w:tcPr>
            <w:tcW w:w="38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assets</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4,479,437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4,363,674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4,405,209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4,232,239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4,337,659</w:t>
            </w:r>
          </w:p>
        </w:tc>
        <w:tc>
          <w:tcPr>
            <w:tcW w:w="75" w:type="dxa"/>
            <w:tcBorders/>
            <w:shd w:fill="CCEEFF" w:val="clear"/>
            <w:vAlign w:val="bottom"/>
          </w:tcPr>
          <w:p>
            <w:pPr>
              <w:pStyle w:val="TableContents"/>
              <w:bidi w:val="0"/>
              <w:spacing w:before="0" w:after="283"/>
              <w:jc w:val="left"/>
              <w:rPr/>
            </w:pPr>
            <w:r>
              <w:rPr/>
              <w:t> </w:t>
            </w:r>
          </w:p>
        </w:tc>
      </w:tr>
      <w:tr>
        <w:trPr/>
        <w:tc>
          <w:tcPr>
            <w:tcW w:w="382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Interest-bearing deposits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2,831,642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2,740,179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2,826,055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2,685,366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2,720,880</w:t>
            </w:r>
          </w:p>
        </w:tc>
        <w:tc>
          <w:tcPr>
            <w:tcW w:w="75" w:type="dxa"/>
            <w:tcBorders/>
            <w:vAlign w:val="bottom"/>
          </w:tcPr>
          <w:p>
            <w:pPr>
              <w:pStyle w:val="TableContents"/>
              <w:bidi w:val="0"/>
              <w:spacing w:before="0" w:after="283"/>
              <w:jc w:val="left"/>
              <w:rPr/>
            </w:pPr>
            <w:r>
              <w:rPr/>
              <w:t> </w:t>
            </w:r>
          </w:p>
        </w:tc>
      </w:tr>
      <w:tr>
        <w:trPr/>
        <w:tc>
          <w:tcPr>
            <w:tcW w:w="38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Noninterest-bearing deposits</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1,049,501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998,759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966,464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935,510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998,480</w:t>
            </w:r>
          </w:p>
        </w:tc>
        <w:tc>
          <w:tcPr>
            <w:tcW w:w="75" w:type="dxa"/>
            <w:tcBorders/>
            <w:shd w:fill="CCEEFF" w:val="clear"/>
            <w:vAlign w:val="bottom"/>
          </w:tcPr>
          <w:p>
            <w:pPr>
              <w:pStyle w:val="TableContents"/>
              <w:bidi w:val="0"/>
              <w:spacing w:before="0" w:after="283"/>
              <w:jc w:val="left"/>
              <w:rPr/>
            </w:pPr>
            <w:r>
              <w:rPr/>
              <w:t> </w:t>
            </w:r>
          </w:p>
        </w:tc>
      </w:tr>
      <w:tr>
        <w:trPr/>
        <w:tc>
          <w:tcPr>
            <w:tcW w:w="382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deposits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3,881,143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3,738,938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3,792,519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3,620,876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3,719,360</w:t>
            </w:r>
          </w:p>
        </w:tc>
        <w:tc>
          <w:tcPr>
            <w:tcW w:w="75" w:type="dxa"/>
            <w:tcBorders/>
            <w:vAlign w:val="bottom"/>
          </w:tcPr>
          <w:p>
            <w:pPr>
              <w:pStyle w:val="TableContents"/>
              <w:bidi w:val="0"/>
              <w:spacing w:before="0" w:after="283"/>
              <w:jc w:val="left"/>
              <w:rPr/>
            </w:pPr>
            <w:r>
              <w:rPr/>
              <w:t> </w:t>
            </w:r>
          </w:p>
        </w:tc>
      </w:tr>
      <w:tr>
        <w:trPr/>
        <w:tc>
          <w:tcPr>
            <w:tcW w:w="38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Borrowings</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60,493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111,799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110,354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110,307</w:t>
            </w:r>
          </w:p>
        </w:tc>
        <w:tc>
          <w:tcPr>
            <w:tcW w:w="75" w:type="dxa"/>
            <w:tcBorders/>
            <w:shd w:fill="CCEEFF" w:val="clear"/>
            <w:vAlign w:val="bottom"/>
          </w:tcPr>
          <w:p>
            <w:pPr>
              <w:pStyle w:val="TableContents"/>
              <w:bidi w:val="0"/>
              <w:spacing w:before="0" w:after="283"/>
              <w:jc w:val="left"/>
              <w:rPr/>
            </w:pPr>
            <w:r>
              <w:rPr/>
              <w:t> </w:t>
            </w:r>
          </w:p>
        </w:tc>
      </w:tr>
      <w:tr>
        <w:trPr/>
        <w:tc>
          <w:tcPr>
            <w:tcW w:w="382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stockholders’ equity</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477,802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454,074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443,743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438,949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443,122</w:t>
            </w:r>
          </w:p>
        </w:tc>
        <w:tc>
          <w:tcPr>
            <w:tcW w:w="75" w:type="dxa"/>
            <w:tcBorders/>
            <w:vAlign w:val="bottom"/>
          </w:tcPr>
          <w:p>
            <w:pPr>
              <w:pStyle w:val="TableContents"/>
              <w:bidi w:val="0"/>
              <w:spacing w:before="0" w:after="283"/>
              <w:jc w:val="left"/>
              <w:rPr/>
            </w:pPr>
            <w:r>
              <w:rPr/>
              <w:t> </w:t>
            </w:r>
          </w:p>
        </w:tc>
      </w:tr>
      <w:tr>
        <w:trPr/>
        <w:tc>
          <w:tcPr>
            <w:tcW w:w="3825"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Summary Performance Ratios:</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382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Return on average assets (annualized)</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1.47%</w:t>
            </w:r>
          </w:p>
        </w:tc>
        <w:tc>
          <w:tcPr>
            <w:tcW w:w="60"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1.34%</w:t>
            </w:r>
          </w:p>
        </w:tc>
        <w:tc>
          <w:tcPr>
            <w:tcW w:w="60"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1.16%</w:t>
            </w:r>
          </w:p>
        </w:tc>
        <w:tc>
          <w:tcPr>
            <w:tcW w:w="60"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1.53%</w:t>
            </w:r>
          </w:p>
        </w:tc>
        <w:tc>
          <w:tcPr>
            <w:tcW w:w="60"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1.05%</w:t>
            </w:r>
          </w:p>
        </w:tc>
        <w:tc>
          <w:tcPr>
            <w:tcW w:w="75"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r>
      <w:tr>
        <w:trPr/>
        <w:tc>
          <w:tcPr>
            <w:tcW w:w="38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Return on average equity (annualized)</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13.89%</w:t>
            </w:r>
          </w:p>
        </w:tc>
        <w:tc>
          <w:tcPr>
            <w:tcW w:w="60" w:type="dxa"/>
            <w:tcBorders/>
            <w:shd w:fill="CCEEFF" w:val="clear"/>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13.05%</w:t>
            </w:r>
          </w:p>
        </w:tc>
        <w:tc>
          <w:tcPr>
            <w:tcW w:w="60" w:type="dxa"/>
            <w:tcBorders/>
            <w:shd w:fill="CCEEFF" w:val="clear"/>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11.30%</w:t>
            </w:r>
          </w:p>
        </w:tc>
        <w:tc>
          <w:tcPr>
            <w:tcW w:w="60" w:type="dxa"/>
            <w:tcBorders/>
            <w:shd w:fill="CCEEFF" w:val="clear"/>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14.88%</w:t>
            </w:r>
          </w:p>
        </w:tc>
        <w:tc>
          <w:tcPr>
            <w:tcW w:w="60" w:type="dxa"/>
            <w:tcBorders/>
            <w:shd w:fill="CCEEFF" w:val="clear"/>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10.36%</w:t>
            </w:r>
          </w:p>
        </w:tc>
        <w:tc>
          <w:tcPr>
            <w:tcW w:w="75" w:type="dxa"/>
            <w:tcBorders/>
            <w:shd w:fill="CCEEFF" w:val="clear"/>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r>
      <w:tr>
        <w:trPr/>
        <w:tc>
          <w:tcPr>
            <w:tcW w:w="3825" w:type="dxa"/>
            <w:tcBorders/>
            <w:vAlign w:val="bottom"/>
          </w:tcPr>
          <w:p>
            <w:pPr>
              <w:pStyle w:val="TableContents"/>
              <w:bidi w:val="0"/>
              <w:spacing w:lineRule="auto" w:line="240" w:before="0" w:after="0"/>
              <w:ind w:left="144" w:right="0" w:hanging="144"/>
              <w:jc w:val="left"/>
              <w:rPr>
                <w:rFonts w:ascii="Times New Roman" w:hAnsi="Times New Roman"/>
                <w:color w:val="000000"/>
                <w:sz w:val="20"/>
              </w:rPr>
            </w:pPr>
            <w:r>
              <w:rPr>
                <w:rFonts w:ascii="Times New Roman" w:hAnsi="Times New Roman"/>
                <w:color w:val="000000"/>
                <w:sz w:val="20"/>
              </w:rPr>
              <w:t>Net interest margin (1)</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4.05%</w:t>
            </w:r>
          </w:p>
        </w:tc>
        <w:tc>
          <w:tcPr>
            <w:tcW w:w="60"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4.07%</w:t>
            </w:r>
          </w:p>
        </w:tc>
        <w:tc>
          <w:tcPr>
            <w:tcW w:w="60"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3.81%</w:t>
            </w:r>
          </w:p>
        </w:tc>
        <w:tc>
          <w:tcPr>
            <w:tcW w:w="60"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3.75%</w:t>
            </w:r>
          </w:p>
        </w:tc>
        <w:tc>
          <w:tcPr>
            <w:tcW w:w="60"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3.65%</w:t>
            </w:r>
          </w:p>
        </w:tc>
        <w:tc>
          <w:tcPr>
            <w:tcW w:w="75"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r>
      <w:tr>
        <w:trPr/>
        <w:tc>
          <w:tcPr>
            <w:tcW w:w="38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Yield on loans</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6.92%</w:t>
            </w:r>
          </w:p>
        </w:tc>
        <w:tc>
          <w:tcPr>
            <w:tcW w:w="60" w:type="dxa"/>
            <w:tcBorders/>
            <w:shd w:fill="CCEEFF" w:val="clear"/>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6.99%</w:t>
            </w:r>
          </w:p>
        </w:tc>
        <w:tc>
          <w:tcPr>
            <w:tcW w:w="60" w:type="dxa"/>
            <w:tcBorders/>
            <w:shd w:fill="CCEEFF" w:val="clear"/>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6.67%</w:t>
            </w:r>
          </w:p>
        </w:tc>
        <w:tc>
          <w:tcPr>
            <w:tcW w:w="60" w:type="dxa"/>
            <w:tcBorders/>
            <w:shd w:fill="CCEEFF" w:val="clear"/>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6.69%</w:t>
            </w:r>
          </w:p>
        </w:tc>
        <w:tc>
          <w:tcPr>
            <w:tcW w:w="60" w:type="dxa"/>
            <w:tcBorders/>
            <w:shd w:fill="CCEEFF" w:val="clear"/>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6.68%</w:t>
            </w:r>
          </w:p>
        </w:tc>
        <w:tc>
          <w:tcPr>
            <w:tcW w:w="75" w:type="dxa"/>
            <w:tcBorders/>
            <w:shd w:fill="CCEEFF" w:val="clear"/>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r>
      <w:tr>
        <w:trPr/>
        <w:tc>
          <w:tcPr>
            <w:tcW w:w="382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Cost of interest-bearing deposits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2.87%</w:t>
            </w:r>
          </w:p>
        </w:tc>
        <w:tc>
          <w:tcPr>
            <w:tcW w:w="60"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2.91%</w:t>
            </w:r>
          </w:p>
        </w:tc>
        <w:tc>
          <w:tcPr>
            <w:tcW w:w="60"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2.93%</w:t>
            </w:r>
          </w:p>
        </w:tc>
        <w:tc>
          <w:tcPr>
            <w:tcW w:w="60"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3.12%</w:t>
            </w:r>
          </w:p>
        </w:tc>
        <w:tc>
          <w:tcPr>
            <w:tcW w:w="60"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3.36%</w:t>
            </w:r>
          </w:p>
        </w:tc>
        <w:tc>
          <w:tcPr>
            <w:tcW w:w="75"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r>
      <w:tr>
        <w:trPr/>
        <w:tc>
          <w:tcPr>
            <w:tcW w:w="38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Efficiency ratio</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60.69%</w:t>
            </w:r>
          </w:p>
        </w:tc>
        <w:tc>
          <w:tcPr>
            <w:tcW w:w="60" w:type="dxa"/>
            <w:tcBorders/>
            <w:shd w:fill="CCEEFF" w:val="clear"/>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61.11%</w:t>
            </w:r>
          </w:p>
        </w:tc>
        <w:tc>
          <w:tcPr>
            <w:tcW w:w="60" w:type="dxa"/>
            <w:tcBorders/>
            <w:shd w:fill="CCEEFF" w:val="clear"/>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66.90%</w:t>
            </w:r>
          </w:p>
        </w:tc>
        <w:tc>
          <w:tcPr>
            <w:tcW w:w="60" w:type="dxa"/>
            <w:tcBorders/>
            <w:shd w:fill="CCEEFF" w:val="clear"/>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57.50%</w:t>
            </w:r>
          </w:p>
        </w:tc>
        <w:tc>
          <w:tcPr>
            <w:tcW w:w="60" w:type="dxa"/>
            <w:tcBorders/>
            <w:shd w:fill="CCEEFF" w:val="clear"/>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68.80%</w:t>
            </w:r>
          </w:p>
        </w:tc>
        <w:tc>
          <w:tcPr>
            <w:tcW w:w="75" w:type="dxa"/>
            <w:tcBorders/>
            <w:shd w:fill="CCEEFF" w:val="clear"/>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r>
      <w:tr>
        <w:trPr/>
        <w:tc>
          <w:tcPr>
            <w:tcW w:w="3825"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Summary Credit Quality Data:</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8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Nonperforming loans</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24,693</w:t>
            </w:r>
          </w:p>
        </w:tc>
        <w:tc>
          <w:tcPr>
            <w:tcW w:w="75" w:type="dxa"/>
            <w:tcBorders/>
            <w:shd w:fill="CCEEFF" w:val="clear"/>
            <w:vAlign w:val="bottom"/>
          </w:tcPr>
          <w:p>
            <w:pPr>
              <w:pStyle w:val="TableContents"/>
              <w:bidi w:val="0"/>
              <w:spacing w:before="0" w:after="283"/>
              <w:jc w:val="left"/>
              <w:rPr/>
            </w:pPr>
            <w:r>
              <w:rPr/>
              <w:t> </w:t>
            </w:r>
          </w:p>
        </w:tc>
      </w:tr>
      <w:tr>
        <w:trPr/>
        <w:tc>
          <w:tcPr>
            <w:tcW w:w="38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Nonperforming loans to total loans held for investment</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0.32%</w:t>
            </w:r>
          </w:p>
        </w:tc>
        <w:tc>
          <w:tcPr>
            <w:tcW w:w="60"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0.34%</w:t>
            </w:r>
          </w:p>
        </w:tc>
        <w:tc>
          <w:tcPr>
            <w:tcW w:w="60"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0.21%</w:t>
            </w:r>
          </w:p>
        </w:tc>
        <w:tc>
          <w:tcPr>
            <w:tcW w:w="60"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0.79%</w:t>
            </w:r>
          </w:p>
        </w:tc>
        <w:tc>
          <w:tcPr>
            <w:tcW w:w="60"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0.81%</w:t>
            </w:r>
          </w:p>
        </w:tc>
        <w:tc>
          <w:tcPr>
            <w:tcW w:w="75"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r>
      <w:tr>
        <w:trPr/>
        <w:tc>
          <w:tcPr>
            <w:tcW w:w="38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real estate owned</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530</w:t>
            </w:r>
          </w:p>
        </w:tc>
        <w:tc>
          <w:tcPr>
            <w:tcW w:w="6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973</w:t>
            </w:r>
          </w:p>
        </w:tc>
        <w:tc>
          <w:tcPr>
            <w:tcW w:w="75" w:type="dxa"/>
            <w:tcBorders/>
            <w:shd w:fill="CCEEFF" w:val="clear"/>
            <w:vAlign w:val="bottom"/>
          </w:tcPr>
          <w:p>
            <w:pPr>
              <w:pStyle w:val="TableContents"/>
              <w:bidi w:val="0"/>
              <w:spacing w:before="0" w:after="283"/>
              <w:jc w:val="left"/>
              <w:rPr/>
            </w:pPr>
            <w:r>
              <w:rPr/>
              <w:t> </w:t>
            </w:r>
          </w:p>
        </w:tc>
      </w:tr>
      <w:tr>
        <w:trPr/>
        <w:tc>
          <w:tcPr>
            <w:tcW w:w="382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Nonperforming assets to total assets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0.26%</w:t>
            </w:r>
          </w:p>
        </w:tc>
        <w:tc>
          <w:tcPr>
            <w:tcW w:w="60"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0.25%</w:t>
            </w:r>
          </w:p>
        </w:tc>
        <w:tc>
          <w:tcPr>
            <w:tcW w:w="60"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0.16%</w:t>
            </w:r>
          </w:p>
        </w:tc>
        <w:tc>
          <w:tcPr>
            <w:tcW w:w="60"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0.58%</w:t>
            </w:r>
          </w:p>
        </w:tc>
        <w:tc>
          <w:tcPr>
            <w:tcW w:w="60"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0.59%</w:t>
            </w:r>
          </w:p>
        </w:tc>
        <w:tc>
          <w:tcPr>
            <w:tcW w:w="75"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r>
      <w:tr>
        <w:trPr/>
        <w:tc>
          <w:tcPr>
            <w:tcW w:w="382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Allowance for credit losses to total loans held for investment</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1.45%</w:t>
            </w:r>
          </w:p>
        </w:tc>
        <w:tc>
          <w:tcPr>
            <w:tcW w:w="60" w:type="dxa"/>
            <w:tcBorders/>
            <w:shd w:fill="CCEEFF" w:val="clear"/>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1.45%</w:t>
            </w:r>
          </w:p>
        </w:tc>
        <w:tc>
          <w:tcPr>
            <w:tcW w:w="60" w:type="dxa"/>
            <w:tcBorders/>
            <w:shd w:fill="CCEEFF" w:val="clear"/>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1.40%</w:t>
            </w:r>
          </w:p>
        </w:tc>
        <w:tc>
          <w:tcPr>
            <w:tcW w:w="60" w:type="dxa"/>
            <w:tcBorders/>
            <w:shd w:fill="CCEEFF" w:val="clear"/>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1.42%</w:t>
            </w:r>
          </w:p>
        </w:tc>
        <w:tc>
          <w:tcPr>
            <w:tcW w:w="6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w:t>
            </w:r>
          </w:p>
        </w:tc>
        <w:tc>
          <w:tcPr>
            <w:tcW w:w="75" w:type="dxa"/>
            <w:tcBorders/>
            <w:shd w:fill="CCEEFF" w:val="clear"/>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r>
      <w:tr>
        <w:trPr/>
        <w:tc>
          <w:tcPr>
            <w:tcW w:w="382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charge-offs to average loans outstanding (annualized)</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0.16%</w:t>
            </w:r>
          </w:p>
        </w:tc>
        <w:tc>
          <w:tcPr>
            <w:tcW w:w="60"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0.06%</w:t>
            </w:r>
          </w:p>
        </w:tc>
        <w:tc>
          <w:tcPr>
            <w:tcW w:w="60"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0.07%</w:t>
            </w:r>
          </w:p>
        </w:tc>
        <w:tc>
          <w:tcPr>
            <w:tcW w:w="60"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0.11%</w:t>
            </w:r>
          </w:p>
        </w:tc>
        <w:tc>
          <w:tcPr>
            <w:tcW w:w="60"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0.11%</w:t>
            </w:r>
          </w:p>
        </w:tc>
        <w:tc>
          <w:tcPr>
            <w:tcW w:w="75"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4" w:name="z7333a84363b34bfe9485e2b5c6a39757"/>
      <w:bookmarkStart w:id="25" w:name="z7333a84363b34bfe9485e2b5c6a39757"/>
      <w:bookmarkEnd w:id="25"/>
    </w:p>
    <w:tbl>
      <w:tblPr>
        <w:tblW w:w="10205" w:type="dxa"/>
        <w:jc w:val="left"/>
        <w:tblInd w:w="0" w:type="dxa"/>
        <w:tblLayout w:type="fixed"/>
        <w:tblCellMar>
          <w:top w:w="0" w:type="dxa"/>
          <w:left w:w="0" w:type="dxa"/>
          <w:bottom w:w="0" w:type="dxa"/>
          <w:right w:w="0" w:type="dxa"/>
        </w:tblCellMar>
      </w:tblPr>
      <w:tblGrid>
        <w:gridCol w:w="3780"/>
        <w:gridCol w:w="60"/>
        <w:gridCol w:w="129"/>
        <w:gridCol w:w="1046"/>
        <w:gridCol w:w="185"/>
        <w:gridCol w:w="60"/>
        <w:gridCol w:w="79"/>
        <w:gridCol w:w="646"/>
        <w:gridCol w:w="185"/>
        <w:gridCol w:w="60"/>
        <w:gridCol w:w="97"/>
        <w:gridCol w:w="793"/>
        <w:gridCol w:w="185"/>
        <w:gridCol w:w="60"/>
        <w:gridCol w:w="129"/>
        <w:gridCol w:w="1046"/>
        <w:gridCol w:w="185"/>
        <w:gridCol w:w="60"/>
        <w:gridCol w:w="134"/>
        <w:gridCol w:w="1086"/>
        <w:gridCol w:w="200"/>
      </w:tblGrid>
      <w:tr>
        <w:trPr/>
        <w:tc>
          <w:tcPr>
            <w:tcW w:w="37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65" w:type="dxa"/>
            <w:gridSpan w:val="18"/>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As of and for the quarter ended</w:t>
            </w:r>
          </w:p>
        </w:tc>
        <w:tc>
          <w:tcPr>
            <w:tcW w:w="200" w:type="dxa"/>
            <w:tcBorders/>
            <w:vAlign w:val="bottom"/>
          </w:tcPr>
          <w:p>
            <w:pPr>
              <w:pStyle w:val="TableContents"/>
              <w:bidi w:val="0"/>
              <w:spacing w:before="0" w:after="283"/>
              <w:jc w:val="left"/>
              <w:rPr/>
            </w:pPr>
            <w:r>
              <w:rPr/>
              <w:t> </w:t>
            </w:r>
          </w:p>
        </w:tc>
      </w:tr>
      <w:tr>
        <w:trPr/>
        <w:tc>
          <w:tcPr>
            <w:tcW w:w="37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200" w:type="dxa"/>
            <w:tcBorders/>
            <w:vAlign w:val="bottom"/>
          </w:tcPr>
          <w:p>
            <w:pPr>
              <w:pStyle w:val="TableContents"/>
              <w:bidi w:val="0"/>
              <w:spacing w:before="0" w:after="283"/>
              <w:jc w:val="left"/>
              <w:rPr/>
            </w:pPr>
            <w:r>
              <w:rPr/>
              <w:t> </w:t>
            </w:r>
          </w:p>
        </w:tc>
      </w:tr>
      <w:tr>
        <w:trPr/>
        <w:tc>
          <w:tcPr>
            <w:tcW w:w="378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Capital Ratios:</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378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stockholders’ equity to total assets</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10.67</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10.07</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10.37</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10.22</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7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Tangible common equity to tangible assets (non-GAAP)</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9.98</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9.64</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9.77</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78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Common equity tier 1 to risk-weighted assets</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14.41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13.86</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13.59</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13.53</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13.25</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78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Tier 1 capital to average assets</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12.12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12.04</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12.04</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11.76</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78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capital to risk-weighted assets</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17.34</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18.17</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17.93</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17.86</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17.61</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6" w:name="z8647d8fae80f4bafab1b8284a5e6895c"/>
      <w:bookmarkStart w:id="27" w:name="z8647d8fae80f4bafab1b8284a5e6895c"/>
      <w:bookmarkEnd w:id="27"/>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954"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Net interest margin is calculated as the annual net interest income, on a fully tax-equivalent basis, divided by average interest-earning assets.</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Average Balances and Yields - (Unaudited)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8" w:name="zcc44dfe3c87a4e7391bce84cc3b30a86"/>
      <w:bookmarkStart w:id="29" w:name="zcc44dfe3c87a4e7391bce84cc3b30a86"/>
      <w:bookmarkEnd w:id="29"/>
    </w:p>
    <w:tbl>
      <w:tblPr>
        <w:tblW w:w="10205" w:type="dxa"/>
        <w:jc w:val="left"/>
        <w:tblInd w:w="0" w:type="dxa"/>
        <w:tblLayout w:type="fixed"/>
        <w:tblCellMar>
          <w:top w:w="0" w:type="dxa"/>
          <w:left w:w="0" w:type="dxa"/>
          <w:bottom w:w="0" w:type="dxa"/>
          <w:right w:w="0" w:type="dxa"/>
        </w:tblCellMar>
      </w:tblPr>
      <w:tblGrid>
        <w:gridCol w:w="4010"/>
        <w:gridCol w:w="60"/>
        <w:gridCol w:w="125"/>
        <w:gridCol w:w="845"/>
        <w:gridCol w:w="60"/>
        <w:gridCol w:w="60"/>
        <w:gridCol w:w="125"/>
        <w:gridCol w:w="590"/>
        <w:gridCol w:w="60"/>
        <w:gridCol w:w="60"/>
        <w:gridCol w:w="125"/>
        <w:gridCol w:w="795"/>
        <w:gridCol w:w="185"/>
        <w:gridCol w:w="60"/>
        <w:gridCol w:w="125"/>
        <w:gridCol w:w="845"/>
        <w:gridCol w:w="60"/>
        <w:gridCol w:w="60"/>
        <w:gridCol w:w="125"/>
        <w:gridCol w:w="590"/>
        <w:gridCol w:w="60"/>
        <w:gridCol w:w="60"/>
        <w:gridCol w:w="125"/>
        <w:gridCol w:w="795"/>
        <w:gridCol w:w="200"/>
      </w:tblGrid>
      <w:tr>
        <w:trPr/>
        <w:tc>
          <w:tcPr>
            <w:tcW w:w="40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5" w:type="dxa"/>
            <w:gridSpan w:val="2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 the Three Months Ended</w:t>
            </w:r>
          </w:p>
        </w:tc>
        <w:tc>
          <w:tcPr>
            <w:tcW w:w="200" w:type="dxa"/>
            <w:tcBorders/>
            <w:vAlign w:val="bottom"/>
          </w:tcPr>
          <w:p>
            <w:pPr>
              <w:pStyle w:val="TableContents"/>
              <w:bidi w:val="0"/>
              <w:spacing w:before="0" w:after="283"/>
              <w:jc w:val="left"/>
              <w:rPr/>
            </w:pPr>
            <w:r>
              <w:rPr/>
              <w:t> </w:t>
            </w:r>
          </w:p>
        </w:tc>
      </w:tr>
      <w:tr>
        <w:trPr/>
        <w:tc>
          <w:tcPr>
            <w:tcW w:w="40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5"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 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5"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 2024</w:t>
            </w:r>
          </w:p>
        </w:tc>
        <w:tc>
          <w:tcPr>
            <w:tcW w:w="200" w:type="dxa"/>
            <w:tcBorders/>
            <w:vAlign w:val="bottom"/>
          </w:tcPr>
          <w:p>
            <w:pPr>
              <w:pStyle w:val="TableContents"/>
              <w:bidi w:val="0"/>
              <w:spacing w:before="0" w:after="283"/>
              <w:jc w:val="left"/>
              <w:rPr/>
            </w:pPr>
            <w:r>
              <w:rPr/>
              <w:t> </w:t>
            </w:r>
          </w:p>
        </w:tc>
      </w:tr>
      <w:tr>
        <w:trPr/>
        <w:tc>
          <w:tcPr>
            <w:tcW w:w="40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5" w:type="dxa"/>
            <w:gridSpan w:val="10"/>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5" w:type="dxa"/>
            <w:gridSpan w:val="10"/>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40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Average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Interest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Yield/Rate</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Average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Interest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Yield/Rate</w:t>
            </w:r>
          </w:p>
        </w:tc>
        <w:tc>
          <w:tcPr>
            <w:tcW w:w="200" w:type="dxa"/>
            <w:tcBorders/>
            <w:vAlign w:val="bottom"/>
          </w:tcPr>
          <w:p>
            <w:pPr>
              <w:pStyle w:val="TableContents"/>
              <w:bidi w:val="0"/>
              <w:spacing w:before="0" w:after="283"/>
              <w:jc w:val="left"/>
              <w:rPr/>
            </w:pPr>
            <w:r>
              <w:rPr/>
              <w:t> </w:t>
            </w:r>
          </w:p>
        </w:tc>
      </w:tr>
      <w:tr>
        <w:trPr/>
        <w:tc>
          <w:tcPr>
            <w:tcW w:w="401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Assets</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4010" w:type="dxa"/>
            <w:tcBorders/>
            <w:shd w:fill="CCEEFF" w:val="clear"/>
            <w:vAlign w:val="bottom"/>
          </w:tcPr>
          <w:p>
            <w:pPr>
              <w:pStyle w:val="TableContents"/>
              <w:bidi w:val="0"/>
              <w:spacing w:lineRule="auto" w:line="240" w:before="0" w:after="0"/>
              <w:ind w:left="144" w:right="0" w:hanging="144"/>
              <w:jc w:val="left"/>
              <w:rPr>
                <w:rFonts w:ascii="Times New Roman" w:hAnsi="Times New Roman"/>
                <w:color w:val="000000"/>
                <w:sz w:val="20"/>
              </w:rPr>
            </w:pPr>
            <w:r>
              <w:rPr>
                <w:rFonts w:ascii="Times New Roman" w:hAnsi="Times New Roman"/>
                <w:color w:val="000000"/>
                <w:sz w:val="20"/>
              </w:rPr>
              <w:t>Loans (1)</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3,093,465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53,935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6.92</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3,069,900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51,513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6.68</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Debt securities - taxable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498,302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3.69</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524,641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4.02</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Debt securities - nontaxable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155,028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2.76</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154,806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2.61</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interest-bearing assets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489,621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4.13</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336,887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4.76</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401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Total interest-earning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4,236,416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64,754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6.06</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4,086,234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61,861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6.02</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Noninterest-earning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167,437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172,922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40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401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Total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4,403,853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4,259,156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40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401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Liabilities &amp; stockholders’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401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NOW, Savings, MMDA’s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2,325,281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16,007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2.73</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2,247,299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18,143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3.21</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Time deposits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424,788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3.66</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431,307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4.16</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Short-term borrowings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Notes payable &amp; other long-term borrowings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Subordinated debt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63,534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5.21</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63,891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5.20</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Junior subordinated deferrable interest debentures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46,393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6.34</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46,393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7.36</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401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Total interest-bearing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2,860,003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21,501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2.98</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2,788,893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24,346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3.47</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Demand deposits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1,010,159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976,048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401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67,753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63,661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401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Stockholders’ equity</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465,938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430,554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40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401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Total liabilities &amp; stockholders’ equity</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4,403,853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4,259,156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40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401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interest income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43,253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37,515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4010" w:type="dxa"/>
            <w:tcBorders/>
            <w:shd w:fill="CCEEFF" w:val="clear"/>
            <w:vAlign w:val="bottom"/>
          </w:tcPr>
          <w:p>
            <w:pPr>
              <w:pStyle w:val="TableContents"/>
              <w:bidi w:val="0"/>
              <w:spacing w:lineRule="auto" w:line="240" w:before="0" w:after="0"/>
              <w:ind w:left="144" w:right="0" w:hanging="144"/>
              <w:jc w:val="left"/>
              <w:rPr>
                <w:rFonts w:ascii="Times New Roman" w:hAnsi="Times New Roman"/>
                <w:color w:val="000000"/>
                <w:sz w:val="20"/>
              </w:rPr>
            </w:pPr>
            <w:r>
              <w:rPr>
                <w:rFonts w:ascii="Times New Roman" w:hAnsi="Times New Roman"/>
                <w:color w:val="000000"/>
                <w:sz w:val="20"/>
              </w:rPr>
              <w:t>Net interest margin (2)</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4.05</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3.65</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0" w:name="z59407552191a4a1d84300d0db5afed95"/>
      <w:bookmarkStart w:id="31" w:name="z59407552191a4a1d84300d0db5afed95"/>
      <w:bookmarkEnd w:id="31"/>
    </w:p>
    <w:tbl>
      <w:tblPr>
        <w:tblW w:w="6115" w:type="dxa"/>
        <w:jc w:val="left"/>
        <w:tblInd w:w="0" w:type="dxa"/>
        <w:tblLayout w:type="fixed"/>
        <w:tblCellMar>
          <w:top w:w="0" w:type="dxa"/>
          <w:left w:w="0" w:type="dxa"/>
          <w:bottom w:w="0" w:type="dxa"/>
          <w:right w:w="0" w:type="dxa"/>
        </w:tblCellMar>
      </w:tblPr>
      <w:tblGrid>
        <w:gridCol w:w="260"/>
        <w:gridCol w:w="5855"/>
      </w:tblGrid>
      <w:tr>
        <w:trPr/>
        <w:tc>
          <w:tcPr>
            <w:tcW w:w="2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585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Average loan balances include nonaccrual loans and loans held for sale.</w:t>
            </w:r>
          </w:p>
        </w:tc>
      </w:tr>
    </w:tbl>
    <w:p>
      <w:pPr>
        <w:pStyle w:val="Normal"/>
        <w:bidi w:val="0"/>
        <w:spacing w:before="0" w:after="0"/>
        <w:jc w:val="left"/>
        <w:rPr>
          <w:sz w:val="4"/>
          <w:szCs w:val="4"/>
        </w:rPr>
      </w:pPr>
      <w:r>
        <w:rPr>
          <w:sz w:val="4"/>
          <w:szCs w:val="4"/>
        </w:rPr>
      </w:r>
      <w:bookmarkStart w:id="32" w:name="za22c52a89da04e819b39bc23e4c671aa"/>
      <w:bookmarkStart w:id="33" w:name="za22c52a89da04e819b39bc23e4c671aa"/>
      <w:bookmarkEnd w:id="33"/>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56"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Net interest margin is calculated as the annualized net interest income, on a fully tax-equivalent basis, divided by average interest-earning assets.</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Average Balances and Yields - (Unaudited)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4" w:name="z831ae4007f01433e9533866a9a9e9ddb"/>
      <w:bookmarkStart w:id="35" w:name="z831ae4007f01433e9533866a9a9e9ddb"/>
      <w:bookmarkEnd w:id="35"/>
    </w:p>
    <w:tbl>
      <w:tblPr>
        <w:tblW w:w="10205" w:type="dxa"/>
        <w:jc w:val="left"/>
        <w:tblInd w:w="0" w:type="dxa"/>
        <w:tblLayout w:type="fixed"/>
        <w:tblCellMar>
          <w:top w:w="0" w:type="dxa"/>
          <w:left w:w="0" w:type="dxa"/>
          <w:bottom w:w="0" w:type="dxa"/>
          <w:right w:w="0" w:type="dxa"/>
        </w:tblCellMar>
      </w:tblPr>
      <w:tblGrid>
        <w:gridCol w:w="3800"/>
        <w:gridCol w:w="60"/>
        <w:gridCol w:w="125"/>
        <w:gridCol w:w="845"/>
        <w:gridCol w:w="60"/>
        <w:gridCol w:w="60"/>
        <w:gridCol w:w="125"/>
        <w:gridCol w:w="695"/>
        <w:gridCol w:w="60"/>
        <w:gridCol w:w="60"/>
        <w:gridCol w:w="125"/>
        <w:gridCol w:w="795"/>
        <w:gridCol w:w="185"/>
        <w:gridCol w:w="60"/>
        <w:gridCol w:w="125"/>
        <w:gridCol w:w="845"/>
        <w:gridCol w:w="60"/>
        <w:gridCol w:w="60"/>
        <w:gridCol w:w="125"/>
        <w:gridCol w:w="695"/>
        <w:gridCol w:w="60"/>
        <w:gridCol w:w="60"/>
        <w:gridCol w:w="125"/>
        <w:gridCol w:w="795"/>
        <w:gridCol w:w="200"/>
      </w:tblGrid>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45" w:type="dxa"/>
            <w:gridSpan w:val="2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 the Nine Months Ended</w:t>
            </w:r>
          </w:p>
        </w:tc>
        <w:tc>
          <w:tcPr>
            <w:tcW w:w="200" w:type="dxa"/>
            <w:tcBorders/>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0"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 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0"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 2024</w:t>
            </w:r>
          </w:p>
        </w:tc>
        <w:tc>
          <w:tcPr>
            <w:tcW w:w="200" w:type="dxa"/>
            <w:tcBorders/>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Average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Interest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Yield/Rate</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Average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Interest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Yield/Rate</w:t>
            </w:r>
          </w:p>
        </w:tc>
        <w:tc>
          <w:tcPr>
            <w:tcW w:w="200" w:type="dxa"/>
            <w:tcBorders/>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Assets</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lineRule="auto" w:line="240" w:before="0" w:after="0"/>
              <w:ind w:left="144" w:right="0" w:hanging="144"/>
              <w:jc w:val="left"/>
              <w:rPr>
                <w:rFonts w:ascii="Times New Roman" w:hAnsi="Times New Roman"/>
                <w:color w:val="000000"/>
                <w:sz w:val="20"/>
              </w:rPr>
            </w:pPr>
            <w:r>
              <w:rPr>
                <w:rFonts w:ascii="Times New Roman" w:hAnsi="Times New Roman"/>
                <w:color w:val="000000"/>
                <w:sz w:val="20"/>
              </w:rPr>
              <w:t>Loans (1)</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3,087,530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158,406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6.86</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3,055,679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151,031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6.60</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Debt securities - taxable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505,721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3.71</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537,425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16,096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4.00</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Debt securities - nontaxable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153,486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155,489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2.63</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interest-bearing assets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444,473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13,707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287,192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4.68</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Total interest-earning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4,191,210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189,252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6.04</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4,035,785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180,241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5.97</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Noninterest-earning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168,628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176,230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Total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4,359,838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4,212,015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Liabilities &amp; stockholders’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NOW, Savings, MMDA’s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2,318,134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47,408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2.73</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2,251,569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53,792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3.19</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Time deposits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435,127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399,646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12,153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4.06</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Short-term borrowings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Notes payable &amp; other long-term borrowings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Subordinated debt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63,850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63,845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5.24</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Junior subordinated deferrable interest debentures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46,393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6.37</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46,393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7.41</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Total interest-bearing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2,863,513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64,528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2,761,456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3.44</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0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Demand deposits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978,426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964,829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65,835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68,458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Stockholders’ equity</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452,064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417,272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Total liabilities &amp; stockholders’ equity</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4,359,838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4,212,015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interest income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124,724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109,216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lineRule="auto" w:line="240" w:before="0" w:after="0"/>
              <w:ind w:left="144" w:right="0" w:hanging="144"/>
              <w:jc w:val="left"/>
              <w:rPr>
                <w:rFonts w:ascii="Times New Roman" w:hAnsi="Times New Roman"/>
                <w:color w:val="000000"/>
                <w:sz w:val="20"/>
              </w:rPr>
            </w:pPr>
            <w:r>
              <w:rPr>
                <w:rFonts w:ascii="Times New Roman" w:hAnsi="Times New Roman"/>
                <w:color w:val="000000"/>
                <w:sz w:val="20"/>
              </w:rPr>
              <w:t>Net interest margin (2)</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3.98</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3.61</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6" w:name="za38dcc104ece43c9bb76275fd47b2e25"/>
      <w:bookmarkStart w:id="37" w:name="za38dcc104ece43c9bb76275fd47b2e25"/>
      <w:bookmarkEnd w:id="37"/>
    </w:p>
    <w:tbl>
      <w:tblPr>
        <w:tblW w:w="6115" w:type="dxa"/>
        <w:jc w:val="left"/>
        <w:tblInd w:w="0" w:type="dxa"/>
        <w:tblLayout w:type="fixed"/>
        <w:tblCellMar>
          <w:top w:w="0" w:type="dxa"/>
          <w:left w:w="0" w:type="dxa"/>
          <w:bottom w:w="0" w:type="dxa"/>
          <w:right w:w="0" w:type="dxa"/>
        </w:tblCellMar>
      </w:tblPr>
      <w:tblGrid>
        <w:gridCol w:w="260"/>
        <w:gridCol w:w="5855"/>
      </w:tblGrid>
      <w:tr>
        <w:trPr/>
        <w:tc>
          <w:tcPr>
            <w:tcW w:w="2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585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Average loan balances include nonaccrual loans and loans held for sale.</w:t>
            </w:r>
          </w:p>
        </w:tc>
      </w:tr>
    </w:tbl>
    <w:p>
      <w:pPr>
        <w:pStyle w:val="Normal"/>
        <w:bidi w:val="0"/>
        <w:spacing w:before="0" w:after="0"/>
        <w:jc w:val="left"/>
        <w:rPr>
          <w:sz w:val="4"/>
          <w:szCs w:val="4"/>
        </w:rPr>
      </w:pPr>
      <w:r>
        <w:rPr>
          <w:sz w:val="4"/>
          <w:szCs w:val="4"/>
        </w:rPr>
      </w:r>
      <w:bookmarkStart w:id="38" w:name="z774819e1bcfc4e2487d927eb2dc96101"/>
      <w:bookmarkStart w:id="39" w:name="z774819e1bcfc4e2487d927eb2dc96101"/>
      <w:bookmarkEnd w:id="39"/>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56"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Net interest margin is calculated as the annualized net interest income, on a fully tax-equivalent basis, divided by average interest-earning assets.</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Consolidated Balance Sheets</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0" w:name="z2f958e25d3404964ae54467567bc0220"/>
      <w:bookmarkStart w:id="41" w:name="z2f958e25d3404964ae54467567bc0220"/>
      <w:bookmarkEnd w:id="41"/>
    </w:p>
    <w:tbl>
      <w:tblPr>
        <w:tblW w:w="6775" w:type="dxa"/>
        <w:jc w:val="left"/>
        <w:tblInd w:w="0" w:type="dxa"/>
        <w:tblLayout w:type="fixed"/>
        <w:tblCellMar>
          <w:top w:w="0" w:type="dxa"/>
          <w:left w:w="0" w:type="dxa"/>
          <w:bottom w:w="0" w:type="dxa"/>
          <w:right w:w="0" w:type="dxa"/>
        </w:tblCellMar>
      </w:tblPr>
      <w:tblGrid>
        <w:gridCol w:w="4085"/>
        <w:gridCol w:w="60"/>
        <w:gridCol w:w="157"/>
        <w:gridCol w:w="1063"/>
        <w:gridCol w:w="80"/>
        <w:gridCol w:w="60"/>
        <w:gridCol w:w="151"/>
        <w:gridCol w:w="1024"/>
        <w:gridCol w:w="95"/>
      </w:tblGrid>
      <w:tr>
        <w:trPr/>
        <w:tc>
          <w:tcPr>
            <w:tcW w:w="4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3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As of</w:t>
            </w:r>
          </w:p>
        </w:tc>
        <w:tc>
          <w:tcPr>
            <w:tcW w:w="95" w:type="dxa"/>
            <w:tcBorders/>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95" w:type="dxa"/>
            <w:tcBorders/>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Assets</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and due from banks</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56,071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54,114</w:t>
            </w:r>
          </w:p>
        </w:tc>
        <w:tc>
          <w:tcPr>
            <w:tcW w:w="9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Interest-bearing deposits in banks</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578,975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304,968</w:t>
            </w:r>
          </w:p>
        </w:tc>
        <w:tc>
          <w:tcPr>
            <w:tcW w:w="9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Securities available for sale</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571,138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577,240</w:t>
            </w:r>
          </w:p>
        </w:tc>
        <w:tc>
          <w:tcPr>
            <w:tcW w:w="9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Loans held for sale</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13,046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20,542</w:t>
            </w:r>
          </w:p>
        </w:tc>
        <w:tc>
          <w:tcPr>
            <w:tcW w:w="9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Loans held for investment</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3,053,503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3,055,054</w:t>
            </w:r>
          </w:p>
        </w:tc>
        <w:tc>
          <w:tcPr>
            <w:tcW w:w="9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Less:  Allowance for credit losses</w:t>
            </w:r>
          </w:p>
        </w:tc>
        <w:tc>
          <w:tcPr>
            <w:tcW w:w="60" w:type="dxa"/>
            <w:tcBorders/>
            <w:vAlign w:val="bottom"/>
          </w:tcPr>
          <w:p>
            <w:pPr>
              <w:pStyle w:val="TableContents"/>
              <w:bidi w:val="0"/>
              <w:spacing w:before="0" w:after="283"/>
              <w:jc w:val="left"/>
              <w:rPr/>
            </w:pPr>
            <w:r>
              <w:rPr/>
              <w:t> </w:t>
            </w:r>
          </w:p>
        </w:tc>
        <w:tc>
          <w:tcPr>
            <w:tcW w:w="15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(44,125</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(43,237</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loans held for investment</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3,009,378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3,011,817</w:t>
            </w:r>
          </w:p>
        </w:tc>
        <w:tc>
          <w:tcPr>
            <w:tcW w:w="9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Premises and equipment, net</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51,809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52,951</w:t>
            </w:r>
          </w:p>
        </w:tc>
        <w:tc>
          <w:tcPr>
            <w:tcW w:w="9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Goodwill</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19,315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19,315</w:t>
            </w:r>
          </w:p>
        </w:tc>
        <w:tc>
          <w:tcPr>
            <w:tcW w:w="9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Intangible assets</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1,720</w:t>
            </w:r>
          </w:p>
        </w:tc>
        <w:tc>
          <w:tcPr>
            <w:tcW w:w="9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Mortgage servicing rights</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24,458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26,292</w:t>
            </w:r>
          </w:p>
        </w:tc>
        <w:tc>
          <w:tcPr>
            <w:tcW w:w="9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assets</w:t>
            </w:r>
          </w:p>
        </w:tc>
        <w:tc>
          <w:tcPr>
            <w:tcW w:w="60" w:type="dxa"/>
            <w:tcBorders/>
            <w:vAlign w:val="bottom"/>
          </w:tcPr>
          <w:p>
            <w:pPr>
              <w:pStyle w:val="TableContents"/>
              <w:bidi w:val="0"/>
              <w:spacing w:before="0" w:after="283"/>
              <w:jc w:val="left"/>
              <w:rPr/>
            </w:pPr>
            <w:r>
              <w:rPr/>
              <w:t> </w:t>
            </w:r>
          </w:p>
        </w:tc>
        <w:tc>
          <w:tcPr>
            <w:tcW w:w="15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153,982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163,280</w:t>
            </w:r>
          </w:p>
        </w:tc>
        <w:tc>
          <w:tcPr>
            <w:tcW w:w="9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assets</w:t>
            </w:r>
          </w:p>
        </w:tc>
        <w:tc>
          <w:tcPr>
            <w:tcW w:w="60" w:type="dxa"/>
            <w:tcBorders/>
            <w:shd w:fill="CCEEFF" w:val="clear"/>
            <w:vAlign w:val="bottom"/>
          </w:tcPr>
          <w:p>
            <w:pPr>
              <w:pStyle w:val="TableContents"/>
              <w:bidi w:val="0"/>
              <w:spacing w:before="0" w:after="283"/>
              <w:jc w:val="left"/>
              <w:rPr/>
            </w:pPr>
            <w:r>
              <w:rPr/>
              <w:t> </w:t>
            </w:r>
          </w:p>
        </w:tc>
        <w:tc>
          <w:tcPr>
            <w:tcW w:w="15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4,479,437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4,232,239</w:t>
            </w:r>
          </w:p>
        </w:tc>
        <w:tc>
          <w:tcPr>
            <w:tcW w:w="9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Liabilities and Stockholders’ Equity</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Noninterest-bearing deposits</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1,049,501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935,510</w:t>
            </w:r>
          </w:p>
        </w:tc>
        <w:tc>
          <w:tcPr>
            <w:tcW w:w="9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Interest-bearing deposits</w:t>
            </w:r>
          </w:p>
        </w:tc>
        <w:tc>
          <w:tcPr>
            <w:tcW w:w="60" w:type="dxa"/>
            <w:tcBorders/>
            <w:shd w:fill="CCEEFF" w:val="clear"/>
            <w:vAlign w:val="bottom"/>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2,831,642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2,685,366</w:t>
            </w:r>
          </w:p>
        </w:tc>
        <w:tc>
          <w:tcPr>
            <w:tcW w:w="9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deposits</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3,881,143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3,620,876</w:t>
            </w:r>
          </w:p>
        </w:tc>
        <w:tc>
          <w:tcPr>
            <w:tcW w:w="9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Short-term borrowings</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Subordinated debt</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63,961</w:t>
            </w:r>
          </w:p>
        </w:tc>
        <w:tc>
          <w:tcPr>
            <w:tcW w:w="9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Junior subordinated deferrable interest debentures</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46,393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46,393</w:t>
            </w:r>
          </w:p>
        </w:tc>
        <w:tc>
          <w:tcPr>
            <w:tcW w:w="9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liabilities</w:t>
            </w:r>
          </w:p>
        </w:tc>
        <w:tc>
          <w:tcPr>
            <w:tcW w:w="60" w:type="dxa"/>
            <w:tcBorders/>
            <w:vAlign w:val="bottom"/>
          </w:tcPr>
          <w:p>
            <w:pPr>
              <w:pStyle w:val="TableContents"/>
              <w:bidi w:val="0"/>
              <w:spacing w:before="0" w:after="283"/>
              <w:jc w:val="left"/>
              <w:rPr/>
            </w:pPr>
            <w:r>
              <w:rPr/>
              <w:t> </w:t>
            </w:r>
          </w:p>
        </w:tc>
        <w:tc>
          <w:tcPr>
            <w:tcW w:w="15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59,999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62,060</w:t>
            </w:r>
          </w:p>
        </w:tc>
        <w:tc>
          <w:tcPr>
            <w:tcW w:w="9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liabilities</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4,001,635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3,793,290</w:t>
            </w:r>
          </w:p>
        </w:tc>
        <w:tc>
          <w:tcPr>
            <w:tcW w:w="9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Stockholders’ Equity</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Common stock</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16,248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16,456</w:t>
            </w:r>
          </w:p>
        </w:tc>
        <w:tc>
          <w:tcPr>
            <w:tcW w:w="9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Additional paid-in capital</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91,116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97,287</w:t>
            </w:r>
          </w:p>
        </w:tc>
        <w:tc>
          <w:tcPr>
            <w:tcW w:w="9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Retained earnings</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421,542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385,827</w:t>
            </w:r>
          </w:p>
        </w:tc>
        <w:tc>
          <w:tcPr>
            <w:tcW w:w="9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Accumulated other comprehensive income (loss)</w:t>
            </w:r>
          </w:p>
        </w:tc>
        <w:tc>
          <w:tcPr>
            <w:tcW w:w="60" w:type="dxa"/>
            <w:tcBorders/>
            <w:vAlign w:val="bottom"/>
          </w:tcPr>
          <w:p>
            <w:pPr>
              <w:pStyle w:val="TableContents"/>
              <w:bidi w:val="0"/>
              <w:spacing w:before="0" w:after="283"/>
              <w:jc w:val="left"/>
              <w:rPr/>
            </w:pPr>
            <w:r>
              <w:rPr/>
              <w:t> </w:t>
            </w:r>
          </w:p>
        </w:tc>
        <w:tc>
          <w:tcPr>
            <w:tcW w:w="15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(51,104</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(60,621</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8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stockholders’ equity</w:t>
            </w:r>
          </w:p>
        </w:tc>
        <w:tc>
          <w:tcPr>
            <w:tcW w:w="60" w:type="dxa"/>
            <w:tcBorders/>
            <w:shd w:fill="CCEEFF" w:val="clear"/>
            <w:vAlign w:val="bottom"/>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477,802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438,949</w:t>
            </w:r>
          </w:p>
        </w:tc>
        <w:tc>
          <w:tcPr>
            <w:tcW w:w="9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liabilities and stockholders’ equity</w:t>
            </w:r>
          </w:p>
        </w:tc>
        <w:tc>
          <w:tcPr>
            <w:tcW w:w="60" w:type="dxa"/>
            <w:tcBorders/>
            <w:vAlign w:val="bottom"/>
          </w:tcPr>
          <w:p>
            <w:pPr>
              <w:pStyle w:val="TableContents"/>
              <w:bidi w:val="0"/>
              <w:spacing w:before="0" w:after="283"/>
              <w:jc w:val="left"/>
              <w:rPr/>
            </w:pPr>
            <w:r>
              <w:rPr/>
              <w:t> </w:t>
            </w:r>
          </w:p>
        </w:tc>
        <w:tc>
          <w:tcPr>
            <w:tcW w:w="15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4,479,437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4,232,239</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Consolidated Statements of Income</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2" w:name="z1c250347f9df4af2b2d3710f6410b19a"/>
      <w:bookmarkStart w:id="43" w:name="z1c250347f9df4af2b2d3710f6410b19a"/>
      <w:bookmarkEnd w:id="43"/>
    </w:p>
    <w:tbl>
      <w:tblPr>
        <w:tblW w:w="9538" w:type="dxa"/>
        <w:jc w:val="left"/>
        <w:tblInd w:w="0" w:type="dxa"/>
        <w:tblLayout w:type="fixed"/>
        <w:tblCellMar>
          <w:top w:w="0" w:type="dxa"/>
          <w:left w:w="0" w:type="dxa"/>
          <w:bottom w:w="0" w:type="dxa"/>
          <w:right w:w="0" w:type="dxa"/>
        </w:tblCellMar>
      </w:tblPr>
      <w:tblGrid>
        <w:gridCol w:w="4145"/>
        <w:gridCol w:w="60"/>
        <w:gridCol w:w="213"/>
        <w:gridCol w:w="1007"/>
        <w:gridCol w:w="69"/>
        <w:gridCol w:w="69"/>
        <w:gridCol w:w="213"/>
        <w:gridCol w:w="1007"/>
        <w:gridCol w:w="60"/>
        <w:gridCol w:w="60"/>
        <w:gridCol w:w="185"/>
        <w:gridCol w:w="1035"/>
        <w:gridCol w:w="60"/>
        <w:gridCol w:w="60"/>
        <w:gridCol w:w="185"/>
        <w:gridCol w:w="1035"/>
        <w:gridCol w:w="75"/>
      </w:tblGrid>
      <w:tr>
        <w:trPr/>
        <w:tc>
          <w:tcPr>
            <w:tcW w:w="4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78"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Nine Months Ended</w:t>
            </w:r>
          </w:p>
        </w:tc>
        <w:tc>
          <w:tcPr>
            <w:tcW w:w="75" w:type="dxa"/>
            <w:tcBorders/>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75" w:type="dxa"/>
            <w:tcBorders/>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Interest income:</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Loans, including fees</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0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53,928</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0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51,505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158,384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151,008</w:t>
            </w:r>
          </w:p>
        </w:tc>
        <w:tc>
          <w:tcPr>
            <w:tcW w:w="75"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w:t>
            </w:r>
          </w:p>
        </w:tc>
        <w:tc>
          <w:tcPr>
            <w:tcW w:w="60" w:type="dxa"/>
            <w:tcBorders/>
            <w:vAlign w:val="bottom"/>
          </w:tcPr>
          <w:p>
            <w:pPr>
              <w:pStyle w:val="TableContents"/>
              <w:bidi w:val="0"/>
              <w:spacing w:before="0" w:after="283"/>
              <w:jc w:val="lef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10,592</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30,193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28,567</w:t>
            </w:r>
          </w:p>
        </w:tc>
        <w:tc>
          <w:tcPr>
            <w:tcW w:w="75"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interest income</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64,520</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61,640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188,577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179,575</w:t>
            </w:r>
          </w:p>
        </w:tc>
        <w:tc>
          <w:tcPr>
            <w:tcW w:w="75"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Interest expense:</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Deposits</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19,925</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22,653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59,814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65,945</w:t>
            </w:r>
          </w:p>
        </w:tc>
        <w:tc>
          <w:tcPr>
            <w:tcW w:w="75"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Subordinated debt</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835</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2,505</w:t>
            </w:r>
          </w:p>
        </w:tc>
        <w:tc>
          <w:tcPr>
            <w:tcW w:w="75"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Junior subordinated deferrable interest debentures</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741</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2,575</w:t>
            </w:r>
          </w:p>
        </w:tc>
        <w:tc>
          <w:tcPr>
            <w:tcW w:w="75"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w:t>
            </w:r>
          </w:p>
        </w:tc>
        <w:tc>
          <w:tcPr>
            <w:tcW w:w="60" w:type="dxa"/>
            <w:tcBorders/>
            <w:vAlign w:val="bottom"/>
          </w:tcPr>
          <w:p>
            <w:pPr>
              <w:pStyle w:val="TableContents"/>
              <w:bidi w:val="0"/>
              <w:spacing w:before="0" w:after="283"/>
              <w:jc w:val="lef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75"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interest expense</w:t>
            </w:r>
          </w:p>
        </w:tc>
        <w:tc>
          <w:tcPr>
            <w:tcW w:w="60" w:type="dxa"/>
            <w:tcBorders/>
            <w:shd w:fill="CCEEFF" w:val="clear"/>
            <w:vAlign w:val="bottom"/>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21,501</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24,346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64,528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71,025</w:t>
            </w:r>
          </w:p>
        </w:tc>
        <w:tc>
          <w:tcPr>
            <w:tcW w:w="75"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interest income</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43,019</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37,294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124,049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108,550</w:t>
            </w:r>
          </w:p>
        </w:tc>
        <w:tc>
          <w:tcPr>
            <w:tcW w:w="75"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Provision for credit losses</w:t>
            </w:r>
          </w:p>
        </w:tc>
        <w:tc>
          <w:tcPr>
            <w:tcW w:w="60" w:type="dxa"/>
            <w:tcBorders/>
            <w:shd w:fill="CCEEFF" w:val="clear"/>
            <w:vAlign w:val="bottom"/>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500</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3,100</w:t>
            </w:r>
          </w:p>
        </w:tc>
        <w:tc>
          <w:tcPr>
            <w:tcW w:w="75"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interest income after provision for credit losses</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42,519</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36,799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120,629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105,450</w:t>
            </w:r>
          </w:p>
        </w:tc>
        <w:tc>
          <w:tcPr>
            <w:tcW w:w="75"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Noninterest income:</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Service charges on deposits</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2,266</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5,785</w:t>
            </w:r>
          </w:p>
        </w:tc>
        <w:tc>
          <w:tcPr>
            <w:tcW w:w="75"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Mortgage banking activities</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2,575</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9,232</w:t>
            </w:r>
          </w:p>
        </w:tc>
        <w:tc>
          <w:tcPr>
            <w:tcW w:w="75"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Bank card services and interchange fees</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3,403</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10,553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10,415</w:t>
            </w:r>
          </w:p>
        </w:tc>
        <w:tc>
          <w:tcPr>
            <w:tcW w:w="75"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w:t>
            </w:r>
          </w:p>
        </w:tc>
        <w:tc>
          <w:tcPr>
            <w:tcW w:w="60" w:type="dxa"/>
            <w:tcBorders/>
            <w:shd w:fill="CCEEFF" w:val="clear"/>
            <w:vAlign w:val="bottom"/>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2,921</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9,321</w:t>
            </w:r>
          </w:p>
        </w:tc>
        <w:tc>
          <w:tcPr>
            <w:tcW w:w="75"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noninterest income</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11,165</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33,955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34,753</w:t>
            </w:r>
          </w:p>
        </w:tc>
        <w:tc>
          <w:tcPr>
            <w:tcW w:w="75"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Noninterest expense:</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Salaries and employee benefits</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19,413</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58,562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56,954</w:t>
            </w:r>
          </w:p>
        </w:tc>
        <w:tc>
          <w:tcPr>
            <w:tcW w:w="75"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occupancy expense</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4,046</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12,204</w:t>
            </w:r>
          </w:p>
        </w:tc>
        <w:tc>
          <w:tcPr>
            <w:tcW w:w="75"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Professional services</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1,293</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5,028</w:t>
            </w:r>
          </w:p>
        </w:tc>
        <w:tc>
          <w:tcPr>
            <w:tcW w:w="75"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Marketing and development</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979</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2,629</w:t>
            </w:r>
          </w:p>
        </w:tc>
        <w:tc>
          <w:tcPr>
            <w:tcW w:w="75"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w:t>
            </w:r>
          </w:p>
        </w:tc>
        <w:tc>
          <w:tcPr>
            <w:tcW w:w="60" w:type="dxa"/>
            <w:tcBorders/>
            <w:vAlign w:val="bottom"/>
          </w:tcPr>
          <w:p>
            <w:pPr>
              <w:pStyle w:val="TableContents"/>
              <w:bidi w:val="0"/>
              <w:spacing w:before="0" w:after="283"/>
              <w:jc w:val="lef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7,293</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21,290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20,815</w:t>
            </w:r>
          </w:p>
        </w:tc>
        <w:tc>
          <w:tcPr>
            <w:tcW w:w="75"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noninterest expense</w:t>
            </w:r>
          </w:p>
        </w:tc>
        <w:tc>
          <w:tcPr>
            <w:tcW w:w="60" w:type="dxa"/>
            <w:tcBorders/>
            <w:shd w:fill="CCEEFF" w:val="clear"/>
            <w:vAlign w:val="bottom"/>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33,024</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33,128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99,597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97,630</w:t>
            </w:r>
          </w:p>
        </w:tc>
        <w:tc>
          <w:tcPr>
            <w:tcW w:w="75"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Income before income taxes</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20,660</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54,987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42,573</w:t>
            </w:r>
          </w:p>
        </w:tc>
        <w:tc>
          <w:tcPr>
            <w:tcW w:w="75"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Income tax expense</w:t>
            </w:r>
          </w:p>
        </w:tc>
        <w:tc>
          <w:tcPr>
            <w:tcW w:w="60" w:type="dxa"/>
            <w:tcBorders/>
            <w:shd w:fill="CCEEFF" w:val="clear"/>
            <w:vAlign w:val="bottom"/>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4,342</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11,770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9,353</w:t>
            </w:r>
          </w:p>
        </w:tc>
        <w:tc>
          <w:tcPr>
            <w:tcW w:w="75"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Net income</w:t>
            </w:r>
          </w:p>
        </w:tc>
        <w:tc>
          <w:tcPr>
            <w:tcW w:w="60" w:type="dxa"/>
            <w:tcBorders/>
            <w:vAlign w:val="bottom"/>
          </w:tcPr>
          <w:p>
            <w:pPr>
              <w:pStyle w:val="TableContents"/>
              <w:bidi w:val="0"/>
              <w:spacing w:before="0" w:after="283"/>
              <w:jc w:val="left"/>
              <w:rPr/>
            </w:pPr>
            <w:r>
              <w:rPr/>
              <w:t> </w:t>
            </w:r>
          </w:p>
        </w:tc>
        <w:tc>
          <w:tcPr>
            <w:tcW w:w="21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0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16,318</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1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0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11,212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43,217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33,220</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Loan Composition</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4" w:name="z50ebabcafef04a9ea7cda2483b36e2df"/>
      <w:bookmarkStart w:id="45" w:name="z50ebabcafef04a9ea7cda2483b36e2df"/>
      <w:bookmarkEnd w:id="45"/>
    </w:p>
    <w:tbl>
      <w:tblPr>
        <w:tblW w:w="5310" w:type="dxa"/>
        <w:jc w:val="left"/>
        <w:tblInd w:w="0" w:type="dxa"/>
        <w:tblLayout w:type="fixed"/>
        <w:tblCellMar>
          <w:top w:w="0" w:type="dxa"/>
          <w:left w:w="0" w:type="dxa"/>
          <w:bottom w:w="0" w:type="dxa"/>
          <w:right w:w="0" w:type="dxa"/>
        </w:tblCellMar>
      </w:tblPr>
      <w:tblGrid>
        <w:gridCol w:w="2660"/>
        <w:gridCol w:w="60"/>
        <w:gridCol w:w="157"/>
        <w:gridCol w:w="1063"/>
        <w:gridCol w:w="60"/>
        <w:gridCol w:w="60"/>
        <w:gridCol w:w="151"/>
        <w:gridCol w:w="1024"/>
        <w:gridCol w:w="75"/>
      </w:tblGrid>
      <w:tr>
        <w:trPr/>
        <w:tc>
          <w:tcPr>
            <w:tcW w:w="26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As of</w:t>
            </w:r>
          </w:p>
        </w:tc>
        <w:tc>
          <w:tcPr>
            <w:tcW w:w="75" w:type="dxa"/>
            <w:tcBorders/>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75" w:type="dxa"/>
            <w:tcBorders/>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Loans:</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66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Commercial Real Estate</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1,035,903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1,119,063</w:t>
            </w:r>
          </w:p>
        </w:tc>
        <w:tc>
          <w:tcPr>
            <w:tcW w:w="75" w:type="dxa"/>
            <w:tcBorders/>
            <w:shd w:fill="CCEEFF" w:val="clear"/>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Commercial - Specialized</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377,783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388,955</w:t>
            </w:r>
          </w:p>
        </w:tc>
        <w:tc>
          <w:tcPr>
            <w:tcW w:w="75" w:type="dxa"/>
            <w:tcBorders/>
            <w:vAlign w:val="bottom"/>
          </w:tcPr>
          <w:p>
            <w:pPr>
              <w:pStyle w:val="TableContents"/>
              <w:bidi w:val="0"/>
              <w:spacing w:before="0" w:after="283"/>
              <w:jc w:val="left"/>
              <w:rPr/>
            </w:pPr>
            <w:r>
              <w:rPr/>
              <w:t> </w:t>
            </w:r>
          </w:p>
        </w:tc>
      </w:tr>
      <w:tr>
        <w:trPr/>
        <w:tc>
          <w:tcPr>
            <w:tcW w:w="266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Commercial - General</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629,256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557,371</w:t>
            </w:r>
          </w:p>
        </w:tc>
        <w:tc>
          <w:tcPr>
            <w:tcW w:w="75" w:type="dxa"/>
            <w:tcBorders/>
            <w:shd w:fill="CCEEFF" w:val="clear"/>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Consumer:</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660"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1-4 Family Residential</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592,578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566,400</w:t>
            </w:r>
          </w:p>
        </w:tc>
        <w:tc>
          <w:tcPr>
            <w:tcW w:w="75" w:type="dxa"/>
            <w:tcBorders/>
            <w:shd w:fill="CCEEFF" w:val="clear"/>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Auto Loans</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256,281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254,474</w:t>
            </w:r>
          </w:p>
        </w:tc>
        <w:tc>
          <w:tcPr>
            <w:tcW w:w="75" w:type="dxa"/>
            <w:tcBorders/>
            <w:vAlign w:val="bottom"/>
          </w:tcPr>
          <w:p>
            <w:pPr>
              <w:pStyle w:val="TableContents"/>
              <w:bidi w:val="0"/>
              <w:spacing w:before="0" w:after="283"/>
              <w:jc w:val="left"/>
              <w:rPr/>
            </w:pPr>
            <w:r>
              <w:rPr/>
              <w:t> </w:t>
            </w:r>
          </w:p>
        </w:tc>
      </w:tr>
      <w:tr>
        <w:trPr/>
        <w:tc>
          <w:tcPr>
            <w:tcW w:w="2660"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Other Consumer</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63,727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64,936</w:t>
            </w:r>
          </w:p>
        </w:tc>
        <w:tc>
          <w:tcPr>
            <w:tcW w:w="75" w:type="dxa"/>
            <w:tcBorders/>
            <w:shd w:fill="CCEEFF" w:val="clear"/>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Construction</w:t>
            </w:r>
          </w:p>
        </w:tc>
        <w:tc>
          <w:tcPr>
            <w:tcW w:w="60" w:type="dxa"/>
            <w:tcBorders/>
            <w:vAlign w:val="bottom"/>
          </w:tcPr>
          <w:p>
            <w:pPr>
              <w:pStyle w:val="TableContents"/>
              <w:bidi w:val="0"/>
              <w:spacing w:before="0" w:after="283"/>
              <w:jc w:val="left"/>
              <w:rPr/>
            </w:pPr>
            <w:r>
              <w:rPr/>
              <w:t> </w:t>
            </w:r>
          </w:p>
        </w:tc>
        <w:tc>
          <w:tcPr>
            <w:tcW w:w="15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97,952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103,855</w:t>
            </w:r>
          </w:p>
        </w:tc>
        <w:tc>
          <w:tcPr>
            <w:tcW w:w="75" w:type="dxa"/>
            <w:tcBorders/>
            <w:vAlign w:val="bottom"/>
          </w:tcPr>
          <w:p>
            <w:pPr>
              <w:pStyle w:val="TableContents"/>
              <w:bidi w:val="0"/>
              <w:spacing w:before="0" w:after="283"/>
              <w:jc w:val="left"/>
              <w:rPr/>
            </w:pPr>
            <w:r>
              <w:rPr/>
              <w:t> </w:t>
            </w:r>
          </w:p>
        </w:tc>
      </w:tr>
      <w:tr>
        <w:trPr/>
        <w:tc>
          <w:tcPr>
            <w:tcW w:w="266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Total loans held for investment</w:t>
            </w:r>
          </w:p>
        </w:tc>
        <w:tc>
          <w:tcPr>
            <w:tcW w:w="60" w:type="dxa"/>
            <w:tcBorders/>
            <w:shd w:fill="CCEEFF" w:val="clear"/>
            <w:vAlign w:val="bottom"/>
          </w:tcPr>
          <w:p>
            <w:pPr>
              <w:pStyle w:val="TableContents"/>
              <w:bidi w:val="0"/>
              <w:spacing w:before="0" w:after="283"/>
              <w:jc w:val="left"/>
              <w:rPr/>
            </w:pPr>
            <w:r>
              <w:rPr/>
              <w:t> </w:t>
            </w:r>
          </w:p>
        </w:tc>
        <w:tc>
          <w:tcPr>
            <w:tcW w:w="15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3,053,480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3,055,054</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Deposit Composition</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6" w:name="z8159fb7cff8c4bf6ad3e9c6d90c3dc4e"/>
      <w:bookmarkStart w:id="47" w:name="z8159fb7cff8c4bf6ad3e9c6d90c3dc4e"/>
      <w:bookmarkEnd w:id="47"/>
    </w:p>
    <w:tbl>
      <w:tblPr>
        <w:tblW w:w="5505" w:type="dxa"/>
        <w:jc w:val="left"/>
        <w:tblInd w:w="0" w:type="dxa"/>
        <w:tblLayout w:type="fixed"/>
        <w:tblCellMar>
          <w:top w:w="0" w:type="dxa"/>
          <w:left w:w="0" w:type="dxa"/>
          <w:bottom w:w="0" w:type="dxa"/>
          <w:right w:w="0" w:type="dxa"/>
        </w:tblCellMar>
      </w:tblPr>
      <w:tblGrid>
        <w:gridCol w:w="2855"/>
        <w:gridCol w:w="60"/>
        <w:gridCol w:w="157"/>
        <w:gridCol w:w="1063"/>
        <w:gridCol w:w="60"/>
        <w:gridCol w:w="60"/>
        <w:gridCol w:w="151"/>
        <w:gridCol w:w="1024"/>
        <w:gridCol w:w="75"/>
      </w:tblGrid>
      <w:tr>
        <w:trPr/>
        <w:tc>
          <w:tcPr>
            <w:tcW w:w="2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As of</w:t>
            </w:r>
          </w:p>
        </w:tc>
        <w:tc>
          <w:tcPr>
            <w:tcW w:w="75" w:type="dxa"/>
            <w:tcBorders/>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75" w:type="dxa"/>
            <w:tcBorders/>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Deposits:</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Noninterest-bearing deposits</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1,049,501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935,510</w:t>
            </w:r>
          </w:p>
        </w:tc>
        <w:tc>
          <w:tcPr>
            <w:tcW w:w="75" w:type="dxa"/>
            <w:tcBorders/>
            <w:shd w:fill="CCEEFF" w:val="clear"/>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NOW &amp; other transaction accounts</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1,291,756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498,718</w:t>
            </w:r>
          </w:p>
        </w:tc>
        <w:tc>
          <w:tcPr>
            <w:tcW w:w="75"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MMDA &amp; other savings</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1,114,945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1,741,988</w:t>
            </w:r>
          </w:p>
        </w:tc>
        <w:tc>
          <w:tcPr>
            <w:tcW w:w="75" w:type="dxa"/>
            <w:tcBorders/>
            <w:shd w:fill="CCEEFF" w:val="clear"/>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Time deposits</w:t>
            </w:r>
          </w:p>
        </w:tc>
        <w:tc>
          <w:tcPr>
            <w:tcW w:w="60" w:type="dxa"/>
            <w:tcBorders/>
            <w:vAlign w:val="bottom"/>
          </w:tcPr>
          <w:p>
            <w:pPr>
              <w:pStyle w:val="TableContents"/>
              <w:bidi w:val="0"/>
              <w:spacing w:before="0" w:after="283"/>
              <w:jc w:val="left"/>
              <w:rPr/>
            </w:pPr>
            <w:r>
              <w:rPr/>
              <w:t> </w:t>
            </w:r>
          </w:p>
        </w:tc>
        <w:tc>
          <w:tcPr>
            <w:tcW w:w="15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424,941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444,660</w:t>
            </w:r>
          </w:p>
        </w:tc>
        <w:tc>
          <w:tcPr>
            <w:tcW w:w="75"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Total deposits</w:t>
            </w:r>
          </w:p>
        </w:tc>
        <w:tc>
          <w:tcPr>
            <w:tcW w:w="60" w:type="dxa"/>
            <w:tcBorders/>
            <w:shd w:fill="CCEEFF" w:val="clear"/>
            <w:vAlign w:val="bottom"/>
          </w:tcPr>
          <w:p>
            <w:pPr>
              <w:pStyle w:val="TableContents"/>
              <w:bidi w:val="0"/>
              <w:spacing w:before="0" w:after="283"/>
              <w:jc w:val="left"/>
              <w:rPr/>
            </w:pPr>
            <w:r>
              <w:rPr/>
              <w:t> </w:t>
            </w:r>
          </w:p>
        </w:tc>
        <w:tc>
          <w:tcPr>
            <w:tcW w:w="15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3,881,143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3,620,876</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Reconciliation of Non-GAAP Financial Measures (Unaudited)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8" w:name="z51c013af008042e68a75ef88d7fdb05a"/>
      <w:bookmarkStart w:id="49" w:name="z51c013af008042e68a75ef88d7fdb05a"/>
      <w:bookmarkEnd w:id="49"/>
    </w:p>
    <w:tbl>
      <w:tblPr>
        <w:tblW w:w="8415" w:type="dxa"/>
        <w:jc w:val="left"/>
        <w:tblInd w:w="0" w:type="dxa"/>
        <w:tblLayout w:type="fixed"/>
        <w:tblCellMar>
          <w:top w:w="0" w:type="dxa"/>
          <w:left w:w="0" w:type="dxa"/>
          <w:bottom w:w="0" w:type="dxa"/>
          <w:right w:w="0" w:type="dxa"/>
        </w:tblCellMar>
      </w:tblPr>
      <w:tblGrid>
        <w:gridCol w:w="2570"/>
        <w:gridCol w:w="60"/>
        <w:gridCol w:w="213"/>
        <w:gridCol w:w="1007"/>
        <w:gridCol w:w="60"/>
        <w:gridCol w:w="60"/>
        <w:gridCol w:w="126"/>
        <w:gridCol w:w="599"/>
        <w:gridCol w:w="60"/>
        <w:gridCol w:w="60"/>
        <w:gridCol w:w="155"/>
        <w:gridCol w:w="735"/>
        <w:gridCol w:w="60"/>
        <w:gridCol w:w="60"/>
        <w:gridCol w:w="205"/>
        <w:gridCol w:w="970"/>
        <w:gridCol w:w="60"/>
        <w:gridCol w:w="60"/>
        <w:gridCol w:w="213"/>
        <w:gridCol w:w="1007"/>
        <w:gridCol w:w="75"/>
      </w:tblGrid>
      <w:tr>
        <w:trPr/>
        <w:tc>
          <w:tcPr>
            <w:tcW w:w="25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10" w:type="dxa"/>
            <w:gridSpan w:val="18"/>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 the quarter ended</w:t>
            </w:r>
          </w:p>
        </w:tc>
        <w:tc>
          <w:tcPr>
            <w:tcW w:w="75" w:type="dxa"/>
            <w:tcBorders/>
            <w:vAlign w:val="bottom"/>
          </w:tcPr>
          <w:p>
            <w:pPr>
              <w:pStyle w:val="TableContents"/>
              <w:bidi w:val="0"/>
              <w:spacing w:before="0" w:after="283"/>
              <w:jc w:val="left"/>
              <w:rPr/>
            </w:pPr>
            <w:r>
              <w:rPr/>
              <w:t> </w:t>
            </w:r>
          </w:p>
        </w:tc>
      </w:tr>
      <w:tr>
        <w:trPr/>
        <w:tc>
          <w:tcPr>
            <w:tcW w:w="25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75" w:type="dxa"/>
            <w:tcBorders/>
            <w:vAlign w:val="bottom"/>
          </w:tcPr>
          <w:p>
            <w:pPr>
              <w:pStyle w:val="TableContents"/>
              <w:bidi w:val="0"/>
              <w:spacing w:before="0" w:after="283"/>
              <w:jc w:val="left"/>
              <w:rPr/>
            </w:pPr>
            <w:r>
              <w:rPr/>
              <w:t> </w:t>
            </w:r>
          </w:p>
        </w:tc>
      </w:tr>
      <w:tr>
        <w:trPr/>
        <w:tc>
          <w:tcPr>
            <w:tcW w:w="257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Pre-tax, pre-provision income</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5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income</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0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16,318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14,605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12,294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16,497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0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11,212</w:t>
            </w:r>
          </w:p>
        </w:tc>
        <w:tc>
          <w:tcPr>
            <w:tcW w:w="75" w:type="dxa"/>
            <w:tcBorders/>
            <w:shd w:fill="CCEEFF" w:val="clear"/>
            <w:vAlign w:val="bottom"/>
          </w:tcPr>
          <w:p>
            <w:pPr>
              <w:pStyle w:val="TableContents"/>
              <w:bidi w:val="0"/>
              <w:spacing w:before="0" w:after="283"/>
              <w:jc w:val="left"/>
              <w:rPr/>
            </w:pPr>
            <w:r>
              <w:rPr/>
              <w:t> </w:t>
            </w:r>
          </w:p>
        </w:tc>
      </w:tr>
      <w:tr>
        <w:trPr/>
        <w:tc>
          <w:tcPr>
            <w:tcW w:w="25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Income tax expense</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3,094</w:t>
            </w:r>
          </w:p>
        </w:tc>
        <w:tc>
          <w:tcPr>
            <w:tcW w:w="75" w:type="dxa"/>
            <w:tcBorders/>
            <w:vAlign w:val="bottom"/>
          </w:tcPr>
          <w:p>
            <w:pPr>
              <w:pStyle w:val="TableContents"/>
              <w:bidi w:val="0"/>
              <w:spacing w:before="0" w:after="283"/>
              <w:jc w:val="left"/>
              <w:rPr/>
            </w:pPr>
            <w:r>
              <w:rPr/>
              <w:t> </w:t>
            </w:r>
          </w:p>
        </w:tc>
      </w:tr>
      <w:tr>
        <w:trPr/>
        <w:tc>
          <w:tcPr>
            <w:tcW w:w="25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Provision for credit losses</w:t>
            </w:r>
          </w:p>
        </w:tc>
        <w:tc>
          <w:tcPr>
            <w:tcW w:w="60" w:type="dxa"/>
            <w:tcBorders/>
            <w:shd w:fill="CCEEFF" w:val="clear"/>
            <w:vAlign w:val="bottom"/>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495</w:t>
            </w:r>
          </w:p>
        </w:tc>
        <w:tc>
          <w:tcPr>
            <w:tcW w:w="75" w:type="dxa"/>
            <w:tcBorders/>
            <w:shd w:fill="CCEEFF" w:val="clear"/>
            <w:vAlign w:val="bottom"/>
          </w:tcPr>
          <w:p>
            <w:pPr>
              <w:pStyle w:val="TableContents"/>
              <w:bidi w:val="0"/>
              <w:spacing w:before="0" w:after="283"/>
              <w:jc w:val="left"/>
              <w:rPr/>
            </w:pPr>
            <w:r>
              <w:rPr/>
              <w:t> </w:t>
            </w:r>
          </w:p>
        </w:tc>
      </w:tr>
      <w:tr>
        <w:trPr/>
        <w:tc>
          <w:tcPr>
            <w:tcW w:w="25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5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Pre-tax, pre-provision income</w:t>
            </w:r>
          </w:p>
        </w:tc>
        <w:tc>
          <w:tcPr>
            <w:tcW w:w="60" w:type="dxa"/>
            <w:tcBorders/>
            <w:shd w:fill="CCEEFF" w:val="clear"/>
            <w:vAlign w:val="bottom"/>
          </w:tcPr>
          <w:p>
            <w:pPr>
              <w:pStyle w:val="TableContents"/>
              <w:bidi w:val="0"/>
              <w:spacing w:before="0" w:after="283"/>
              <w:jc w:val="left"/>
              <w:rPr/>
            </w:pPr>
            <w:r>
              <w:rPr/>
              <w:t> </w:t>
            </w:r>
          </w:p>
        </w:tc>
        <w:tc>
          <w:tcPr>
            <w:tcW w:w="21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0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3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16,122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21,919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0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14,801</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50" w:name="z3028193808464371a3729f7a87b96e51"/>
      <w:bookmarkStart w:id="51" w:name="z3028193808464371a3729f7a87b96e51"/>
      <w:bookmarkEnd w:id="51"/>
    </w:p>
    <w:tbl>
      <w:tblPr>
        <w:tblW w:w="10055" w:type="dxa"/>
        <w:jc w:val="left"/>
        <w:tblInd w:w="0" w:type="dxa"/>
        <w:tblLayout w:type="fixed"/>
        <w:tblCellMar>
          <w:top w:w="0" w:type="dxa"/>
          <w:left w:w="0" w:type="dxa"/>
          <w:bottom w:w="0" w:type="dxa"/>
          <w:right w:w="0" w:type="dxa"/>
        </w:tblCellMar>
      </w:tblPr>
      <w:tblGrid>
        <w:gridCol w:w="3530"/>
        <w:gridCol w:w="60"/>
        <w:gridCol w:w="141"/>
        <w:gridCol w:w="1079"/>
        <w:gridCol w:w="80"/>
        <w:gridCol w:w="60"/>
        <w:gridCol w:w="125"/>
        <w:gridCol w:w="950"/>
        <w:gridCol w:w="80"/>
        <w:gridCol w:w="60"/>
        <w:gridCol w:w="125"/>
        <w:gridCol w:w="995"/>
        <w:gridCol w:w="80"/>
        <w:gridCol w:w="60"/>
        <w:gridCol w:w="131"/>
        <w:gridCol w:w="1044"/>
        <w:gridCol w:w="80"/>
        <w:gridCol w:w="60"/>
        <w:gridCol w:w="136"/>
        <w:gridCol w:w="1084"/>
        <w:gridCol w:w="95"/>
      </w:tblGrid>
      <w:tr>
        <w:trPr/>
        <w:tc>
          <w:tcPr>
            <w:tcW w:w="35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70" w:type="dxa"/>
            <w:gridSpan w:val="18"/>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As of</w:t>
            </w:r>
          </w:p>
        </w:tc>
        <w:tc>
          <w:tcPr>
            <w:tcW w:w="95" w:type="dxa"/>
            <w:tcBorders/>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95" w:type="dxa"/>
            <w:tcBorders/>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Tangible common equity</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53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common stockholders’ equity</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477,802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454,074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$ 443,743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4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$ 438,949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$ 443,122</w:t>
            </w:r>
          </w:p>
        </w:tc>
        <w:tc>
          <w:tcPr>
            <w:tcW w:w="95" w:type="dxa"/>
            <w:tcBorders/>
            <w:shd w:fill="CCEEFF" w:val="clear"/>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Less:  goodwill and other intangibles</w:t>
            </w:r>
          </w:p>
        </w:tc>
        <w:tc>
          <w:tcPr>
            <w:tcW w:w="60" w:type="dxa"/>
            <w:tcBorders/>
            <w:vAlign w:val="bottom"/>
          </w:tcPr>
          <w:p>
            <w:pPr>
              <w:pStyle w:val="TableContents"/>
              <w:bidi w:val="0"/>
              <w:spacing w:before="0" w:after="283"/>
              <w:jc w:val="lef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(20,580</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(20,732</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(20,884</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(21,035</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(21,197</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5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Tangible common equity</w:t>
            </w:r>
          </w:p>
        </w:tc>
        <w:tc>
          <w:tcPr>
            <w:tcW w:w="60" w:type="dxa"/>
            <w:tcBorders/>
            <w:vAlign w:val="bottom"/>
          </w:tcPr>
          <w:p>
            <w:pPr>
              <w:pStyle w:val="TableContents"/>
              <w:bidi w:val="0"/>
              <w:spacing w:before="0" w:after="283"/>
              <w:jc w:val="left"/>
              <w:rPr/>
            </w:pPr>
            <w:r>
              <w:rPr/>
              <w:t> </w:t>
            </w:r>
          </w:p>
        </w:tc>
        <w:tc>
          <w:tcPr>
            <w:tcW w:w="14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457,222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433,342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$ 422,859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4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$ 417,914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$ 421,925</w:t>
            </w:r>
          </w:p>
        </w:tc>
        <w:tc>
          <w:tcPr>
            <w:tcW w:w="95" w:type="dxa"/>
            <w:tcBorders/>
            <w:vAlign w:val="bottom"/>
          </w:tcPr>
          <w:p>
            <w:pPr>
              <w:pStyle w:val="TableContents"/>
              <w:bidi w:val="0"/>
              <w:spacing w:before="0" w:after="283"/>
              <w:jc w:val="left"/>
              <w:rPr/>
            </w:pPr>
            <w:r>
              <w:rPr/>
              <w:t> </w:t>
            </w:r>
          </w:p>
        </w:tc>
      </w:tr>
      <w:tr>
        <w:trPr/>
        <w:tc>
          <w:tcPr>
            <w:tcW w:w="35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Tangible assets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53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assets</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4,479,437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4,363,674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$ 4,405,209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4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$ 4,232,239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$ 4,337,659</w:t>
            </w:r>
          </w:p>
        </w:tc>
        <w:tc>
          <w:tcPr>
            <w:tcW w:w="95" w:type="dxa"/>
            <w:tcBorders/>
            <w:shd w:fill="CCEEFF" w:val="clear"/>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Less:  goodwill and other intangibles</w:t>
            </w:r>
          </w:p>
        </w:tc>
        <w:tc>
          <w:tcPr>
            <w:tcW w:w="60" w:type="dxa"/>
            <w:tcBorders/>
            <w:vAlign w:val="bottom"/>
          </w:tcPr>
          <w:p>
            <w:pPr>
              <w:pStyle w:val="TableContents"/>
              <w:bidi w:val="0"/>
              <w:spacing w:before="0" w:after="283"/>
              <w:jc w:val="lef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(20,580</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(20,732</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(20,884</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(21,035</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(21,197</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5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Tangible assets</w:t>
            </w:r>
          </w:p>
        </w:tc>
        <w:tc>
          <w:tcPr>
            <w:tcW w:w="60" w:type="dxa"/>
            <w:tcBorders/>
            <w:vAlign w:val="bottom"/>
          </w:tcPr>
          <w:p>
            <w:pPr>
              <w:pStyle w:val="TableContents"/>
              <w:bidi w:val="0"/>
              <w:spacing w:before="0" w:after="283"/>
              <w:jc w:val="left"/>
              <w:rPr/>
            </w:pPr>
            <w:r>
              <w:rPr/>
              <w:t> </w:t>
            </w:r>
          </w:p>
        </w:tc>
        <w:tc>
          <w:tcPr>
            <w:tcW w:w="14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4,458,857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4,342,942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$ 4,384,325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4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$ 4,211,204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$ 4,316,462</w:t>
            </w:r>
          </w:p>
        </w:tc>
        <w:tc>
          <w:tcPr>
            <w:tcW w:w="95" w:type="dxa"/>
            <w:tcBorders/>
            <w:vAlign w:val="bottom"/>
          </w:tcPr>
          <w:p>
            <w:pPr>
              <w:pStyle w:val="TableContents"/>
              <w:bidi w:val="0"/>
              <w:spacing w:before="0" w:after="283"/>
              <w:jc w:val="left"/>
              <w:rPr/>
            </w:pPr>
            <w:r>
              <w:rPr/>
              <w:t> </w:t>
            </w:r>
          </w:p>
        </w:tc>
      </w:tr>
      <w:tr>
        <w:trPr/>
        <w:tc>
          <w:tcPr>
            <w:tcW w:w="35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Shares outstanding</w:t>
            </w:r>
          </w:p>
        </w:tc>
        <w:tc>
          <w:tcPr>
            <w:tcW w:w="60" w:type="dxa"/>
            <w:tcBorders/>
            <w:vAlign w:val="bottom"/>
          </w:tcPr>
          <w:p>
            <w:pPr>
              <w:pStyle w:val="TableContents"/>
              <w:bidi w:val="0"/>
              <w:spacing w:before="0" w:after="283"/>
              <w:jc w:val="left"/>
              <w:rPr/>
            </w:pPr>
            <w:r>
              <w:rPr/>
              <w:t> </w:t>
            </w:r>
          </w:p>
        </w:tc>
        <w:tc>
          <w:tcPr>
            <w:tcW w:w="141" w:type="dxa"/>
            <w:tcBorders>
              <w:bottom w:val="double" w:sz="8" w:space="0" w:color="000000"/>
            </w:tcBorders>
            <w:tcMar>
              <w:bottom w:w="28" w:type="dxa"/>
            </w:tcMar>
            <w:vAlign w:val="bottom"/>
          </w:tcPr>
          <w:p>
            <w:pPr>
              <w:pStyle w:val="TableContents"/>
              <w:bidi w:val="0"/>
              <w:spacing w:before="0" w:after="283"/>
              <w:jc w:val="left"/>
              <w:rPr/>
            </w:pPr>
            <w:r>
              <w:rPr/>
              <w:t> </w:t>
            </w:r>
          </w:p>
        </w:tc>
        <w:tc>
          <w:tcPr>
            <w:tcW w:w="107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16,247,839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9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16,230,475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9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16,235,647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bottom w:val="double" w:sz="8" w:space="0" w:color="000000"/>
            </w:tcBorders>
            <w:tcMar>
              <w:bottom w:w="28" w:type="dxa"/>
            </w:tcMar>
            <w:vAlign w:val="bottom"/>
          </w:tcPr>
          <w:p>
            <w:pPr>
              <w:pStyle w:val="TableContents"/>
              <w:bidi w:val="0"/>
              <w:spacing w:before="0" w:after="283"/>
              <w:jc w:val="left"/>
              <w:rPr/>
            </w:pPr>
            <w:r>
              <w:rPr/>
              <w:t> </w:t>
            </w:r>
          </w:p>
        </w:tc>
        <w:tc>
          <w:tcPr>
            <w:tcW w:w="104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16,455,826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bottom w:val="double" w:sz="8" w:space="0" w:color="000000"/>
            </w:tcBorders>
            <w:tcMar>
              <w:bottom w:w="28" w:type="dxa"/>
            </w:tcMar>
            <w:vAlign w:val="bottom"/>
          </w:tcPr>
          <w:p>
            <w:pPr>
              <w:pStyle w:val="TableContents"/>
              <w:bidi w:val="0"/>
              <w:spacing w:before="0" w:after="283"/>
              <w:jc w:val="left"/>
              <w:rPr/>
            </w:pPr>
            <w:r>
              <w:rPr/>
              <w:t> </w:t>
            </w:r>
          </w:p>
        </w:tc>
        <w:tc>
          <w:tcPr>
            <w:tcW w:w="108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16,386,627</w:t>
            </w:r>
          </w:p>
        </w:tc>
        <w:tc>
          <w:tcPr>
            <w:tcW w:w="95" w:type="dxa"/>
            <w:tcBorders/>
            <w:vAlign w:val="bottom"/>
          </w:tcPr>
          <w:p>
            <w:pPr>
              <w:pStyle w:val="TableContents"/>
              <w:bidi w:val="0"/>
              <w:spacing w:before="0" w:after="283"/>
              <w:jc w:val="left"/>
              <w:rPr/>
            </w:pPr>
            <w:r>
              <w:rPr/>
              <w:t> </w:t>
            </w:r>
          </w:p>
        </w:tc>
      </w:tr>
      <w:tr>
        <w:trPr/>
        <w:tc>
          <w:tcPr>
            <w:tcW w:w="35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stockholders’ equity to total assets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10.67%</w:t>
            </w:r>
          </w:p>
        </w:tc>
        <w:tc>
          <w:tcPr>
            <w:tcW w:w="80"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10.41%</w:t>
            </w:r>
          </w:p>
        </w:tc>
        <w:tc>
          <w:tcPr>
            <w:tcW w:w="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10.07%</w:t>
            </w:r>
          </w:p>
        </w:tc>
        <w:tc>
          <w:tcPr>
            <w:tcW w:w="80"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10.37%</w:t>
            </w:r>
          </w:p>
        </w:tc>
        <w:tc>
          <w:tcPr>
            <w:tcW w:w="80"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10.22%</w:t>
            </w:r>
          </w:p>
        </w:tc>
        <w:tc>
          <w:tcPr>
            <w:tcW w:w="95" w:type="dxa"/>
            <w:tcBorders/>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r>
      <w:tr>
        <w:trPr/>
        <w:tc>
          <w:tcPr>
            <w:tcW w:w="353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Tangible common equity to tangible assets</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10.25%</w:t>
            </w:r>
          </w:p>
        </w:tc>
        <w:tc>
          <w:tcPr>
            <w:tcW w:w="80" w:type="dxa"/>
            <w:tcBorders/>
            <w:shd w:fill="CCEEFF" w:val="clear"/>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9.98%</w:t>
            </w:r>
          </w:p>
        </w:tc>
        <w:tc>
          <w:tcPr>
            <w:tcW w:w="80" w:type="dxa"/>
            <w:tcBorders/>
            <w:shd w:fill="CCEEFF" w:val="clear"/>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9.64%</w:t>
            </w:r>
          </w:p>
        </w:tc>
        <w:tc>
          <w:tcPr>
            <w:tcW w:w="80" w:type="dxa"/>
            <w:tcBorders/>
            <w:shd w:fill="CCEEFF" w:val="clear"/>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9.92%</w:t>
            </w:r>
          </w:p>
        </w:tc>
        <w:tc>
          <w:tcPr>
            <w:tcW w:w="80" w:type="dxa"/>
            <w:tcBorders/>
            <w:shd w:fill="CCEEFF" w:val="clear"/>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9.77%</w:t>
            </w:r>
          </w:p>
        </w:tc>
        <w:tc>
          <w:tcPr>
            <w:tcW w:w="95" w:type="dxa"/>
            <w:tcBorders/>
            <w:shd w:fill="CCEEFF" w:val="clear"/>
            <w:vAlign w:val="bottom"/>
          </w:tcPr>
          <w:p>
            <w:pPr>
              <w:pStyle w:val="TableContents"/>
              <w:bidi w:val="0"/>
              <w:spacing w:before="0" w:after="0"/>
              <w:jc w:val="left"/>
              <w:rPr>
                <w:rFonts w:ascii="Times New Roman" w:hAnsi="Times New Roman"/>
                <w:color w:val="000000"/>
                <w:sz w:val="20"/>
                <w:szCs w:val="18"/>
              </w:rPr>
            </w:pPr>
            <w:r>
              <w:rPr>
                <w:rFonts w:ascii="Times New Roman" w:hAnsi="Times New Roman"/>
                <w:color w:val="000000"/>
                <w:sz w:val="20"/>
                <w:szCs w:val="18"/>
              </w:rPr>
            </w:r>
          </w:p>
        </w:tc>
      </w:tr>
      <w:tr>
        <w:trPr/>
        <w:tc>
          <w:tcPr>
            <w:tcW w:w="353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Book value per share</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27.98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27.33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4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26.67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27.04</w:t>
            </w:r>
          </w:p>
        </w:tc>
        <w:tc>
          <w:tcPr>
            <w:tcW w:w="95" w:type="dxa"/>
            <w:tcBorders/>
            <w:vAlign w:val="bottom"/>
          </w:tcPr>
          <w:p>
            <w:pPr>
              <w:pStyle w:val="TableContents"/>
              <w:bidi w:val="0"/>
              <w:spacing w:before="0" w:after="283"/>
              <w:jc w:val="left"/>
              <w:rPr/>
            </w:pPr>
            <w:r>
              <w:rPr/>
              <w:t> </w:t>
            </w:r>
          </w:p>
        </w:tc>
      </w:tr>
      <w:tr>
        <w:trPr/>
        <w:tc>
          <w:tcPr>
            <w:tcW w:w="353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Tangible book value per share</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26.70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26.05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4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25.40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25.75</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52" w:name="ef20057565_ex99-2.htm"/>
      <w:bookmarkStart w:id="53" w:name="ksef20057565_ex992"/>
      <w:bookmarkStart w:id="54" w:name="ef20057565_ex99-2.htm"/>
      <w:bookmarkStart w:id="55" w:name="ksef20057565_ex992"/>
      <w:bookmarkEnd w:id="54"/>
      <w:bookmarkEnd w:id="5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99.2</w:t>
      </w:r>
    </w:p>
    <w:p>
      <w:pPr>
        <w:pStyle w:val="TextBody"/>
        <w:bidi w:val="0"/>
        <w:spacing w:before="0" w:after="0"/>
        <w:jc w:val="right"/>
        <w:rPr>
          <w:b/>
        </w:rPr>
      </w:pPr>
      <w:r>
        <w:rPr>
          <w:b/>
        </w:rPr>
      </w:r>
    </w:p>
    <w:p>
      <w:pPr>
        <w:pStyle w:val="TextBody"/>
        <w:bidi w:val="0"/>
        <w:spacing w:before="0" w:after="0"/>
        <w:jc w:val="center"/>
        <w:rPr>
          <w:color w:val="000000"/>
        </w:rPr>
      </w:pPr>
      <w:r>
        <w:rPr>
          <w:color w:val="000000"/>
        </w:rPr>
        <w:drawing>
          <wp:inline distT="0" distB="0" distL="0" distR="0">
            <wp:extent cx="10058400" cy="777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South Plains Financial  Third Quarter 2025  Earnings Presentation  October 23, 2025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Safe Harbor Statement and Other Disclosures   FORWARD-LOOKING STATEMENTS  This presentation contains, and future oral and written statements of South Plains Financial, Inc. (“South Plains”, “SPFI”, or the “Company”) and City Bank (“City Bank” or the “Bank”) may contain, forward-looking statements within the meaning of the Private Securities Litigation Reform Act of 1995. These forward-looking statements reflect South Plains’ current views with respect to future events and South Plains’ financial performance.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Forward-looking statements include, but are not limited to: (i) projections and estimates of revenues, expenses, income or loss, earnings or loss per share, and other financial items, (ii) statements of plans, objectives and expectations of South Plains or its management, (iii) statements of future economic performance, and (iv) statements of assumptions underlying such statements. Forward-looking statements should not be relied on because they involve known and unknown risks, uncertainties and other factors, some of which are beyond the control of South Plains and City Bank. These risks, uncertainties and other factors may cause the actual results, performance, and achievements of South Plains and City Bank to be materially different from the anticipated future results, performance or achievements expressed in, or implied by, the forward-looking statements. Factors that could cause such differences include, but are not limited to, the impact on us and our customers of a decline in general economic conditions and any regulatory responses thereto; slower economic growth rates or potential recession in the United States and our market areas; the impacts related to or resulting from uncertainty in the banking industry as a whole; increased competition for deposits in our market areas among traditional and nontraditional financial services companies, and related changes in deposit customer behavior; the impact of changes in market interest rates, whether due to a continuation of the elevated interest rate environment or further reductions in interest rates and a resulting decline in net interest income; the lingering inflationary pressures, and the risk of the resurgence of elevated levels of inflation, in the United States and our market areas; the uncertain impacts of ongoing quantitative tightening and current and future monetary policies of the Board of Governors of the Federal Reserve System; changes in unemployment rates in the United States and our market areas; adverse changes in customer spending, borrowing and savings habits; declines in commercial real estate values and prices; a deterioration of the credit rating for U.S. long-term sovereign debt or the impact of uncertain or changing political conditions, including federal government shutdowns and uncertainty regarding United States fiscal debt, deficit and budget matters; cyber incidents or other failures, disruptions or breaches of our operational or security systems or infrastructure, or those of our third-party vendors or other service providers, including as a result of cyber-attacks; severe weather, natural disasters, acts of war or terrorism, geopolitical instability or other external events, including as a result of the impact of the policies of the current U.S. presidential administration or Congress; the impacts of tariffs, sanctions, and other trade policies of the United States and its global trading counterparts and the resulting impact on the Company and its customers; competition and market expansion opportunities; changes in non-interest expenditures or in the anticipated benefits of such expenditures; the risks related to the development, implementation, use and management of emerging technologies, including artificial intelligence and machine learnings; potential costs related to the impacts of climate change; current or future litigation, regulatory examinations or other legal and/or regulatory actions; and changes in applicable laws and regulations. Due to these and other possible uncertainties and risks, South Plains can give no assurance that the results contemplated in the forward-looking statements will be realized and readers are cautioned not to place undue reliance on the forward-looking statements contained in this presentation. Additional information regarding these factors and uncertainties to which South Plains’ business and future financial performance are subject is contained in South Plains’ most recent Annual Report on Form 10-K and Quarterly Reports on Form 10-Q on file with the U.S. Securities and Exchange Commission (the “SEC”), including the sections entitled "Risk Factors" and "Management's Discussion and Analysis of Financial Condition and Results of Operations“ of such documents, and other documents South Plains files or furnishes with the SEC from time to time. Further, any forward-looking statement speaks only as of the date on which it is made and South Plains undertakes no obligation to update or revise any forward-looking statement to reflect events or circumstances after the date on which the statement is made or to reflect the occurrence of unanticipated events, except as required by applicable law. All forward-looking statements, express or implied, herein are qualified in their entirety by this cautionary statement.  NON-GAAP FINANCIAL MEASURES  Management believes that certain non-GAAP performance measures used in this presentation provide meaningful information about underlying trends in its business and operations and provide both management and investors a more complete understanding of the Company’s financial position and performance. Non-GAAP financial measures should be viewed in addition to, and not as an alternative for, SPFI’s reported results prepared in accordance with GAAP. Non-GAAP financial measures have limitations as analytical tools, and investors should not consider them in isolation or as a substitute for analysis of the results or financial condition of the Company as reported under GAAP. Numbers in this presentation may not sum due to rounding.  2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Today’s Speakers   Curtis C. Griffith Chairman &amp; Chief Executive Officer  Elected to the board of directors of First State Bank of Morton, Texas, in 1972 and employed by it in 1979  Elected Chairman of the First State Bank of Morton board in 1984  Chairman of the Board of City Bank and the Company since 1993  Steven B. Crockett Chief Financial Officer &amp; Treasurer  Appointed Chief Financial Officer in 2015  Previously Controller of City Bank and the Company for 14 and 5 years respectively  Began career in public accounting in 1994 by serving for seven years with a local firm in Lubbock, Texas  Cory T. Newsom President  Entire banking career with the Company focused on lending and operations  Appointed President and Chief Executive Officer of the Bank in 2008  Joined the Board in 2008  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Third Quarter 2025 Highlights  Net income for 3Q’25 was $16.3 million, compared to $14.6 million for 2Q’25  Diluted earnings per share for 3Q’25 was $0.96, compared to $0.86 for 2Q’25  NIM was 4.05% for 3Q’25, compared to 4.07% for 2Q’25  3Q’25 NIM was 3.99% when excluding one-time interest and fees due to credit workouts of $640 thousand  2Q’25 NIM was 3.90% when excluding a one-time interest recovery of $1.7 million  Loans HFI were $3.05 billion as of September 30, 2025, compared to $3.10 billion as of June 30, 2025  Average yield on loans was 6.92% for 3Q’25, compared to 6.99% for 2Q’25  Return on average assets for 3Q’25 was 1.47%, compared to 1.34% for 2Q’25   Deposits totaled $3.88 billion as of September 30, 2025, compared to $3.74 billion as of June 30, 2025  Average cost of deposits for 3Q’25 was 210 basis points, compared to 214 basis points for 2Q’25  Tangible book value (non-GAAP) per share(2) was $28.14 as of September 30, 2025, compared to $26.70 as of June 30, 2025  On September 30, 2025, the Company redeemed $50.0 million in subordinated debt  4  Source: Company documents  Net interest margin is calculated on a tax-equivalent basis  Tangible book value per share is a non-GAAP measure. See appendix for the reconciliation of non-GAAP measures to GAAP  Loans Held for Investment  (“HFI”) $3.05 B  Average Yield on Loans  6.92%  Net Income   $16.3 M  EPS - Diluted  $0.96  Net Interest Margin (1)  (“NIM”) 4.05%  Total Deposits  $3.88 B  Return on Average Assets (“ROAA”) 1.47%  Efficiency Ratio   60.69%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Loan Portfolio  3Q'25 Highlights  Loans HFI decreased by $45.5 million from 2Q'25, primarily as a result of a decrease of $46.5 million in multi-family property loans mainly due to the payoff of two loans totaling $39.6 million, partially offset by organic loan growth  The average yield on loans was 6.92% for 3Q'25, compared to 6.99% for 2Q’25  Loan interest income for the third quarter of 2025 included $640 thousand in interest and fees recognized related to the resolution of credit workouts.   This amount positively impacted the loan yield by 8 basis points during 3Q’25  There was a recovery of $1.7 million in interest during 2Q’25, related to a full repayment of a loan that had previously been on nonaccrual. This recovery positively impacted the loan yield by 23 basis points during 2Q’25  Total Loans HFI  $ in Millions  5  Source: Company documents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Attractive Markets Poised for Organic Growth  El Paso Basin  Dallas / Ft. Worth  Sixth largest city in Texas and 22nd largest in the U.S.  Population growth has outpaced the country over the last five years, exceeding 880,000  Adjacent in proximity to Juarez, Mexico’s growing industrial center and an estimated population of 1.5 million people  Home to four universities including The University of Texas at El Paso  Largest MSA in Texas and fourth largest in the nation  Steadily expanding population that accounts for over 26% of the state’s population  Created the second most new jobs of any metro area in the U.S. in 2023  Generated more than $613 billion in GDP in 2023 accounting for 31% of Texas’ total GDP  Houston   Second largest MSA in Texas and fifth largest in the nation  The 7th largest metro economy in the U.S.   Would rank as the 23rd largest economy in the world with GDP of more than $550 billion in 2023  Called the “Energy Capital of the World,” the area also boasts the world’s largest medical center and second busiest port in the U.S.  Lubbock Basin  10th largest Texas city with a population exceeding 330,000 people  Major industries in agribusiness, education, and trade, among others  More than 55,000 college students with approximately 15,000 students entering the local workforce annually  One of the fastest-growing cities in the U.S. in 2023  6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Major Metropolitan Market Loan Growth  3Q'25 Highlights  Loans HFI in our major metropolitan markets(1) remained unchanged at $1.01 billion during 3Q'25  Our major metropolitan market loan portfolio represents 33.2% of the Bank’s total loans HFI at September 30, 2025  Total Metropolitan Market(1) Loans  $ in Millions  7  5.00%  Source: Company documents  (1) The Bank defines its “major metropolitan markets” to include Dallas, Houston and El Paso, Texas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Loan HFI Portfolio  Loan Mix  Loan Portfolio ($ in millions)     Commercial C&amp;D  $  146.1  Residential C&amp;D     218.0  CRE Owner/Occ.  410.5  Other CRE Non Owner/Occ.     559.3  Multi-Family     210.5  C&amp;I     428.0  Agriculture     168.5  1-4 Family     592.6  Auto     256.3  Other Consumer     63.7        Total  $  3,053.5  Fixed vs. Variable Rate   8  Source: Company documents  Data as of September 30, 2025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Non-Owner Occupied CRE Portfolio  9  Details  NOO CRE was 37.1% of total loans HFI, down from 38.3% at June 30, 2025  NOO CRE portfolio is made up of $771.3 million of income producing loans and $362.6 million of construction, acquisition, and development loans  Estimated weighted average LTV of income-producing NOO CRE was 55%  Office NOO CRE loans were 4.7% of total loans HFI and had a weighted average LTV of 58%  NOO CRE loans past due 90+ days or nonaccrual: 30 basis points of this portfolio  NOO CRE(1) Sector Breakdown  Source: Company documents  Data as of September 30, 2025  (1) Non-owner occupied commercial real estate (“NOO CRE”)  Property Type ($ in millions)  Total  Income-producing:   Multi-family  $210.5   Retail  187.9   Office  144.3   Industrial  138.2   Hospitality  30.7   Other  59.7  Construction, acquisition, and development:   Residential construction  98.0   Other  264.6  Total  $1,133.9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Indirect Auto Overview  Indirect Auto Highlights  Indirect auto loans totaled $238.6 million at September 30, 2025, compared to $240.6 million at June 30, 2025  Strong credit quality in the sector, positioned for resiliency across economic cycles(1):  Super Prime Credit (&gt;719): $161.1 million  Prime Credit (719-660): $44.9 million  Near Prime Credit (659-620): $13.8 million  Sub-Prime Credit (619-580): $10.6 million  Deep Sub-Prime Credit (&lt;580): $8.3 million  Loans past due 30+ days: 24 bps of this portfolio  Non-car/truck (RV, boat, etc.) &lt; 2% of this portfolio  Indirect Auto Credit Breakdown  10  Source: Company documents  Data as of September 30, 2025  (1) Credit score level at origination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Noninterest Income Overview  Noninterest Income  $ in Millions  3Q'25 Highlights  Noninterest income was $11.2 million for 3Q'25, compared to $12.2 million for 2Q’25  The decrease of $1.0 million was due primarily to a decrease in mortgage banking revenues – as detailed on the following slide  11  Source: Company documents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Mortgage Banking Revenue  Mortgage Servicing Rights Adjustments  $ in Thousands  3Q'25 Highlights  The decrease of $1.0 million in mortgage banking revenues was mainly due to:  A $769 thousand decrease in the MSR FV adjustment as interest rates that effect the value declined in 3Q’25  In 3Q’25, MSR’s were written down by $925 thousand as compared to a write-down of $156 thousand in 2Q’25  12  Source: Company documents  Note: Mortgage servicing rights (“MSR”); Mortgage Banking Revenue (“MBR”); MSR Fair Value (“MSR FV”)     3Q'25  2Q'25  1Q'25  4Q'24  3Q'24  Mortgage Banking Revenue  $  2,575  3,606  2,113  4,955  1,890                       MSR FV Adj.  $  (925)  (156)  (1,585)  1,450   (2,060)                    MBR Excluding MSR FV Adj  $  3,500   3,762  3,698  3,505  3,950                    MSR FV Adj. QoQ Delta  $  (769)  1,429  (3,035)  3,510  (1,380)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Diversified Revenue Stream  Nine Months Ended September 30, 2025  Total Revenues  $158.0 million  Noninterest Income  $33.9 million  13  Source: Company documents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Net Interest Income and NIM  Net Interest Income &amp; NIM(1)   $ in Millions  3Q'25 Highlights  Net interest income (“NII”) of $43.0 million, an increase from $42.5 million in 2Q'25  3Q'25 NIM decreased 2 bps to 4.05% as compared to 4.07% in 2Q’25, however:  3Q’25 NIM was 3.99% when excluding one-time interest and fees due to credit workouts of $640 thousand  2Q’25 NIM was 3.90% when excluding a one-time interest recovery of $1.7 million  14  3.54%  Source: Company documents  (1) NIM is calculated on a tax-equivalent basis  NIM ex. nonaccrual interest recovery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Deposit Portfolio  Total Deposits  $ in Millions  3Q'25 Highlights  Total deposits of $3.88 billion at 3Q'25, an increase of $142.2 million from 2Q'25   The increase in deposits was due to organic growth in both retail and commercial deposits  Cost of interest-bearing deposits decreased to 2.87% in 3Q’25 from 2.91% in 2Q'25  Cost of deposits decreased 4 bps to 2.10% in 3Q’25 from 2.14% in 2Q'25  Noninterest-bearing deposits to total deposits were 27.0% at September 30, 2025, up from 26.7% at June 30, 2025  15  Source: Company documents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Granular Deposit Base &amp; Ample Liquidity  Total Borrowing Capacity  $1.99 Billion  16  Total Deposit Base Breakdown  Average deposit account size is approximately $37 thousand  City Bank’s percentage of estimated uninsured or uncollateralized deposits is 27% of total deposits  City Bank had $1.99 billion of available borrowing capacity through the Federal Home Loan Bank of Dallas (“FHLB”) and the Federal Reserve Bank of Dallas (“FRB”)  No borrowings utilized from these sources during 3Q'25  Source: Company documents  Data as of September 30, 2025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Credit Quality  3Q'25 Highlights  Credit Quality Ratios  Net Charge-Offs to Average Loans  ACL(1) to Total Loans HFI  17  Provision for credit losses of $500 thousand in 3Q'25, compared to $2.5 million in 2Q'25  The decrease in provision for 3Q’25 was largely attributable to a decrease in specific reserves, decreased loan balances, and overall improved credit quality  Classified loans decreased $21.1 million in 3Q’25, primarily due to the full collection of a $32 million multi-family property loan, partially offset by several downgrades  Source: Company documents  Allowance for Credit Losses (“ACL”)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Investment Securities  3Q'25 Highlights  Investment securities totaled $571.1 million, a $1.1 million increase from 2Q'25  All municipal bonds are in Texas; fair value hedges of $118 million  All MBS, CMO, and Asset Backed securities are U.S. Government or GSE  Duration of the securities portfolio was 6.58 years at September 30, 2025  3Q'25 Securities Composition  $571.1  million  Securities &amp; Cash  $ in Millions  18  Source: Company documents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Noninterest Expense and Efficiency  Noninterest Expense  $ in Millions  3Q'25 Highlights  Noninterest expense decreased $519 thousand from 2Q’25, largely the result of a decrease of $581 thousand in professional service expenses related primarily to consulting on technology projects and initiatives  Efficiency ratio of 60.7% in 3Q'25 as compared to 61.1% in 2Q'25  Will continue to manage expenses to drive profitability  19  Source: Company documents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Balance Sheet Growth and Development  Balance Sheet Highlights  $ in Millions  Tangible Book Value Per Share(1)  20  Source: Company documents  (1) Tangible book value per share is a non-GAAP measure. See appendix for the reconciliation of non-GAAP measures to GAAP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Strong Capital Base  Common Equity Tier 1 Ratio  Tier 1 Capital to Average Assets Ratio  Total Capital to Risk-Weighted Assets Ratio  21  Source: Company documents  (1) Tangible common equity to tangible assets ratio is a non-GAAP measure. See appendix for the reconciliation of non-GAAP measures to GAAP      Tangible Common Equity to Tangible Assets Ratio(1)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SPFI’s Core Purpose and Values Align Centered on Relationship-Based Business  Our Core Purpose is:   To use the power of relationships to help people succeed and live better  HELP ALL STAKEHOLDERS SUCCEED  Employees  great benefits and opportunities to grow and make a difference.  Customers  personalized advice and solutions to achieve their goals.  Partners  responsive, trusted win-win partnerships enabling both parties to succeed together.  Shareholders  share in the prosperity and performance of the Bank.  THE POWER OF RELATIONSHIPS  At SPFI, we build lifelong, trusted relationships so you know you always have someone in your corner that understands you, cares about you, and stands ready to help.   LIVE BETTER  We want to help everyone live better.   At the end of the day, we do what we do to help enhance lives. We create a great place to work, help people achieve their goals, and invest generously in our communities because there’s nothing more rewarding than helping people succeed and live better.   22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Appendix  23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Non-GAAP Financial Measures  24  Source: Company documents  $ in thousands, except per share data  For the quarter ended     September 30,  2025     June 30,  2025     March 31,  2025     December 31,  2024     September 30,  2024  Pre-tax, pre-provision income  Net income  $  16,318  $  14,605  $  12,294  $  16,497  $  11,212  Income tax expense  4,342  4,020  3,408  4,222  3,094  Provision for credit losses  500  2,500  420  1,200  495  Pre-tax, pre-provision income  $  21,160  $  21,125  $  16,122  $  21,919  $  14,801  As of      September 30,  2025     June 30,  2025     March 31,  2025     December 31,  2024     September 30,  2024  Tangible common equity                                            Total common stockholders’ equity  $  477,802     $  454,074     $  $ 443,743     $  $ 438,949     $  $ 443,122  Less:  goodwill and other intangibles     (20,580)        (20,732)        (20,884)        (21,035)        (21,197)                                               Tangible common equity  $  457,222     $  433,342     $  $ 422,859     $  $ 417,914     $  $ 421,925                                               Tangible assets                                            Total assets  $  4,479,437     $  4,363,674     $  $ 4,405,209     $  $ 4,232,239     $  $ 4,337,659  Less:  goodwill and other intangibles     (20,580)        (20,732)        (20,884)        (21,035)        (21,197)                                               Tangible assets  $  4,458,857     $  4,342,942     $  $ 4,384,325     $  $ 4,211,204     $  $ 4,316,462                                               Shares outstanding     16,247,839        16,230,475        16,235,647        16,455,826        16,386,627                                   Total stockholders’ equity to total assets     10.67%     10.41%     10.07%     10.37%     10.22%  Tangible common equity to tangible assets     10.25%     9.98%     9.64%     9.92%     9.77%  Book value per share  $  29.41  $  27.98  $  27.33  $  26.67  $  27.04  Tangible book value per share  $  28.14  $  26.70  $  26.05  $  25.40  $  25.75 </w:t>
      </w:r>
    </w:p>
    <w:p>
      <w:pPr>
        <w:pStyle w:val="TextBody"/>
        <w:bidi w:val="0"/>
        <w:spacing w:before="0" w:after="0"/>
        <w:jc w:val="center"/>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8968</Words>
  <Characters>48684</Characters>
  <CharactersWithSpaces>60447</CharactersWithSpaces>
  <Paragraphs>4279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