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132715</wp:posOffset>
            </wp:positionV>
            <wp:extent cx="720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165100</wp:posOffset>
            </wp:positionV>
            <wp:extent cx="720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660" w:right="1600" w:hanging="3652"/>
        <w:spacing w:after="0" w:line="500" w:lineRule="auto"/>
        <w:tabs>
          <w:tab w:leader="none" w:pos="49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580" w:hanging="3772"/>
        <w:spacing w:after="0" w:line="500" w:lineRule="auto"/>
        <w:tabs>
          <w:tab w:leader="none" w:pos="49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7"/>
              </w:rPr>
              <w:t>Lubbock, Texas</w:t>
            </w:r>
          </w:p>
        </w:tc>
        <w:tc>
          <w:tcPr>
            <w:tcW w:w="3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79407</w:t>
            </w:r>
          </w:p>
        </w:tc>
      </w:tr>
      <w:tr>
        <w:trPr>
          <w:trHeight w:val="234"/>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(806) 792-7101</w:t>
      </w:r>
    </w:p>
    <w:p>
      <w:pPr>
        <w:spacing w:after="0" w:line="200" w:lineRule="exact"/>
        <w:rPr>
          <w:sz w:val="24"/>
          <w:szCs w:val="24"/>
          <w:color w:val="auto"/>
        </w:rPr>
      </w:pPr>
    </w:p>
    <w:p>
      <w:pPr>
        <w:spacing w:after="0" w:line="24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3, 2025, the registrant had 16,247,839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4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r>
      <w:tr>
        <w:trPr>
          <w:trHeight w:val="439"/>
        </w:trPr>
        <w:tc>
          <w:tcPr>
            <w:tcW w:w="7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94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14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PART I.</w:t>
            </w:r>
          </w:p>
        </w:tc>
        <w:tc>
          <w:tcPr>
            <w:tcW w:w="2260" w:type="dxa"/>
            <w:vAlign w:val="bottom"/>
            <w:tcBorders>
              <w:bottom w:val="single" w:sz="8" w:color="0000EE"/>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FINANCIAL INFORMATION</w:t>
            </w:r>
          </w:p>
        </w:tc>
        <w:tc>
          <w:tcPr>
            <w:tcW w:w="7140" w:type="dxa"/>
            <w:vAlign w:val="bottom"/>
            <w:tcBorders>
              <w:bottom w:val="single" w:sz="8" w:color="CCEEFF"/>
            </w:tcBorders>
            <w:gridSpan w:val="11"/>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3</w:t>
            </w: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(Unaudited)</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3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(Unaudited)</w:t>
            </w:r>
          </w:p>
        </w:tc>
        <w:tc>
          <w:tcPr>
            <w:tcW w:w="392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76"/>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040" w:type="dxa"/>
            <w:vAlign w:val="bottom"/>
            <w:tcBorders>
              <w:bottom w:val="single" w:sz="8" w:color="CCEEFF"/>
            </w:tcBorders>
            <w:gridSpan w:val="4"/>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4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176"/>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520" w:type="dxa"/>
            <w:vAlign w:val="bottom"/>
            <w:tcBorders>
              <w:top w:val="single" w:sz="8" w:color="CCEEFF"/>
            </w:tcBorders>
            <w:gridSpan w:val="12"/>
          </w:tcPr>
          <w:p>
            <w:pPr>
              <w:spacing w:after="0"/>
              <w:rPr>
                <w:sz w:val="15"/>
                <w:szCs w:val="15"/>
                <w:color w:val="auto"/>
              </w:rPr>
            </w:pPr>
          </w:p>
        </w:tc>
        <w:tc>
          <w:tcPr>
            <w:tcW w:w="7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176"/>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080" w:type="dxa"/>
            <w:vAlign w:val="bottom"/>
            <w:tcBorders>
              <w:top w:val="single" w:sz="8" w:color="CCEEFF"/>
            </w:tcBorders>
            <w:gridSpan w:val="10"/>
          </w:tcPr>
          <w:p>
            <w:pPr>
              <w:spacing w:after="0"/>
              <w:rPr>
                <w:sz w:val="15"/>
                <w:szCs w:val="15"/>
                <w:color w:val="auto"/>
              </w:rPr>
            </w:pPr>
          </w:p>
        </w:tc>
        <w:tc>
          <w:tcPr>
            <w:tcW w:w="7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080" w:type="dxa"/>
            <w:vAlign w:val="bottom"/>
            <w:tcBorders>
              <w:bottom w:val="single" w:sz="8" w:color="CCEEFF"/>
            </w:tcBorders>
            <w:gridSpan w:val="15"/>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398"/>
        </w:trPr>
        <w:tc>
          <w:tcPr>
            <w:tcW w:w="7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294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6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868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56,071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54,114</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578,975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304,968</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635,046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571,138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577,240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($9,912 and $13,791 at fair value at September 30, 2025 and December 31, 2024, respectively)</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13,046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20,542</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3,053,503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3,055,054</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(44,125)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(43,237)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3,009,378</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3,011,817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18,012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21,687</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00" w:type="dxa"/>
            <w:vAlign w:val="bottom"/>
          </w:tcPr>
          <w:p>
            <w:pPr>
              <w:spacing w:after="0"/>
              <w:rPr>
                <w:sz w:val="18"/>
                <w:szCs w:val="18"/>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51,809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52,951</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77,274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76,054</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19,315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19,315</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00" w:type="dxa"/>
            <w:vAlign w:val="bottom"/>
          </w:tcPr>
          <w:p>
            <w:pPr>
              <w:spacing w:after="0"/>
              <w:rPr>
                <w:sz w:val="18"/>
                <w:szCs w:val="18"/>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24,458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26,292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21,650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22,840</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37,046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42,699</w:t>
            </w:r>
          </w:p>
        </w:tc>
        <w:tc>
          <w:tcPr>
            <w:tcW w:w="0" w:type="dxa"/>
            <w:vAlign w:val="bottom"/>
          </w:tcPr>
          <w:p>
            <w:pPr>
              <w:spacing w:after="0"/>
              <w:rPr>
                <w:sz w:val="1"/>
                <w:szCs w:val="1"/>
                <w:color w:val="auto"/>
              </w:rPr>
            </w:pPr>
          </w:p>
        </w:tc>
      </w:tr>
      <w:tr>
        <w:trPr>
          <w:trHeight w:val="256"/>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4,479,437</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4,232,239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Noninterest-bearing</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1,049,501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935,510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2,831,642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2,685,366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3,881,143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3,620,876</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59,999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62,060</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00" w:type="dxa"/>
            <w:vAlign w:val="bottom"/>
          </w:tcPr>
          <w:p>
            <w:pPr>
              <w:spacing w:after="0"/>
              <w:rPr>
                <w:sz w:val="18"/>
                <w:szCs w:val="18"/>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14,100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63,961</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46,393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4,001,635</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3,793,290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$1.00 par value per share, 30,000,000 shares authorized; 16,247,839 and 16,455,826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September 30, 2025 and December 31, 2024, respectively</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16,248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16,456</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91,116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97,287</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421,542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385,827</w:t>
            </w:r>
          </w:p>
        </w:tc>
        <w:tc>
          <w:tcPr>
            <w:tcW w:w="0" w:type="dxa"/>
            <w:vAlign w:val="bottom"/>
          </w:tcPr>
          <w:p>
            <w:pPr>
              <w:spacing w:after="0"/>
              <w:rPr>
                <w:sz w:val="1"/>
                <w:szCs w:val="1"/>
                <w:color w:val="auto"/>
              </w:rPr>
            </w:pPr>
          </w:p>
        </w:tc>
      </w:tr>
      <w:tr>
        <w:trPr>
          <w:trHeight w:val="223"/>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9"/>
                <w:szCs w:val="19"/>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7"/>
              </w:rPr>
              <w:t>(51,104)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(60,621)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477,802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4,479,437</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4,232,239</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including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158,384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151,008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61,640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188,577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179,575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65,945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2,505</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2,575</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21,501</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37,294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124,049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36,799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120,629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mortgage banking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Fiduciary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2,087</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5,959</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56,954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12,532</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42,573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9,353</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16,318</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33,220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Change in fair value on hedged state and municipal securities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16,647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9,261</w:t>
            </w:r>
          </w:p>
        </w:tc>
      </w:tr>
      <w:tr>
        <w:trPr>
          <w:trHeight w:val="256"/>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800" w:type="dxa"/>
            <w:vAlign w:val="bottom"/>
          </w:tcPr>
          <w:p>
            <w:pPr>
              <w:spacing w:after="0"/>
              <w:rPr>
                <w:sz w:val="21"/>
                <w:szCs w:val="21"/>
                <w:color w:val="auto"/>
              </w:rPr>
            </w:pPr>
          </w:p>
        </w:tc>
        <w:tc>
          <w:tcPr>
            <w:tcW w:w="24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21"/>
                <w:szCs w:val="21"/>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800" w:type="dxa"/>
            <w:vAlign w:val="bottom"/>
          </w:tcPr>
          <w:p>
            <w:pPr>
              <w:spacing w:after="0"/>
              <w:rPr>
                <w:sz w:val="19"/>
                <w:szCs w:val="19"/>
                <w:color w:val="auto"/>
              </w:rPr>
            </w:pPr>
          </w:p>
        </w:tc>
        <w:tc>
          <w:tcPr>
            <w:tcW w:w="122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16,417,099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97,107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345,264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407,114</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33,220</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33,220</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 $0.41 per share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9,261</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9,261</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issuance of stock related to stock-based awards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(53,799)</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(1,340)</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1,701</w:t>
            </w:r>
          </w:p>
        </w:tc>
      </w:tr>
      <w:tr>
        <w:trPr>
          <w:trHeight w:val="27"/>
        </w:trPr>
        <w:tc>
          <w:tcPr>
            <w:tcW w:w="38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16,386,627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371,782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443,122</w:t>
            </w:r>
          </w:p>
        </w:tc>
      </w:tr>
      <w:tr>
        <w:trPr>
          <w:trHeight w:val="20"/>
        </w:trPr>
        <w:tc>
          <w:tcPr>
            <w:tcW w:w="3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16,455,826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97,287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385,827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(60,621)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438,949</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43,217</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43,217</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 $0.46 per share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9,517</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9,517</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issuance of stock related to stock-based awards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(259,046)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(8,267)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(8,526)</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1,973</w:t>
            </w:r>
          </w:p>
        </w:tc>
      </w:tr>
      <w:tr>
        <w:trPr>
          <w:trHeight w:val="257"/>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16,247,839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16,424,021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97,766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362,855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(59,060)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417,985</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$0.14 per share</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(2,285)</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(2,285)</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16,647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16,647</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issuance of stock related to stock-based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57"/>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16,386,627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97,367</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371,782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443,122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16,230,475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90,268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407,822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(60,246)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454,074</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16,318</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$0.16 per share</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(2,598)</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(2,598)</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9,142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issuance of stock related to stock-based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under employee stock purchase plan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57"/>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16,247,839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477,802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33,220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gains,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235,525</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originated for sale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(206,298)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(224,947)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Earnings on bank-owned life 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of mortgage servicing rights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change 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interest receivable and 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4,607</w:t>
            </w: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3,552</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Activity in securities available for sale: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(299,849)</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328,763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(27,239)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sales of foreclosed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change in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93,207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common stock issuance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on subordinated debt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to tax authorities for 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(6,702)</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to repurchase common stock</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(1,340)</w:t>
            </w:r>
          </w:p>
        </w:tc>
      </w:tr>
      <w:tr>
        <w:trPr>
          <w:trHeight w:val="223"/>
        </w:trPr>
        <w:tc>
          <w:tcPr>
            <w:tcW w:w="8680" w:type="dxa"/>
            <w:vAlign w:val="bottom"/>
            <w:tcBorders>
              <w:top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194,413</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85,033</w:t>
            </w:r>
          </w:p>
        </w:tc>
        <w:tc>
          <w:tcPr>
            <w:tcW w:w="100" w:type="dxa"/>
            <w:vAlign w:val="bottom"/>
            <w:tcBorders>
              <w:top w:val="single" w:sz="8" w:color="CCEEFF"/>
            </w:tcBorders>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141,009</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359,082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635,046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471,167</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 on deposits and borrowed funds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71,479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transferred to foreclosed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mortgage servicing rights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7" w:lineRule="exact"/>
        <w:rPr>
          <w:sz w:val="20"/>
          <w:szCs w:val="20"/>
          <w:color w:val="auto"/>
        </w:rPr>
      </w:pPr>
    </w:p>
    <w:p>
      <w:pPr>
        <w:jc w:val="both"/>
        <w:ind w:firstLine="1"/>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Nature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South Plains Financial, Inc. (“SPFI”) is a Texas corporation and registered bank holding company that conducts its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through its subsidiaries from offices located throughout Texas and Eastern New Mexico. Principal activities include commercial and retail banking, along with investment, trust, and mortgage services. The following were subsidiaries of SPFI as of September 30,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Wholly-Owned, Consolidated Subsidiaries:</w:t>
            </w:r>
          </w:p>
        </w:tc>
        <w:tc>
          <w:tcPr>
            <w:tcW w:w="6380" w:type="dxa"/>
            <w:vAlign w:val="bottom"/>
          </w:tcPr>
          <w:p>
            <w:pPr>
              <w:spacing w:after="0"/>
              <w:rPr>
                <w:sz w:val="20"/>
                <w:szCs w:val="20"/>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City Bank</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Bank subsidiary</w:t>
            </w: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Ruidoso Retail, Inc.</w:t>
            </w:r>
          </w:p>
        </w:tc>
        <w:tc>
          <w:tcPr>
            <w:tcW w:w="6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CB Provence, LLC</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CBT Brushy Creek, LLC</w:t>
            </w:r>
          </w:p>
        </w:tc>
        <w:tc>
          <w:tcPr>
            <w:tcW w:w="6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CBT Properties, LLC</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Wholly-Owned, Equity Method Subsidiaries:</w:t>
            </w:r>
          </w:p>
        </w:tc>
        <w:tc>
          <w:tcPr>
            <w:tcW w:w="6380" w:type="dxa"/>
            <w:vAlign w:val="bottom"/>
          </w:tcPr>
          <w:p>
            <w:pPr>
              <w:spacing w:after="0"/>
              <w:rPr>
                <w:sz w:val="18"/>
                <w:szCs w:val="18"/>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Plains Financial Capital Trusts (“SPFCT”) III-V</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subsidiaries</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Basis of Presentation and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consolidated financial statements in this Quarterly Report on Form 10-Q for the three and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(this “Form 10-Q”) include the accounts of SPFI and its wholly-owned consolidated subsidiaries (collectively referred to as the “Company”) identified above. All significant intercompany balances and transactions have been eliminated in consolidation.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U.S.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2024 as filed with the SEC on March 7, 2025 (the “2024 Annual Report on Form 10-K”). Operating results for the interim periods disclosed herein are not necessarily indicative of the results that may be expected for a full year or any future period.</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Use of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Updates to the Financial Accounting Standards Board (“FASB”) Accounting Standards Codification (“ASC”)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in Accounting Standards Updates (“ASUs”), which are not authoritative until incorporated into the ASC.</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2023-06, Disclosure Improvements: Codification Amendments in Response to the SEC’s Disclosure Update and Simplification Initiative.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ASU modify the disclosure or presentation requirements of a variety of Topics in the Codification. Certain of the amendments represent clarifications to, or technical corrections of the current requirements. Each amendment in the ASU will only become effective if the SEC removes the related disclosure or presentation requirement from its existing regulations by June 30, 2027. The amendments in this ASU are not expected to have a material impact on the Company’s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2023-09, Income Taxes (Topic 740): Improvements to Income Tax Disclosures. </w:t>
      </w:r>
      <w:r>
        <w:rPr>
          <w:rFonts w:ascii="Times New Roman" w:cs="Times New Roman" w:eastAsia="Times New Roman" w:hAnsi="Times New Roman"/>
          <w:sz w:val="18"/>
          <w:szCs w:val="18"/>
          <w:color w:val="auto"/>
        </w:rPr>
        <w:t>The amendments in this ASU are intended to improve the transparency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income tax disclosures by requiring consistent categories and greater disaggregation of information in the rate reconciliation and income taxes paid disaggregated by jurisdiction. It also includes certain other amendments intended to improve the effectiveness of income tax disclosures. This ASU is effective for annual periods beginning after December 15, 2024. The adoption of this ASU is not expected to have a material effect on the Company’s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Income—Expense Disaggregation Disclosures (Subtopic 220-40)</w:t>
      </w:r>
      <w:r>
        <w:rPr>
          <w:rFonts w:ascii="Times New Roman" w:cs="Times New Roman" w:eastAsia="Times New Roman" w:hAnsi="Times New Roman"/>
          <w:sz w:val="18"/>
          <w:szCs w:val="18"/>
          <w:color w:val="auto"/>
        </w:rPr>
        <w:t>: Disaggregation of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Expenses. This ASU requires public companies to disclose in a tabular format, in the notes to the financial statements, specific disaggregated information about certain prescribed categories of expenses at each interim and annual reporting period. The prescribed categories include, among other things, employee compensation, depreciation, and intangible asset amortization. This ASU is effective for public business entities for annual reporting periods beginning after December 15, 2026, and interim reporting periods beginning after December 15, 2027. Implementation of this ASU may be applied prospectively or retrospectively. The Company does not expect the adoption of this ASU to have a material impact on the Company’s financial statements.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Subsequent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evaluated subsequent events and transactions from September 30, 2025 through the date this Form 10-Q was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 for potential recognition or disclosure as required by GAAP.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amortized cost, related gross unrealized gains and losses, allowance for credit losses, and estimated fair value of securities available for sale at the dates indicated is presented below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Credit</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6"/>
        </w:trPr>
        <w:tc>
          <w:tcPr>
            <w:tcW w:w="146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September 30, 2025</w:t>
            </w:r>
          </w:p>
        </w:tc>
        <w:tc>
          <w:tcPr>
            <w:tcW w:w="3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175,147</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(44,427)</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264,026</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47,584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43,296</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68,213</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68,089</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14,617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13,705</w:t>
            </w:r>
          </w:p>
        </w:tc>
      </w:tr>
      <w:tr>
        <w:trPr>
          <w:trHeight w:val="223"/>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6,875</w:t>
            </w:r>
          </w:p>
        </w:tc>
      </w:tr>
      <w:tr>
        <w:trPr>
          <w:trHeight w:val="256"/>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646,163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69"/>
        </w:trPr>
        <w:tc>
          <w:tcPr>
            <w:tcW w:w="462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199,588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173,297</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(56,925)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264,096</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46,601</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(6,241)</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40,360</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73,697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73,483</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16,107</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14,581</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11,423</w:t>
            </w:r>
          </w:p>
        </w:tc>
      </w:tr>
      <w:tr>
        <w:trPr>
          <w:trHeight w:val="27"/>
        </w:trPr>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669,014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577,240</w:t>
            </w: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securities at September 30, 2025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Available for Sale</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18,951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157,445</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Declining-balance securities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438,749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646,163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571,138</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both September 30, 2025 and December 31, 2024, there were no holdings of securities of any one issuer, other than the U.S. government, its agencies, or its sponsored enterprises, in an amount greater than 10% of stockholders’ equity.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approximately $406.9 million and $309.0 million at September 30, 2025 and December 31, 2024, respectively, were pledged to collateralize public deposits and for other purposes as required or permitted by law.</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segregates securities with unrealized losses at the periods indicated, by the duration they have been in a loss position for which an allowance for credit losses has not been recorded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00" w:type="dxa"/>
            <w:vAlign w:val="bottom"/>
          </w:tcPr>
          <w:p>
            <w:pPr>
              <w:spacing w:after="0"/>
              <w:rPr>
                <w:sz w:val="21"/>
                <w:szCs w:val="21"/>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tcPr>
          <w:p>
            <w:pPr>
              <w:spacing w:after="0"/>
              <w:rPr>
                <w:sz w:val="21"/>
                <w:szCs w:val="21"/>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Loss</w:t>
            </w:r>
          </w:p>
        </w:tc>
      </w:tr>
      <w:tr>
        <w:trPr>
          <w:trHeight w:val="176"/>
        </w:trPr>
        <w:tc>
          <w:tcPr>
            <w:tcW w:w="35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25,617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164,307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25,617</w:t>
            </w: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255,160</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44,427</w:t>
            </w: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41,321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4,288</w:t>
            </w: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481,163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546,787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35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171,306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26,291</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171,511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26,292</w:t>
            </w: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264,088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264,096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56,925</w:t>
            </w: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40,360</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6,241</w:t>
            </w: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73,483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14,581</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r>
      <w:tr>
        <w:trPr>
          <w:trHeight w:val="27"/>
        </w:trPr>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501,758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91,560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575,454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91,775</w:t>
            </w: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were 129 securities with an unrealized loss at September 30, 2025, generally due to a continuation of the elevated market interest rate environment. Management evaluates securities available for sale (“AFS”)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and believes that it is not likely that the securities will have to be sold before a recovery of cost. The fair value of these securities is expected to recover as the securities approach their maturity date or repricing date or if market yields for such investments decline. Accordingly, as of September 30, 2025, management believes the unrealized loss positions detailed in the previous table are due to non-credit related factors, including changes in interest rates and other market conditions, and therefore no ACL for AFS securities or losses have been recognized or realized in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LOANS HELD FOR 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investment are summarized by category as of the dates presented below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1,119,063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388,955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557,371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566,400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254,474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64,936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97,952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103,855</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3,053,503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3,055,054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(44,125)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(43,237)</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3,009,378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3,011,817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ectPr>
          <w:pgSz w:w="11900" w:h="16838" w:orient="portrait"/>
          <w:cols w:equalWidth="0" w:num="1">
            <w:col w:w="11240"/>
          </w:cols>
          <w:pgMar w:left="320" w:top="115"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Commercial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Underwriting standards have been designed to determine whether the borrower possesses sound business ethics and practices,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Commercial – General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Commercial loans are underwritten after evaluating and understanding the borrower’s ability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to consumers include 1-4 family residential loans, auto loans, and other loans for recreational vehicles or other purposes.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commercial real estate and construction categories comprise the Company’s nonowner-occupied real estate loans. Total nonowner-occupied real estate loans were $1.13 billion at September 30, 2025, and $1.22 billion at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ACL for loans was $44.1 million at September 30, 2025, compared to $43.2 million at December 31, 2024. The ratio of ACL for loans to loans held for investment was 1.45% at September 30, 2025 and 1.42% at December 31, 2024.</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tables detail the activity in the ACL for loans for the periods indicated (dollars in thousands). Allocation of a portion of the ACL to one category of loans does not preclude its availability to absorb losses in other categories.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Ending</w:t>
            </w:r>
          </w:p>
        </w:tc>
      </w:tr>
      <w:tr>
        <w:trPr>
          <w:trHeight w:val="245"/>
        </w:trPr>
        <w:tc>
          <w:tcPr>
            <w:tcW w:w="3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Charge-offs</w:t>
            </w:r>
          </w:p>
        </w:tc>
        <w:tc>
          <w:tcPr>
            <w:tcW w:w="1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176"/>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September 30, 2025</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15,706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14,937</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4,809</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7,248</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11,080</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2,966</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1,901</w:t>
            </w:r>
          </w:p>
        </w:tc>
      </w:tr>
      <w:tr>
        <w:trPr>
          <w:trHeight w:val="257"/>
        </w:trPr>
        <w:tc>
          <w:tcPr>
            <w:tcW w:w="3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September 30, 2024</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15,593</w:t>
            </w:r>
          </w:p>
        </w:tc>
        <w:tc>
          <w:tcPr>
            <w:tcW w:w="4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15,924</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4,907</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9,558</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3,060</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974</w:t>
            </w: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2,078</w:t>
            </w:r>
          </w:p>
        </w:tc>
      </w:tr>
      <w:tr>
        <w:trPr>
          <w:trHeight w:val="27"/>
        </w:trPr>
        <w:tc>
          <w:tcPr>
            <w:tcW w:w="3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42,886</w:t>
            </w:r>
          </w:p>
        </w:tc>
      </w:tr>
      <w:tr>
        <w:trPr>
          <w:trHeight w:val="20"/>
        </w:trPr>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342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For the nine months ended September 30, 2025</w:t>
            </w:r>
          </w:p>
        </w:tc>
        <w:tc>
          <w:tcPr>
            <w:tcW w:w="120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15,973</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14,937</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4,809</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7,248</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11,080</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2,966</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1,115</w:t>
            </w: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1,901</w:t>
            </w:r>
          </w:p>
        </w:tc>
      </w:tr>
      <w:tr>
        <w:trPr>
          <w:trHeight w:val="27"/>
        </w:trPr>
        <w:tc>
          <w:tcPr>
            <w:tcW w:w="3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43,237</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44,125</w:t>
            </w:r>
          </w:p>
        </w:tc>
      </w:tr>
      <w:tr>
        <w:trPr>
          <w:trHeight w:val="20"/>
        </w:trPr>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nine months ended September 30, 2024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15,808</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15,924</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4,907</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9,558</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2,078</w:t>
            </w:r>
          </w:p>
        </w:tc>
      </w:tr>
      <w:tr>
        <w:trPr>
          <w:trHeight w:val="256"/>
        </w:trPr>
        <w:tc>
          <w:tcPr>
            <w:tcW w:w="3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42,356</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a provision for credit loss of $500 thousand and $3.4 million, respectively, which was comprised of a provision for credit losses on loans of $400 thousand and $3.2 million, respectively, and a provision for off-balance sheet credit exposures of $100 thousand and $270 thousand, respectively. During the three and nine months September 30, 2024, the Company recorded a provision for credit loss of $495 thousand and $3.1 million, respectively, which was comprised of a provision for credit losses on loans of $600 thousand and $3.1 million, respectively, and a provision for off-balance sheet credit exposures of $(105) and $(40) thousand, respectively.</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amortized cost and related ACL for individually evaluated collateral dependent loans by class using the fair value of collateral loss estimation methodology of evaluating expected credit losses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ACL</w:t>
            </w:r>
          </w:p>
        </w:tc>
      </w:tr>
      <w:tr>
        <w:trPr>
          <w:trHeight w:val="216"/>
        </w:trPr>
        <w:tc>
          <w:tcPr>
            <w:tcW w:w="1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1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r>
      <w:tr>
        <w:trPr>
          <w:trHeight w:val="216"/>
        </w:trPr>
        <w:tc>
          <w:tcPr>
            <w:tcW w:w="1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Evaluated</w:t>
            </w:r>
          </w:p>
        </w:tc>
      </w:tr>
      <w:tr>
        <w:trPr>
          <w:trHeight w:val="245"/>
        </w:trPr>
        <w:tc>
          <w:tcPr>
            <w:tcW w:w="14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20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176"/>
        </w:trPr>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46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82" w:orient="portrait"/>
          <w:cols w:equalWidth="0" w:num="1">
            <w:col w:w="11240"/>
          </w:cols>
          <w:pgMar w:left="320" w:top="116" w:right="3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19,543</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19,543</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5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5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52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1,575</w:t>
            </w:r>
          </w:p>
        </w:tc>
        <w:tc>
          <w:tcPr>
            <w:tcW w:w="500" w:type="dxa"/>
            <w:vAlign w:val="bottom"/>
          </w:tcPr>
          <w:p>
            <w:pPr>
              <w:spacing w:after="0"/>
              <w:rPr>
                <w:sz w:val="19"/>
                <w:szCs w:val="19"/>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4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provide an age analysis on accruing past-due loans and nonaccrual loans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with no</w:t>
            </w: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Due</w:t>
            </w: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ACL</w:t>
            </w:r>
          </w:p>
        </w:tc>
      </w:tr>
      <w:tr>
        <w:trPr>
          <w:trHeight w:val="176"/>
        </w:trPr>
        <w:tc>
          <w:tcPr>
            <w:tcW w:w="5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3,179</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56"/>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69"/>
        </w:trPr>
        <w:tc>
          <w:tcPr>
            <w:tcW w:w="598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r>
      <w:tr>
        <w:trPr>
          <w:trHeight w:val="256"/>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Quality Indicators</w:t>
      </w:r>
    </w:p>
    <w:p>
      <w:pPr>
        <w:spacing w:after="0" w:line="2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reflects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spacing w:after="0" w:line="17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Interest income recognized using a cash-basis method on non-accrual loans for the three and nine months ended September 30, 2025 and 2024 was not significant. In addition, the Company closely monitors substandard accruing loans over $1 million, and past due accruing loans over $100 thousand for possible individual evaluation. All other loans will be evaluated collectively in designated pools unless a loss exposure has been identified. Additional funds committed to be advanced on individually analyzed loans are not significant.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tables reflect the amortized cost basis in loans held for investment by credit quality indicator and origination year at the dates indicated, and related year-to-date gross charge-offs. Loans acquired are shown in the table by origination year. The Company had an immaterial amount of revolving loans converted to term loans at September 30, 2025 and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Term Loans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80" w:type="dxa"/>
            <w:vAlign w:val="bottom"/>
            <w:gridSpan w:val="1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Amortized Cost Basis by Origination Year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4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40" w:type="dxa"/>
            <w:vAlign w:val="bottom"/>
          </w:tcPr>
          <w:p>
            <w:pPr>
              <w:spacing w:after="0"/>
              <w:rPr>
                <w:sz w:val="21"/>
                <w:szCs w:val="21"/>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148,914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249,340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103,723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1,003,256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10,847</w:t>
            </w: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5,539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21,823</w:t>
            </w:r>
          </w:p>
        </w:tc>
      </w:tr>
      <w:tr>
        <w:trPr>
          <w:trHeight w:val="27"/>
        </w:trPr>
        <w:tc>
          <w:tcPr>
            <w:tcW w:w="33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commercial real estate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137,465</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151,816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216,632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253,883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109,435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1,035,926</w:t>
            </w:r>
          </w:p>
        </w:tc>
      </w:tr>
      <w:tr>
        <w:trPr>
          <w:trHeight w:val="21"/>
        </w:trPr>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33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 specialized</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89,081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33,548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92,206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351,570</w:t>
            </w: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23,500</w:t>
            </w: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1,223</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2,713</w:t>
            </w:r>
          </w:p>
        </w:tc>
      </w:tr>
      <w:tr>
        <w:trPr>
          <w:trHeight w:val="257"/>
        </w:trPr>
        <w:tc>
          <w:tcPr>
            <w:tcW w:w="33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 specialized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95,458</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95,812</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 general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102,390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94,831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46,455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87,849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603,224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1,365</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15,712</w:t>
            </w: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10,320</w:t>
            </w:r>
          </w:p>
        </w:tc>
      </w:tr>
      <w:tr>
        <w:trPr>
          <w:trHeight w:val="27"/>
        </w:trPr>
        <w:tc>
          <w:tcPr>
            <w:tcW w:w="33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commercial - general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131,853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96,137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52,377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89,339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629,256</w:t>
            </w:r>
          </w:p>
        </w:tc>
      </w:tr>
      <w:tr>
        <w:trPr>
          <w:trHeight w:val="20"/>
        </w:trPr>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33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1-4 family residential</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141,828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79,469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577,198</w:t>
            </w: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5,575</w:t>
            </w: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9,805</w:t>
            </w:r>
          </w:p>
        </w:tc>
      </w:tr>
      <w:tr>
        <w:trPr>
          <w:trHeight w:val="256"/>
        </w:trPr>
        <w:tc>
          <w:tcPr>
            <w:tcW w:w="33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1-4 family residential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86,941</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73,982</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104,583</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592,578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33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 auto loans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88,719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255,928</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r>
      <w:tr>
        <w:trPr>
          <w:trHeight w:val="27"/>
        </w:trPr>
        <w:tc>
          <w:tcPr>
            <w:tcW w:w="33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consumer auto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14,016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256,281</w:t>
            </w:r>
          </w:p>
        </w:tc>
      </w:tr>
      <w:tr>
        <w:trPr>
          <w:trHeight w:val="21"/>
        </w:trPr>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other consumer</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63,632</w:t>
            </w: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r>
      <w:tr>
        <w:trPr>
          <w:trHeight w:val="256"/>
        </w:trPr>
        <w:tc>
          <w:tcPr>
            <w:tcW w:w="33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other consumer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Year-to-date gross charge-offs (1)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33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97,282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r>
      <w:tr>
        <w:trPr>
          <w:trHeight w:val="27"/>
        </w:trPr>
        <w:tc>
          <w:tcPr>
            <w:tcW w:w="33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construction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97,952</w:t>
            </w:r>
          </w:p>
        </w:tc>
      </w:tr>
      <w:tr>
        <w:trPr>
          <w:trHeight w:val="21"/>
        </w:trPr>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22"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$345 thousand in charged-off demand deposit overdrafts reported as 2025 originations.</w:t>
      </w:r>
    </w:p>
    <w:p>
      <w:pPr>
        <w:sectPr>
          <w:pgSz w:w="11900" w:h="16838" w:orient="portrait"/>
          <w:cols w:equalWidth="0" w:num="1">
            <w:col w:w="11240"/>
          </w:cols>
          <w:pgMar w:left="320" w:top="116" w:right="339" w:bottom="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Term Loans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11"/>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 Cost Basis by Origination Year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4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164,205</w:t>
            </w: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233,047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300,828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126,548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175,319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1,049,992</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32,243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5,464</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38,631</w:t>
            </w:r>
          </w:p>
        </w:tc>
        <w:tc>
          <w:tcPr>
            <w:tcW w:w="0" w:type="dxa"/>
            <w:vAlign w:val="bottom"/>
          </w:tcPr>
          <w:p>
            <w:pPr>
              <w:spacing w:after="0"/>
              <w:rPr>
                <w:sz w:val="1"/>
                <w:szCs w:val="1"/>
                <w:color w:val="auto"/>
              </w:rPr>
            </w:pPr>
          </w:p>
        </w:tc>
      </w:tr>
      <w:tr>
        <w:trPr>
          <w:trHeight w:val="223"/>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Borders>
              <w:left w:val="single" w:sz="8" w:color="CCEEFF"/>
            </w:tcBorders>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25,164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3,125</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30,440</w:t>
            </w:r>
          </w:p>
        </w:tc>
        <w:tc>
          <w:tcPr>
            <w:tcW w:w="0" w:type="dxa"/>
            <w:vAlign w:val="bottom"/>
          </w:tcPr>
          <w:p>
            <w:pPr>
              <w:spacing w:after="0"/>
              <w:rPr>
                <w:sz w:val="1"/>
                <w:szCs w:val="1"/>
                <w:color w:val="auto"/>
              </w:rPr>
            </w:pPr>
          </w:p>
        </w:tc>
      </w:tr>
      <w:tr>
        <w:trPr>
          <w:trHeight w:val="198"/>
        </w:trPr>
        <w:tc>
          <w:tcPr>
            <w:tcW w:w="2420" w:type="dxa"/>
            <w:vAlign w:val="bottom"/>
            <w:tcBorders>
              <w:top w:val="single" w:sz="8" w:color="CCEEFF"/>
            </w:tcBorders>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real estate</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164,205</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233,047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300,975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183,955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47,194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182,787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1,119,063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CEEFF"/>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 specialized</w:t>
            </w:r>
          </w:p>
        </w:tc>
        <w:tc>
          <w:tcPr>
            <w:tcW w:w="18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60,881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37,940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98,092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386,088</w:t>
            </w: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198"/>
        </w:trPr>
        <w:tc>
          <w:tcPr>
            <w:tcW w:w="242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commercial - specialized</w:t>
            </w: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104,012</w:t>
            </w: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60,881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388,955</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 general</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107,947</w:t>
            </w: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109,808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546,857</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23"/>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Borders>
              <w:left w:val="single" w:sz="8" w:color="CCEEFF"/>
            </w:tcBorders>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8,301</w:t>
            </w:r>
          </w:p>
        </w:tc>
        <w:tc>
          <w:tcPr>
            <w:tcW w:w="0" w:type="dxa"/>
            <w:vAlign w:val="bottom"/>
          </w:tcPr>
          <w:p>
            <w:pPr>
              <w:spacing w:after="0"/>
              <w:rPr>
                <w:sz w:val="1"/>
                <w:szCs w:val="1"/>
                <w:color w:val="auto"/>
              </w:rPr>
            </w:pPr>
          </w:p>
        </w:tc>
      </w:tr>
      <w:tr>
        <w:trPr>
          <w:trHeight w:val="198"/>
        </w:trPr>
        <w:tc>
          <w:tcPr>
            <w:tcW w:w="242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Total commercial - general</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108,045</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72,963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84,213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557,371</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Borders>
              <w:left w:val="single" w:sz="8" w:color="CCEEFF"/>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2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Consumer 1-4 family</w:t>
            </w:r>
          </w:p>
        </w:tc>
        <w:tc>
          <w:tcPr>
            <w:tcW w:w="180" w:type="dxa"/>
            <w:vAlign w:val="bottom"/>
            <w:tcBorders>
              <w:lef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80" w:type="dxa"/>
            <w:vAlign w:val="bottom"/>
            <w:tcBorders>
              <w:lef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150,358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73,730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559,162</w:t>
            </w: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1,057</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4,812</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7,238</w:t>
            </w:r>
          </w:p>
        </w:tc>
        <w:tc>
          <w:tcPr>
            <w:tcW w:w="0" w:type="dxa"/>
            <w:vAlign w:val="bottom"/>
          </w:tcPr>
          <w:p>
            <w:pPr>
              <w:spacing w:after="0"/>
              <w:rPr>
                <w:sz w:val="1"/>
                <w:szCs w:val="1"/>
                <w:color w:val="auto"/>
              </w:rPr>
            </w:pPr>
          </w:p>
        </w:tc>
      </w:tr>
      <w:tr>
        <w:trPr>
          <w:trHeight w:val="198"/>
        </w:trPr>
        <w:tc>
          <w:tcPr>
            <w:tcW w:w="242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consumer 1-4 family</w:t>
            </w: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loans</w:t>
            </w: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87,266</w:t>
            </w: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101,832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49,282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566,400</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auto loans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70,621</w:t>
            </w: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76,412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254,135</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400" w:type="dxa"/>
            <w:vAlign w:val="bottom"/>
            <w:tcBorders>
              <w:righ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consumer auto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70,642</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72,037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76,494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254,474</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Borders>
              <w:left w:val="single" w:sz="8" w:color="CCEEFF"/>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other consumer</w:t>
            </w:r>
          </w:p>
        </w:tc>
        <w:tc>
          <w:tcPr>
            <w:tcW w:w="18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14,790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64,839</w:t>
            </w: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8"/>
        </w:trPr>
        <w:tc>
          <w:tcPr>
            <w:tcW w:w="242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consumer other consumer</w:t>
            </w: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14,798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64,936</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4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197"/>
        </w:trPr>
        <w:tc>
          <w:tcPr>
            <w:tcW w:w="1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w:t>
            </w:r>
          </w:p>
        </w:tc>
        <w:tc>
          <w:tcPr>
            <w:tcW w:w="14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8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65,920</w:t>
            </w:r>
          </w:p>
        </w:tc>
        <w:tc>
          <w:tcPr>
            <w:tcW w:w="4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102,185</w:t>
            </w: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construction loans</w:t>
            </w:r>
          </w:p>
        </w:tc>
        <w:tc>
          <w:tcPr>
            <w:tcW w:w="180" w:type="dxa"/>
            <w:vAlign w:val="bottom"/>
            <w:tcBorders>
              <w:top w:val="single" w:sz="8" w:color="auto"/>
              <w:left w:val="single" w:sz="8" w:color="CCEEFF"/>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65,920</w:t>
            </w:r>
          </w:p>
        </w:tc>
        <w:tc>
          <w:tcPr>
            <w:tcW w:w="28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31,762</w:t>
            </w:r>
          </w:p>
        </w:tc>
        <w:tc>
          <w:tcPr>
            <w:tcW w:w="240" w:type="dxa"/>
            <w:vAlign w:val="bottom"/>
            <w:tcBorders>
              <w:left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$457 thousand in charged-off demand deposit overdrafts reported as 2024 originations.</w:t>
      </w:r>
    </w:p>
    <w:p>
      <w:pPr>
        <w:sectPr>
          <w:pgSz w:w="11900" w:h="16838" w:orient="portrait"/>
          <w:cols w:equalWidth="0" w:num="1">
            <w:col w:w="11240"/>
          </w:cols>
          <w:pgMar w:left="320" w:top="114" w:right="339" w:bottom="903"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903"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at September 30, 2025 and 2024 that were both experiencing financial difficulty and modified during the periods indicated, by class and by type of modification. The percentage of the amortized cost basis of loans that were modified to borrowers in financial distress as compared to the amortized cost basis of each class of financing receivable is also presented below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Delay,</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Extension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8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Extension,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Extension</w:t>
            </w: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Delay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 of Total</w:t>
            </w: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w:t>
            </w: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Class of</w:t>
            </w: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Financing</w:t>
            </w:r>
          </w:p>
        </w:tc>
      </w:tr>
      <w:tr>
        <w:trPr>
          <w:trHeight w:val="245"/>
        </w:trPr>
        <w:tc>
          <w:tcPr>
            <w:tcW w:w="2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Delay</w:t>
            </w:r>
          </w:p>
        </w:tc>
        <w:tc>
          <w:tcPr>
            <w:tcW w:w="160" w:type="dxa"/>
            <w:vAlign w:val="bottom"/>
          </w:tcPr>
          <w:p>
            <w:pPr>
              <w:spacing w:after="0"/>
              <w:rPr>
                <w:sz w:val="21"/>
                <w:szCs w:val="21"/>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Extension</w:t>
            </w:r>
          </w:p>
        </w:tc>
        <w:tc>
          <w:tcPr>
            <w:tcW w:w="80" w:type="dxa"/>
            <w:vAlign w:val="bottom"/>
          </w:tcPr>
          <w:p>
            <w:pPr>
              <w:spacing w:after="0"/>
              <w:rPr>
                <w:sz w:val="21"/>
                <w:szCs w:val="21"/>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60" w:type="dxa"/>
            <w:vAlign w:val="bottom"/>
          </w:tcPr>
          <w:p>
            <w:pPr>
              <w:spacing w:after="0"/>
              <w:rPr>
                <w:sz w:val="21"/>
                <w:szCs w:val="21"/>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00" w:type="dxa"/>
            <w:vAlign w:val="bottom"/>
          </w:tcPr>
          <w:p>
            <w:pPr>
              <w:spacing w:after="0"/>
              <w:rPr>
                <w:sz w:val="21"/>
                <w:szCs w:val="21"/>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80" w:type="dxa"/>
            <w:vAlign w:val="bottom"/>
          </w:tcPr>
          <w:p>
            <w:pPr>
              <w:spacing w:after="0"/>
              <w:rPr>
                <w:sz w:val="21"/>
                <w:szCs w:val="21"/>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175"/>
        </w:trPr>
        <w:tc>
          <w:tcPr>
            <w:tcW w:w="30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September 30, 2025</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29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0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30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0.65%</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8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r>
      <w:tr>
        <w:trPr>
          <w:trHeight w:val="27"/>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2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793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4,660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0.18%</w:t>
            </w:r>
          </w:p>
        </w:tc>
      </w:tr>
      <w:tr>
        <w:trPr>
          <w:trHeight w:val="169"/>
        </w:trPr>
        <w:tc>
          <w:tcPr>
            <w:tcW w:w="308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Three Months Ended September 30, 2024</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21"/>
        </w:trPr>
        <w:tc>
          <w:tcPr>
            <w:tcW w:w="29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0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8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6"/>
        </w:trPr>
        <w:tc>
          <w:tcPr>
            <w:tcW w:w="2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169"/>
        </w:trPr>
        <w:tc>
          <w:tcPr>
            <w:tcW w:w="308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Nine Months Ended September 30, 2025</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0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30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0.70%</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8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308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r>
      <w:tr>
        <w:trPr>
          <w:trHeight w:val="27"/>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6"/>
        </w:trPr>
        <w:tc>
          <w:tcPr>
            <w:tcW w:w="2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r>
      <w:tr>
        <w:trPr>
          <w:trHeight w:val="169"/>
        </w:trPr>
        <w:tc>
          <w:tcPr>
            <w:tcW w:w="308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Nine Months Ended September 30, 2024</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0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8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2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effects of the loan modifications presented above to borrowers experiencing financial difficulty during the periods indicated below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 Term</w:t>
            </w: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r>
      <w:tr>
        <w:trPr>
          <w:trHeight w:val="245"/>
        </w:trPr>
        <w:tc>
          <w:tcPr>
            <w:tcW w:w="2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176"/>
        </w:trPr>
        <w:tc>
          <w:tcPr>
            <w:tcW w:w="4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September 30, 2025</w:t>
            </w:r>
          </w:p>
        </w:tc>
        <w:tc>
          <w:tcPr>
            <w:tcW w:w="43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4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September 30, 2024</w:t>
            </w:r>
          </w:p>
        </w:tc>
        <w:tc>
          <w:tcPr>
            <w:tcW w:w="4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9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4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Nine Months Ended September 30, 2025</w:t>
            </w:r>
          </w:p>
        </w:tc>
        <w:tc>
          <w:tcPr>
            <w:tcW w:w="4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4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Nine Months Ended September 30, 2024</w:t>
            </w:r>
          </w:p>
        </w:tc>
        <w:tc>
          <w:tcPr>
            <w:tcW w:w="4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4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5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5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552"/>
        </w:trPr>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60" w:type="dxa"/>
            <w:vAlign w:val="bottom"/>
          </w:tcPr>
          <w:p>
            <w:pPr>
              <w:jc w:val="right"/>
              <w:ind w:right="2851"/>
              <w:spacing w:after="0"/>
              <w:rPr>
                <w:sz w:val="20"/>
                <w:szCs w:val="20"/>
                <w:color w:val="auto"/>
              </w:rPr>
            </w:pPr>
            <w:r>
              <w:rPr>
                <w:rFonts w:ascii="Times New Roman" w:cs="Times New Roman" w:eastAsia="Times New Roman" w:hAnsi="Times New Roman"/>
                <w:sz w:val="14"/>
                <w:szCs w:val="14"/>
                <w:color w:val="auto"/>
              </w:rPr>
              <w:t>16</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closely monitors the performance of loans that are modified to borrowers experiencing financial difficulty to understand the effectiveness of its modification efforts. The following presents the performance of such loans that have been modified in the last twelve months at the dates indicated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30-89 Days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4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Due</w:t>
            </w: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w:t>
            </w:r>
          </w:p>
        </w:tc>
      </w:tr>
      <w:tr>
        <w:trPr>
          <w:trHeight w:val="176"/>
        </w:trPr>
        <w:tc>
          <w:tcPr>
            <w:tcW w:w="5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46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84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1,442</w:t>
            </w:r>
          </w:p>
        </w:tc>
      </w:tr>
      <w:tr>
        <w:trPr>
          <w:trHeight w:val="257"/>
        </w:trPr>
        <w:tc>
          <w:tcPr>
            <w:tcW w:w="146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21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had no loans made to borrowers experiencing financial difficulty that were modified during the last twelve months that subsequently defaulted. During the nine months ended September 30, 2025, the Company had $97 thousand in loans made to borrowers experiencing financial difficulty that were modified during the last twelve months that subsequently defaulted. Payment default is defined as movement to nonperforming status, foreclosure, or charge-off.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had $32 thousand in loans made to borrowers experiencing financial difficulty that were modified during the last twelve months that subsequently defaulted.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$19.3 million at September 30, 2025 and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which consisted of core deposit intangibles at the dates indicated are summarized below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9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intangible</w:t>
            </w:r>
          </w:p>
        </w:tc>
        <w:tc>
          <w:tcPr>
            <w:tcW w:w="4980" w:type="dxa"/>
            <w:vAlign w:val="bottom"/>
            <w:gridSpan w:val="2"/>
            <w:shd w:val="clear" w:color="auto" w:fill="CCEEFF"/>
          </w:tcPr>
          <w:p>
            <w:pPr>
              <w:ind w:left="4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6,679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6,679</w:t>
            </w: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(5,414)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(4,959)</w:t>
            </w:r>
          </w:p>
        </w:tc>
      </w:tr>
      <w:tr>
        <w:trPr>
          <w:trHeight w:val="257"/>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1,265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940" w:type="dxa"/>
            <w:vAlign w:val="bottom"/>
          </w:tcPr>
          <w:p>
            <w:pPr>
              <w:spacing w:after="0"/>
              <w:rPr>
                <w:sz w:val="24"/>
                <w:szCs w:val="24"/>
                <w:color w:val="auto"/>
              </w:rPr>
            </w:pPr>
          </w:p>
        </w:tc>
        <w:tc>
          <w:tcPr>
            <w:tcW w:w="4740" w:type="dxa"/>
            <w:vAlign w:val="bottom"/>
          </w:tcPr>
          <w:p>
            <w:pPr>
              <w:jc w:val="right"/>
              <w:ind w:right="2899"/>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94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MORTGAGE SERVICING RIGHTS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adjustment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24,458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24,573</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serviced for others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1,903,854</w:t>
            </w:r>
          </w:p>
        </w:tc>
        <w:tc>
          <w:tcPr>
            <w:tcW w:w="160" w:type="dxa"/>
            <w:vAlign w:val="bottom"/>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assets as a percentage of serviced mortgage loans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key assumptions used in measuring the fair value of the Company’s mortgage servicing rights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constant prepayment rate</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8.22%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9.70%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7.66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Subordinated Debt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2018, the Company issued $14.1 million of subordinated notes that have a maturity date of December 2030 and a weighted average fixed rate of 6.41% for the first seven years. After the fixed rate period, these notes will float at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29, 2020, the Company issued $50.0 million in subordinated notes. Proceeds were reduced by approximately $926 thousand in debt issuance costs. These notes had a maturity date of September 2030 with a fixed rate of 4.50% for the first five years. On August 25, 2025, the Company notified holders (the “Redemption Notice”) of these notes that it had elected to redeem all of these outstanding notes effective on September 30, 2025 (the “Redemption Date”). Each of these notes were redeemed pursuant to the terms of the Indenture, dated as of September 29, 2020, between the Company and UMB Bank, National Association, as trustee for these notes (the “Trustee”), at the edemption price totaling $50.0 million in aggregate principal amount, plus accrued and unpaid interest (the “Redemption Price”). As provided in the Redemption Notice, on the Redemption Date, the Trustee paid the relevant Redemption Price to the holders of these notes appearing on the books and records of the Trustee on the Redemption Date. The notes ceased to represent the right to payment of principal and interest upon the payment to the holders of the notes by the Trustee representing the Redemption Price. The Company received all necessary regulatory approvals for the redemption of these notes.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total amount of subordinated notes outstanding was $14.1 million. As of December 31, 2024, the total amount of subordinated notes outstanding was $64.1 million less approximately $139 thousand of remaining debt issuance costs for a total balance of $64.0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Payable and Other Borrowings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September 30, 2025 and December 31, 2024, City Bank had no outstanding advances from the Federal Home Loan Bank of Dallas (“FHLB”) or any short-term borrowings.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The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5,413,184 at September 30, 2025. The maximum aggregate number of shares that may be issued under the Plan may be increased annually by up to 3% of the total issued and outstanding common shares of the Company at the beginning of each fiscal year.</w:t>
      </w:r>
    </w:p>
    <w:p>
      <w:pPr>
        <w:sectPr>
          <w:pgSz w:w="11900" w:h="16838" w:orient="portrait"/>
          <w:cols w:equalWidth="0" w:num="1">
            <w:col w:w="11240"/>
          </w:cols>
          <w:pgMar w:left="320" w:top="116"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the U.S. Treasury yield curve in effect at the time of the grant.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in the Plan during the period indicated is presented in the table below (dollars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2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29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Life in Years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6"/>
        </w:trPr>
        <w:tc>
          <w:tcPr>
            <w:tcW w:w="5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Nine Months Ended September 30, 2025</w:t>
            </w: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9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1,175,787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24,477</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30,024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(51,138)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3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1,154,673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23,588</w:t>
            </w:r>
          </w:p>
        </w:tc>
      </w:tr>
      <w:tr>
        <w:trPr>
          <w:trHeight w:val="209"/>
        </w:trPr>
        <w:tc>
          <w:tcPr>
            <w:tcW w:w="29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1,082,045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23,018</w:t>
            </w:r>
          </w:p>
        </w:tc>
      </w:tr>
      <w:tr>
        <w:trPr>
          <w:trHeight w:val="209"/>
        </w:trPr>
        <w:tc>
          <w:tcPr>
            <w:tcW w:w="29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1,082,045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23,018</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assumptions used to calculate the fair values of the awards granted during the periods noted is presented below:</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8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8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40.45%</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nine months ended September 30, 2025 and 2024 was $917 thousand and $134 thousand,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Awards and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in the Plan during the period indicated is presented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9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9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294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Nine Months Ended September 30, 2025</w:t>
            </w: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73,488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27.69</w:t>
            </w:r>
          </w:p>
        </w:tc>
      </w:tr>
      <w:tr>
        <w:trPr>
          <w:trHeight w:val="216"/>
        </w:trPr>
        <w:tc>
          <w:tcPr>
            <w:tcW w:w="29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241,522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28.61</w:t>
            </w:r>
          </w:p>
        </w:tc>
      </w:tr>
      <w:tr>
        <w:trPr>
          <w:trHeight w:val="21"/>
        </w:trPr>
        <w:tc>
          <w:tcPr>
            <w:tcW w:w="29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vested during each of the nine months ended September 30, 2025 and 2024 was $546 thousand and $643 thousand, respectively.</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 recorded stock-based compensation expense related to the Plan of $621 thousand and $563 thousand, respectively. For the nine months ended September 30, 2025 and 2024, the Company recorded stock-based compensation expense related to the Plan of $1.9 million and $1.7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for the awards outstanding under the Plan at September 30, 2025 was $4.2 million and will be recognized over a weighted average remaining period of 1.66 years.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maintains the South Plains Financial, Inc. 2023 Employee Stock Purchase Plan (the “ESPP”)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employees an opportunity to purchase shares of Company common stock at a 15% discount from the lesser of fair market value on the first or last day of each six-month offering period, beginning August 1, 2024. The ESPP provides for the purchase of up to an aggregate of one million shares of the Company’s common stock by the employees. A maximum of 1,200 shares per employee may be purchased per offering period. The ESPP benefit is treated as compensation to the employee, and the compensation expense will be recognized over the service period based on the grant date fair value of the rights determined at the beginning of the purchase period, adjusted for forfeitures and certain modifications. Stock-based compensation expense related to the ESPP was $29 thousand and $94 thousand for the three and nine months ended September 30, 2025, respectively. At September 30, 2025, there was $39 thousand of total unrecognized compensation expense related to estimated ESPP shares. These costs are expected to be recognized over a period of seven months. As of September 30, 2025, 15,925 shares were issued under the ESPP.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assumptions used to calculate the grant date fair value of the ESPP rights for the period indicated is presented below:</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74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9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74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9740" w:type="dxa"/>
            <w:vAlign w:val="bottom"/>
          </w:tcPr>
          <w:p>
            <w:pPr>
              <w:spacing w:after="0"/>
              <w:rPr>
                <w:sz w:val="21"/>
                <w:szCs w:val="21"/>
                <w:color w:val="auto"/>
              </w:rPr>
            </w:pPr>
          </w:p>
        </w:tc>
        <w:tc>
          <w:tcPr>
            <w:tcW w:w="14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198"/>
        </w:trPr>
        <w:tc>
          <w:tcPr>
            <w:tcW w:w="9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Expected volatility</w:t>
            </w:r>
          </w:p>
        </w:tc>
        <w:tc>
          <w:tcPr>
            <w:tcW w:w="2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29.24% to</w:t>
            </w:r>
          </w:p>
        </w:tc>
        <w:tc>
          <w:tcPr>
            <w:tcW w:w="100" w:type="dxa"/>
            <w:vAlign w:val="bottom"/>
            <w:shd w:val="clear" w:color="auto" w:fill="CCEEFF"/>
          </w:tcPr>
          <w:p>
            <w:pPr>
              <w:spacing w:after="0"/>
              <w:rPr>
                <w:sz w:val="17"/>
                <w:szCs w:val="17"/>
                <w:color w:val="auto"/>
              </w:rPr>
            </w:pPr>
          </w:p>
        </w:tc>
      </w:tr>
      <w:tr>
        <w:trPr>
          <w:trHeight w:val="234"/>
        </w:trPr>
        <w:tc>
          <w:tcPr>
            <w:tcW w:w="974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36.08%</w:t>
            </w: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1.70% to 1.89%</w:t>
            </w: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4.12% to 5.02%</w:t>
            </w:r>
          </w:p>
        </w:tc>
      </w:tr>
      <w:tr>
        <w:trPr>
          <w:trHeight w:val="414"/>
        </w:trPr>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OFF-BALANCE-SHEET ACTIVITIES, COMMITMENTS AND CONTINGENCIES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Financial instruments with off-balance-sheet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is a party to financial instruments with off-balance-sheet risk in the normal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 outstanding at the dates indicated follow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537,688</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29,587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18,696</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FHLB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may use FHLB letters of credit to pledge to certain public deposits. At September 30, 2025 there were no FHLB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letters of credit outstanding. At December 31, 2024 there were $75.0 million of FHLB letters or credit outstanding.</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is a defendant in legal actions arising from time to time in the normal course of business. Management believes that the ultimate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if any, arising from these matters will not materially affect the consolidated financial statements, based on information known as of the date the consolidated financial statements were issued.</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AND REGULATORY MATTERS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September 30, 2025 and December 31, 2024, that the Company and its bank subsidiary met all capital adequacy requirements to which they are subject.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and December 31, 2024,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September 30, 2025 that management believes have changed the bank subsidiary’s category.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bank subsidiary’s actual capital amounts and ratios at the dates indicated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Be Well Capitalized</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 Prompt Corrective</w:t>
            </w: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Under BASEL III</w:t>
            </w:r>
          </w:p>
        </w:tc>
        <w:tc>
          <w:tcPr>
            <w:tcW w:w="160" w:type="dxa"/>
            <w:vAlign w:val="bottom"/>
          </w:tcPr>
          <w:p>
            <w:pPr>
              <w:spacing w:after="0"/>
              <w:rPr>
                <w:sz w:val="21"/>
                <w:szCs w:val="21"/>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Action Provisions</w:t>
            </w:r>
          </w:p>
        </w:tc>
      </w:tr>
      <w:tr>
        <w:trPr>
          <w:trHeight w:val="223"/>
        </w:trPr>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r>
      <w:tr>
        <w:trPr>
          <w:trHeight w:val="176"/>
        </w:trPr>
        <w:tc>
          <w:tcPr>
            <w:tcW w:w="146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September 30, 2025</w:t>
            </w:r>
          </w:p>
        </w:tc>
        <w:tc>
          <w:tcPr>
            <w:tcW w:w="17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611,541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370,388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533,034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15.11%</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370,347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352,711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553,326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299,838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488,925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299,804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282,169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32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508,326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246,926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488,925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246,898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229,262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553,326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179,724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488,925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179,648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223,531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32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631,713</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371,426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520,788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371,351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353,667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14.80%</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300,678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300,617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2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2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478,535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247,617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247,567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229,884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174,777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174,710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217,336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September 30,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amounts of the interest rate swaps do not represent amounts exchanged by the parties. The amount exchanged is determined by reference to the notional amounts and the other terms of the individual interest rate swap agreements.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hedges included in the Consolidated Statements of Comprehensive Income for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20" w:type="dxa"/>
            <w:vAlign w:val="bottom"/>
          </w:tcPr>
          <w:p>
            <w:pPr>
              <w:spacing w:after="0"/>
              <w:rPr>
                <w:sz w:val="19"/>
                <w:szCs w:val="19"/>
                <w:color w:val="auto"/>
              </w:rPr>
            </w:pPr>
          </w:p>
        </w:tc>
        <w:tc>
          <w:tcPr>
            <w:tcW w:w="428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w:t>
            </w:r>
          </w:p>
        </w:tc>
        <w:tc>
          <w:tcPr>
            <w:tcW w:w="120" w:type="dxa"/>
            <w:vAlign w:val="bottom"/>
            <w:shd w:val="clear" w:color="auto" w:fill="CCEEFF"/>
          </w:tcPr>
          <w:p>
            <w:pPr>
              <w:spacing w:after="0"/>
              <w:rPr>
                <w:sz w:val="17"/>
                <w:szCs w:val="17"/>
                <w:color w:val="auto"/>
              </w:rPr>
            </w:pPr>
          </w:p>
        </w:tc>
        <w:tc>
          <w:tcPr>
            <w:tcW w:w="4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noninterest expense</w:t>
            </w: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w:t>
            </w:r>
          </w:p>
        </w:tc>
        <w:tc>
          <w:tcPr>
            <w:tcW w:w="4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investment securities</w:t>
            </w:r>
          </w:p>
        </w:tc>
        <w:tc>
          <w:tcPr>
            <w:tcW w:w="1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4,196</w:t>
            </w:r>
          </w:p>
        </w:tc>
        <w:tc>
          <w:tcPr>
            <w:tcW w:w="0" w:type="dxa"/>
            <w:vAlign w:val="bottom"/>
          </w:tcPr>
          <w:p>
            <w:pPr>
              <w:spacing w:after="0"/>
              <w:rPr>
                <w:sz w:val="1"/>
                <w:szCs w:val="1"/>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 fixed</w:t>
            </w:r>
          </w:p>
        </w:tc>
        <w:tc>
          <w:tcPr>
            <w:tcW w:w="120" w:type="dxa"/>
            <w:vAlign w:val="bottom"/>
            <w:shd w:val="clear" w:color="auto" w:fill="CCEEFF"/>
          </w:tcPr>
          <w:p>
            <w:pPr>
              <w:spacing w:after="0"/>
              <w:rPr>
                <w:sz w:val="17"/>
                <w:szCs w:val="17"/>
                <w:color w:val="auto"/>
              </w:rPr>
            </w:pPr>
          </w:p>
        </w:tc>
        <w:tc>
          <w:tcPr>
            <w:tcW w:w="45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income - loans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 loans</w:t>
            </w:r>
          </w:p>
        </w:tc>
        <w:tc>
          <w:tcPr>
            <w:tcW w:w="120" w:type="dxa"/>
            <w:vAlign w:val="bottom"/>
            <w:shd w:val="clear" w:color="auto" w:fill="CCEEFF"/>
          </w:tcPr>
          <w:p>
            <w:pPr>
              <w:spacing w:after="0"/>
              <w:rPr>
                <w:sz w:val="20"/>
                <w:szCs w:val="20"/>
                <w:color w:val="auto"/>
              </w:rPr>
            </w:pPr>
          </w:p>
        </w:tc>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20"/>
                <w:szCs w:val="20"/>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fixed rate loans</w:t>
            </w:r>
          </w:p>
        </w:tc>
        <w:tc>
          <w:tcPr>
            <w:tcW w:w="12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 - loans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20" w:type="dxa"/>
            <w:vAlign w:val="bottom"/>
          </w:tcPr>
          <w:p>
            <w:pPr>
              <w:spacing w:after="0"/>
              <w:rPr>
                <w:sz w:val="19"/>
                <w:szCs w:val="19"/>
                <w:color w:val="auto"/>
              </w:rPr>
            </w:pPr>
          </w:p>
        </w:tc>
        <w:tc>
          <w:tcPr>
            <w:tcW w:w="428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w:t>
            </w:r>
          </w:p>
        </w:tc>
        <w:tc>
          <w:tcPr>
            <w:tcW w:w="120" w:type="dxa"/>
            <w:vAlign w:val="bottom"/>
            <w:shd w:val="clear" w:color="auto" w:fill="CCEEFF"/>
          </w:tcPr>
          <w:p>
            <w:pPr>
              <w:spacing w:after="0"/>
              <w:rPr>
                <w:sz w:val="17"/>
                <w:szCs w:val="17"/>
                <w:color w:val="auto"/>
              </w:rPr>
            </w:pPr>
          </w:p>
        </w:tc>
        <w:tc>
          <w:tcPr>
            <w:tcW w:w="4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noninterest expense</w:t>
            </w: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w:t>
            </w:r>
          </w:p>
        </w:tc>
        <w:tc>
          <w:tcPr>
            <w:tcW w:w="46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investment securities</w:t>
            </w:r>
          </w:p>
        </w:tc>
        <w:tc>
          <w:tcPr>
            <w:tcW w:w="1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 fixed</w:t>
            </w:r>
          </w:p>
        </w:tc>
        <w:tc>
          <w:tcPr>
            <w:tcW w:w="120" w:type="dxa"/>
            <w:vAlign w:val="bottom"/>
            <w:shd w:val="clear" w:color="auto" w:fill="CCEEFF"/>
          </w:tcPr>
          <w:p>
            <w:pPr>
              <w:spacing w:after="0"/>
              <w:rPr>
                <w:sz w:val="17"/>
                <w:szCs w:val="17"/>
                <w:color w:val="auto"/>
              </w:rPr>
            </w:pPr>
          </w:p>
        </w:tc>
        <w:tc>
          <w:tcPr>
            <w:tcW w:w="45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income - loans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 loans</w:t>
            </w:r>
          </w:p>
        </w:tc>
        <w:tc>
          <w:tcPr>
            <w:tcW w:w="120" w:type="dxa"/>
            <w:vAlign w:val="bottom"/>
            <w:shd w:val="clear" w:color="auto" w:fill="CCEEFF"/>
          </w:tcPr>
          <w:p>
            <w:pPr>
              <w:spacing w:after="0"/>
              <w:rPr>
                <w:sz w:val="20"/>
                <w:szCs w:val="20"/>
                <w:color w:val="auto"/>
              </w:rPr>
            </w:pPr>
          </w:p>
        </w:tc>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20"/>
                <w:szCs w:val="2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fixed rate loans</w:t>
            </w:r>
          </w:p>
        </w:tc>
        <w:tc>
          <w:tcPr>
            <w:tcW w:w="12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 - loans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fair value hedges included in the Consolidated Balance Sheets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4"/>
        </w:trPr>
        <w:tc>
          <w:tcPr>
            <w:tcW w:w="4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4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1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8,043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117,860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15,495</w:t>
            </w:r>
          </w:p>
        </w:tc>
      </w:tr>
      <w:tr>
        <w:trPr>
          <w:trHeight w:val="570"/>
        </w:trPr>
        <w:tc>
          <w:tcPr>
            <w:tcW w:w="4980" w:type="dxa"/>
            <w:vAlign w:val="bottom"/>
          </w:tcPr>
          <w:p>
            <w:pPr>
              <w:spacing w:after="0"/>
              <w:rPr>
                <w:sz w:val="24"/>
                <w:szCs w:val="24"/>
                <w:color w:val="auto"/>
              </w:rPr>
            </w:pP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banking derivatives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gains (losses) relating to free standing derivative instruments used for risk management are summarized below for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4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400" w:type="dxa"/>
            <w:vAlign w:val="bottom"/>
          </w:tcPr>
          <w:p>
            <w:pPr>
              <w:spacing w:after="0"/>
              <w:rPr>
                <w:sz w:val="19"/>
                <w:szCs w:val="19"/>
                <w:color w:val="auto"/>
              </w:rPr>
            </w:pPr>
          </w:p>
        </w:tc>
        <w:tc>
          <w:tcPr>
            <w:tcW w:w="41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mortgage banking derivatives</w:t>
            </w: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r>
      <w:tr>
        <w:trPr>
          <w:trHeight w:val="410"/>
        </w:trPr>
        <w:tc>
          <w:tcPr>
            <w:tcW w:w="44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44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400" w:type="dxa"/>
            <w:vAlign w:val="bottom"/>
          </w:tcPr>
          <w:p>
            <w:pPr>
              <w:spacing w:after="0"/>
              <w:rPr>
                <w:sz w:val="19"/>
                <w:szCs w:val="19"/>
                <w:color w:val="auto"/>
              </w:rPr>
            </w:pPr>
          </w:p>
        </w:tc>
        <w:tc>
          <w:tcPr>
            <w:tcW w:w="41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mortgage banking derivatives</w:t>
            </w: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amount and fair value of mortgage banking derivatives in the Consolidated Balance Sheets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40" w:type="dxa"/>
            <w:vAlign w:val="bottom"/>
            <w:gridSpan w:val="3"/>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820" w:type="dxa"/>
            <w:vAlign w:val="bottom"/>
            <w:tcBorders>
              <w:top w:val="single" w:sz="8" w:color="auto"/>
            </w:tcBorders>
          </w:tcPr>
          <w:p>
            <w:pPr>
              <w:jc w:val="right"/>
              <w:ind w:right="13"/>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16,375</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25,639</w:t>
            </w:r>
          </w:p>
        </w:tc>
        <w:tc>
          <w:tcPr>
            <w:tcW w:w="8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8,620</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received cash collateral of $10.5 million and $17.0 million to offset asset derivative positions on its interest rate swaps at September 30, 2025 and December 31, 2024, respectively. This amount is reported in other liabilities in the Consolidated Balance Sheets. The Company had advanced $1.1 million to offset liability derivative positions on its interest rate swaps at September 30, 2025 and December 31, 2024. Additionally, the Company had advanced $270 thousand on its mortgage forward contracts at September 30, 2025 and December 31, 2024. The advanced cash collateral amounts are reported in cash and due from banks in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used in the earnings per share computation for the periods indicated follow (dollars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16,241,695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16,386,079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16,295,757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16,413,685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awards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670,880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684,833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565,753</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16,990,546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17,056,959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16,980,590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16,979,438</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segments are components of a business about which separate financial information is available that is evaluated regularly by the chief operating decision-maker (“CODM”) in deciding how to allocate resources and in assessing performance.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reportable banking segment is determined by its President, who is the designated CODM. City Bank is the only significant subsidiary upon which the CODM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CODM monitors the revenue streams of the various products, services, and branch locations, operations are managed and financial performance is evaluated on a Company-wide basis. Accordingly, all of the community banking services and branch locations are considered by management to be aggregated into one reportable operating segment, banking. Loans, investments, and deposits provide the significant revenues and interest expense, provision for credit losses and salaries and employee benefits comprise the significant expenses within the banking segment. All significant revenues and expenses mentioned above are shown individually on the Consolidated Statements of Comprehensive Income.</w:t>
      </w:r>
    </w:p>
    <w:p>
      <w:pPr>
        <w:sectPr>
          <w:pgSz w:w="11900" w:h="16838" w:orient="portrait"/>
          <w:cols w:equalWidth="0" w:num="1">
            <w:col w:w="11240"/>
          </w:cols>
          <w:pgMar w:left="320" w:top="115" w:right="339" w:bottom="1146"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146"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DISCLOSURES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92" w:lineRule="exact"/>
        <w:rPr>
          <w:sz w:val="20"/>
          <w:szCs w:val="20"/>
          <w:color w:val="auto"/>
        </w:rPr>
      </w:pPr>
    </w:p>
    <w:p>
      <w:pPr>
        <w:ind w:left="660" w:hanging="328"/>
        <w:spacing w:after="0" w:line="236"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Unadjusted quoted prices in active markets for identical assets or liabilities that the reporting entity has the ability to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jc w:val="both"/>
        <w:ind w:left="660" w:hanging="328"/>
        <w:spacing w:after="0" w:line="237"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Inputs other than quoted prices included in Level 1 that are observable for the asset or liability, either directly or indirectly.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ind w:left="660" w:hanging="328"/>
        <w:spacing w:after="0" w:line="225"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Level 3 Inputs </w:t>
      </w:r>
      <w:r>
        <w:rPr>
          <w:rFonts w:ascii="Times New Roman" w:cs="Times New Roman" w:eastAsia="Times New Roman" w:hAnsi="Times New Roman"/>
          <w:sz w:val="18"/>
          <w:szCs w:val="18"/>
          <w:color w:val="auto"/>
        </w:rPr>
        <w:t>- Significant unobservable inputs for determining the fair values of assets or liabilities that reflect an entity’s own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the assumptions that market participants would use in pricing the assets or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fair value measurements as of the dates indicated below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5"/>
        </w:trPr>
        <w:tc>
          <w:tcPr>
            <w:tcW w:w="146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September 30, 2025</w:t>
            </w:r>
          </w:p>
        </w:tc>
        <w:tc>
          <w:tcPr>
            <w:tcW w:w="45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175,147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175,147</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264,026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264,026</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43,296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43,296</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68,089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68,089</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13,705</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6,875</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9,912</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24,458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24,458</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10,895</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5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173,297</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264,096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264,096</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40,360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40,360</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73,483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73,483</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14,581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14,581</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11,423</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13,791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13,791</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26,292</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15,998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15,998</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20,566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20,566</w:t>
            </w:r>
          </w:p>
        </w:tc>
      </w:tr>
    </w:tbl>
    <w:p>
      <w:pPr>
        <w:spacing w:after="0" w:line="200" w:lineRule="exact"/>
        <w:rPr>
          <w:sz w:val="20"/>
          <w:szCs w:val="20"/>
          <w:color w:val="auto"/>
        </w:rPr>
      </w:pPr>
    </w:p>
    <w:p>
      <w:pPr>
        <w:sectPr>
          <w:pgSz w:w="11900" w:h="16838" w:orient="portrait"/>
          <w:cols w:equalWidth="0" w:num="1">
            <w:col w:w="11240"/>
          </w:cols>
          <w:pgMar w:left="320" w:top="115" w:right="339" w:bottom="984"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984"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5 for the Level 3 change activity for each of the three and nine months ended September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rPr>
        <w:t xml:space="preserve"> – Fair value of derivatives is based on valuation models using observable market data as of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held for investment</w:t>
      </w:r>
      <w:r>
        <w:rPr>
          <w:rFonts w:ascii="Times New Roman" w:cs="Times New Roman" w:eastAsia="Times New Roman" w:hAnsi="Times New Roman"/>
          <w:sz w:val="18"/>
          <w:szCs w:val="18"/>
          <w:color w:val="auto"/>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Assets Recorded on a Recurring Basis for which the Fair Value Option has been Elected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Loans held for sale (mandatory)</w:t>
      </w:r>
      <w:r>
        <w:rPr>
          <w:rFonts w:ascii="Times New Roman" w:cs="Times New Roman" w:eastAsia="Times New Roman" w:hAnsi="Times New Roman"/>
          <w:sz w:val="18"/>
          <w:szCs w:val="18"/>
          <w:color w:val="auto"/>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For assets for which the fair value option has been elected, the earned current contractual interest payment is recognized in interest income, loan origination costs and fees on fair value option loans are recognized in earnings as incurred and not deferred. At September 30, 2025, and December 31, 2024, there were no gains or losses recorded attributable to changes in instrument-specific credit risk. Fair value is determined using quoted prices for similar assets, adjusted for specific attributes of that loan. At September 30, 2025 and December 31, 2024, the aggregate fair value of loans held for sale for mandatory delivery was $9.9 million and $13.8 million, respectively. The aggregate unpaid principal balance as of the same dates was $9.7 million and $13.5 million, respectively, representing differences between fair value and unpaid principal balance of $259 thousand and $271 thousand, respectively. The Company had no loans held for sale for mandatory delivery designated as nonaccrual or 90 days or more past due at each of September 30, 2025 and December 31, 2024.</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fair value option impact on noninterest income for loans held for sale for mandatory delivery is included in Net gain on sales of loans in the Consolidated Statements of Comprehensive Income. For each of the three months ended September 30, 2025 and 2024, the net (gain) loss amount totaled $181 thousand and $94 thousand, respectively. For each of the nine months ended September 30, 2025 and 2024, the net (gain) loss amount totaled $18 thousand and $(246) thousand,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recurring and non-recurring Level 3 fair value measurements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8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20" w:type="dxa"/>
            <w:vAlign w:val="bottom"/>
          </w:tcPr>
          <w:p>
            <w:pPr>
              <w:spacing w:after="0"/>
              <w:rPr>
                <w:sz w:val="18"/>
                <w:szCs w:val="18"/>
                <w:color w:val="auto"/>
              </w:rPr>
            </w:pPr>
          </w:p>
        </w:tc>
        <w:tc>
          <w:tcPr>
            <w:tcW w:w="28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Range of</w:t>
            </w: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8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Techniques</w:t>
            </w:r>
          </w:p>
        </w:tc>
        <w:tc>
          <w:tcPr>
            <w:tcW w:w="120" w:type="dxa"/>
            <w:vAlign w:val="bottom"/>
          </w:tcPr>
          <w:p>
            <w:pPr>
              <w:spacing w:after="0"/>
              <w:rPr>
                <w:sz w:val="21"/>
                <w:szCs w:val="21"/>
                <w:color w:val="auto"/>
              </w:rPr>
            </w:pPr>
          </w:p>
        </w:tc>
        <w:tc>
          <w:tcPr>
            <w:tcW w:w="280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Discounts</w:t>
            </w:r>
          </w:p>
        </w:tc>
      </w:tr>
      <w:tr>
        <w:trPr>
          <w:trHeight w:val="175"/>
        </w:trPr>
        <w:tc>
          <w:tcPr>
            <w:tcW w:w="146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September 30, 2025</w:t>
            </w:r>
          </w:p>
        </w:tc>
        <w:tc>
          <w:tcPr>
            <w:tcW w:w="14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7,230</w:t>
            </w: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 to 50%</w:t>
            </w:r>
          </w:p>
        </w:tc>
      </w:tr>
      <w:tr>
        <w:trPr>
          <w:trHeight w:val="216"/>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Recurring:</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24,458</w:t>
            </w: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cash flows</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Constant prepayment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2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20,566</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26,292</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Discounted cash flows</w:t>
            </w:r>
          </w:p>
        </w:tc>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Constant prepayment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w:t>
            </w:r>
          </w:p>
        </w:tc>
      </w:tr>
      <w:tr>
        <w:trPr>
          <w:trHeight w:val="570"/>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1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amounts, of the Company’s financial instruments that are not previously disclosed in the recurring fair values section are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392"/>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3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635,046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635,046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635,046</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3,009,378</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2,982,640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2,982,640</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3,193</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18,012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18,012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18,012</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3,881,143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3,880,874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3,880,874</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4,671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4,671</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34,827</w:t>
            </w:r>
          </w:p>
        </w:tc>
      </w:tr>
      <w:tr>
        <w:trPr>
          <w:trHeight w:val="234"/>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14,100</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14,012</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14,012</w:t>
            </w:r>
          </w:p>
        </w:tc>
      </w:tr>
      <w:tr>
        <w:trPr>
          <w:trHeight w:val="37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2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359,082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359,082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359,082</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3,011,817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2,937,678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2,937,678</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6,751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6,875</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21,687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21,687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21,687</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3,620,876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3,621,106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3,621,106</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6,108</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34,285</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63,961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60,969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60,969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Declaration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15, 2025, the Company declared a cash dividend of $0.16 per share of common stock to be paid on November 10, 2025 to all shareholders of record as of the close of business on October 27, 2025.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periods covered by this Quarterly Report on Form 10-Q (this “Form 10-Q”) and should be read in conjunction with our consolidated financial statements and the accompanying notes thereto included in this Form 10-Q and in our Annual Report on Form 10-K for the year ended December 31, 2024 (the “2024 Annual Report on Form 10-K”) filed with the U.S. Securities and Exchange Commission (the “SEC”) pursuant to Rule 424(b) of the Securities Act of 1933, as amended (the “Securities Act”), on March 7, 2025.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autionary Notice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6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economic growth rates or potential recession in the United States and our market areas;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related to or resulting from uncertainty in the banking industry as a whole;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deposits among traditional and nontraditional financial services companies, and related changes in deposit customer behavior;</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lingering inflationary pressures, and the risk of the resurgence of elevated levels of inflation, in the United States and our market areas, and its impact on market interest rates, the economy and credit quality;</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expansion strategy and manage our growth, including identifying and consummating suitable acquisitions;</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conditions, particularly those affecting our market areas, as well as the concentration of our business in such market areas;</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customer spending, borrowing and savings habits;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or any other health-related crisis;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concentrations of loans secured by real estate located in our market areas;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unemployment rates in the United States and our market areas;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commercial loan portfolio, including the risk for deterioration in value of the general business assets that secure such loans;</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prices, values and sales volumes of commercial and residential real estate securing our real estate loans;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agricultural loan portfolio, including the heightened sensitivity to weather conditions, commodity prices, and other factors generally outside the borrowers and our control;</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significant amount of credit that we have extended to a limited number of borrowers and in a limited geographic area;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funds deposits comprising a relatively high percentage of our deposits;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on the goodwill we have recorded or may record in connection with business acquisitions;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reputation;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 and the sufficiency of our allowance for credit losses;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management personnel;</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management team, including our ability to retain executive officers and key employees and their customer and community relationships;</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which could have an adverse effect on our profitability;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credit unions and other financial services providers;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change or difficulties we may experience when implementing new technologies;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hanging="324"/>
        <w:spacing w:after="0" w:line="25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incidents or other failures, disruptions or breaches of our operational or security systems or infrastructure, or those of our third-party vendors or other service providers, including as a result of a cyber-attack, could impact the Company’s reputation, increase regulatory oversight, and impact the financial results of the Company;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error, fraudulent activity by employees or customers and inaccurate or incomplete information about our customers and counterparties;</w:t>
      </w: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capital requirements imposed by banking regulators, which may require us to raise capital at a time when capital is not available on favorable terms or at all;</w:t>
      </w:r>
    </w:p>
    <w:p>
      <w:pPr>
        <w:ind w:left="980" w:right="2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investigations or similar matters to which we may be subject, including any effect on our reputation;</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acts of god, acts of war or terrorism, geopolitical instability, public health outbreaks (such as coronavirus), other international or domestic calamities, and other events beyond our control, including as a result of policies of the U.S. presidential administration or Congress;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of the credit rating for United States long-term sovereign debt or the impact of uncertain or changing political conditions, including federal government shutdowns and uncertainty regarding United States fiscal debt, deficit and budget matters;</w:t>
      </w:r>
    </w:p>
    <w:p>
      <w:pPr>
        <w:ind w:left="980" w:right="2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tariffs, sanctions and other trade policies of the United States and its global trading counterparts and the resulting impact on the Company and its customers;</w:t>
      </w:r>
    </w:p>
    <w:p>
      <w:pPr>
        <w:jc w:val="both"/>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and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the uncertain impacts of current and future governmental monetary and fiscal policies, including the current and future policies of the Board of Governors of the Federal Reserve System (“Federal Reserve”) and as a result of initiatives of the Trump administration.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Form 10-Q and the risk factors set forth in our 2024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maintains an Internet web site at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color w:val="auto"/>
        </w:rPr>
        <w:t xml:space="preserve">. The Company makes available, free of charge, on its web site (under </w:t>
      </w:r>
      <w:r>
        <w:rPr>
          <w:rFonts w:ascii="Times New Roman" w:cs="Times New Roman" w:eastAsia="Times New Roman" w:hAnsi="Times New Roman"/>
          <w:sz w:val="18"/>
          <w:szCs w:val="18"/>
          <w:i w:val="1"/>
          <w:iCs w:val="1"/>
          <w:u w:val="single" w:color="auto"/>
          <w:color w:val="auto"/>
        </w:rPr>
        <w:t>www.spfi.bank/financials-filings/sec-filings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Company’s annual reports on Form 10-K, quarterly reports on Form 10-Q, current reports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cs="Times New Roman" w:eastAsia="Times New Roman" w:hAnsi="Times New Roman"/>
          <w:sz w:val="18"/>
          <w:szCs w:val="18"/>
          <w:i w:val="1"/>
          <w:iCs w:val="1"/>
          <w:u w:val="single" w:color="auto"/>
          <w:color w:val="auto"/>
        </w:rPr>
        <w:t>www.spfi.bank/corporate-governance/documents-charters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links to the Company’s Code of Conduct and the charters for its board committees.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 maintains an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 that contains reports, proxy and information statements, and other information regarding issuers that file electronically with the SEC.</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routinely posts important information for investors on its web site (under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color w:val="auto"/>
        </w:rPr>
        <w:t xml:space="preserve"> and, more specifically, under the News &amp; Events tab at </w:t>
      </w:r>
      <w:r>
        <w:rPr>
          <w:rFonts w:ascii="Times New Roman" w:cs="Times New Roman" w:eastAsia="Times New Roman" w:hAnsi="Times New Roman"/>
          <w:sz w:val="18"/>
          <w:szCs w:val="18"/>
          <w:i w:val="1"/>
          <w:iCs w:val="1"/>
          <w:u w:val="single" w:color="auto"/>
          <w:color w:val="auto"/>
        </w:rPr>
        <w:t>www.spfi.bank/news-events/press-releases</w:t>
      </w:r>
      <w:r>
        <w:rPr>
          <w:rFonts w:ascii="Times New Roman" w:cs="Times New Roman" w:eastAsia="Times New Roman" w:hAnsi="Times New Roman"/>
          <w:sz w:val="18"/>
          <w:szCs w:val="18"/>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information contained on, or that may be accessed through, the Company’s web site is not incorporated by reference into, and is not a part of, this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sectPr>
          <w:pgSz w:w="11900" w:h="16838" w:orient="portrait"/>
          <w:cols w:equalWidth="0" w:num="1">
            <w:col w:w="11240"/>
          </w:cols>
          <w:pgMar w:left="320" w:top="115"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net income of $16.3 million, or $0.96 per diluted common share, for the three months ended September 30, 2025, compared to net income of $11.2 million, or $0.66 per diluted common share for the three months ended September 30, 2024. Return on average equity (annualized) was 13.89% and return on average assets (annualized) was 1.47% for the three months ended September 30, 2025, compared to 10.36% and 1.05%, respectively, for the three months ended September 30,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net income of $43.2 million, or $2.55 per diluted common share for the nine months ended September 30, 2025, compared to net income of $33.2 million, or $1.96 per diluted common share for the nine months ended September 30, 2024. Return on average equity (annualized) was 12.78% and return on average assets (annualized) was 1.33% for the nine months ended September 30, 2025, compared to 10.63% and 1.05%, respectively, for the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gridSpan w:val="10"/>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1"/>
                <w:szCs w:val="21"/>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238"/>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3,093,465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53,935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3,069,900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51,513</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154,806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336,887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4,086,234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172,922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4,405,761</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4,259,156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savings and money market deposits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2,247,299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18,143</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&amp; other longer-term borrowings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63,534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2,860,003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21,501</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2,788,893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24,346</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38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976,048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1,039,709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430,554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4,405,761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4,259,156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8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43,253</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37,515</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9"/>
        </w:trPr>
        <w:tc>
          <w:tcPr>
            <w:tcW w:w="386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498"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498"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60" w:type="dxa"/>
            <w:vAlign w:val="bottom"/>
          </w:tcPr>
          <w:p>
            <w:pPr>
              <w:spacing w:after="0"/>
              <w:rPr>
                <w:sz w:val="21"/>
                <w:szCs w:val="21"/>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1"/>
                <w:szCs w:val="21"/>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238"/>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8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5"/>
                <w:szCs w:val="25"/>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3,087,530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158,406</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3,055,679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151,031</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14,030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537,425</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16,096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3,109</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155,489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3"/>
        </w:trPr>
        <w:tc>
          <w:tcPr>
            <w:tcW w:w="382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5"/>
                <w:szCs w:val="25"/>
                <w:color w:val="auto"/>
                <w:vertAlign w:val="superscript"/>
              </w:rPr>
              <w:t>(2)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444,473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13,707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287,192</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4,191,210</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4,035,785</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180,241</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169,264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176,230</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4,360,474</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4,212,015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savings and money market deposits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2,318,134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47,408</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2,251,569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53,792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399,646</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payable &amp; other longer-term borrowings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63,850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63,845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2,505</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46,393</w:t>
            </w: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46,393</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2,863,513</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64,528</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2,761,456</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71,025</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964,829</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66,471</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68,458</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1,033,287</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452,064</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417,272</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4,360,474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4,212,015</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124,724</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109,216</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0"/>
        </w:trPr>
        <w:tc>
          <w:tcPr>
            <w:tcW w:w="382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 balances include nonaccrual loans and loans held for sale.</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calculated as the annualized net interest income, on a fully tax-equivalent basis, divided by average interest-earning assets.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2025 over 2024</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 Savings, MMDAs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change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2025 over 2024</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3,655</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 Savings, MMDAs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(9,166)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change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for the three months ended September 30, 2025 was $43.0 million, compared to $37.3 million for the three months ended September 30, 2024, an increase of $5.7 million, or 15.4%, and was comprised of an increase of $2.9 million in interest income and a decrease of $2.8 million in interest expense. The growth in interest income was primarily attributable to an increase of $2.4 million in loan interest income, which was a result of growth of $23.6 million in average loans outstanding and an increase of 24 basis points in the yield on loans. The $2.8 million decrease in interest expense was primarily related to a 49 basis point decrease in the interest rate paid on interest-bearing deposits over the same period in 2024, partially offset by an increase of $71.5 million in average interest-bearing deposits. Additionally, average noninterest-bearing demand deposits increased $34.1 million for the three months ended September 30, 2025 as compared to the three months ended September 30, 2024.</w:t>
      </w:r>
    </w:p>
    <w:p>
      <w:pPr>
        <w:sectPr>
          <w:pgSz w:w="11900" w:h="16838" w:orient="portrait"/>
          <w:cols w:equalWidth="0" w:num="1">
            <w:col w:w="11240"/>
          </w:cols>
          <w:pgMar w:left="320" w:top="115"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net interest margin and net interest spread were 4.05% and 3.08%, respectively, compared to 3.65% and 2.55%, respectively, for the same period in 2024, which reflects the changes in interest income and interest expense discussed above.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interest income for the nine months ended September 30, 2025 was $124.0 million, compared to $108.6 million for the nine months ended September 30, 2024, an increase of $15.5 million, or 14.3%, and was comprised of an increase of $9.0 million in interest income and a decrease of $6.5 million in interest expense. The growth in interest income was attributable to increases of $7.4 million in loan interest income and $3.6 million in interest income on other interest-earning assets, partially offset by a decrease of $2.0 million in interest income on securities. The increase in loan interest income resulted from growth of $31.9 million in average loans outstanding and an increase of 26 basis points in the yield on loans, which includes approximately $2.4 million of loan interest and fees that were recognized during the second and third quarters of 2025 related to full repayment of loans that had previously been on nonaccrual and/or in a workout status. The increase in interest income on other interest-earning assets was primarily due to an increase of $157.3 million in average other interest-bearing assets, partially offset by a decline of 56 basis points in the interest rate paid on those assets. The decrease in interest income on securities was primarily due to a decline of $1.0 million in the interest recorded on fair value hedges on municipal securities as the indexed market rate declined during the last four months of 2024. The $6.5 million decrease in interest expense was primarily related to a 41 basis point decrease in the rate paid on interest-bearing deposits over the same period in 2024, partially offset by an increase of $102.0 million in average interest-bearing deposits.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net interest margin and net interest spread were 3.98% and 3.02%, respectively, compared to 3.61% and 2.53%, respectively, for the same period in 2024, which reflects the changes in interest income and interest expense discussed above. The loan interest and fee items noted above positively affected net interest margin and net interest spread by approximately 8 basis points.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is inherent in the business of making loans. We establish an allowance for credit losses (“ACL”) through charges to earnings, which are shown in the consolidated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 provision for credit losses of $500 thousand for the three months ended September 30, 2025, which was comparable to $495 thousand for the three months ended September 30,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for credit losses of $3.4 million for the nine months ended September 30, 2025, compared to $3.1 million for the nine months ended September 30, 2024. The increase in provision of $300 thousand was largely attributable to an increase in provision for off-balance sheet credit exposures, compared to the same period in 2024, as the utilization of unfunded commitments had increased.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losses is a significant factor in the Company’s operating results. For further discussion regarding the provision for credit losses and management’s assessment of the adequacy of the ACL for loans, see “Allowance for Credit Losses for Loans” and “Asset Quality” under “Financial Condition” in this Item 2,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and bank card services and interchange fees.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income for the periods indicated:</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6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banking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Fiduciary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328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income and fees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2,416</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5,959</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and fees includes income and fees associated with the increase in the cash surrender value of life insurance, safe deposit box rental, check printing, collections, legal settlements, wire transfer, Small Business Investment Company (“SBIC”) investments, income from sweep accounts, and other miscellaneous services.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for the three months ended September 30, 2025 was $11.2 million, compared to $10.6 million for the three months ended September 30, 2024, an increase of $530 thousand, or 5.0%. Significant changes in the components of noninterest income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Service charges on deposit accounts </w:t>
      </w:r>
      <w:r>
        <w:rPr>
          <w:rFonts w:ascii="Times New Roman" w:cs="Times New Roman" w:eastAsia="Times New Roman" w:hAnsi="Times New Roman"/>
          <w:sz w:val="18"/>
          <w:szCs w:val="18"/>
          <w:color w:val="auto"/>
        </w:rPr>
        <w:t>- Income from service charges on deposit accounts increased $243 thousand, or 12.0%,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as compared to the same period in 2024. The increase was primarily the result of a continued focus on growing treasury management services and an increase in customer overdraft fees during the three months ended September 30, 2025 compared to the same period in 2024.</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Mortgage banking activities </w:t>
      </w:r>
      <w:r>
        <w:rPr>
          <w:rFonts w:ascii="Times New Roman" w:cs="Times New Roman" w:eastAsia="Times New Roman" w:hAnsi="Times New Roman"/>
          <w:sz w:val="18"/>
          <w:szCs w:val="18"/>
          <w:color w:val="auto"/>
        </w:rPr>
        <w:t>- Income from mortgage banking activities increased $685 thousand, or 36.2%, to $2.6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from $1.9 million for the three months ended September 30, 2024. This increase was mainly the result of a $925 thousand negative fair value adjustment to our mortgage servicing rights portfolio in the third quarter of 2025 compared to a negative fair value adjustment of $2.1 million in the third quarter of 2024. The fair value of the mortgage servicing rights portfolio is affected by movements in market interest rates, which declined less during the third quarter of 2025 as compared to the same period of 2024. This increase was partially offset by decreases in other mortgage income related to a decline in originations of loans held for sale in the third quarter of 2025 as compared to the same period of 2024.</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and fees </w:t>
      </w:r>
      <w:r>
        <w:rPr>
          <w:rFonts w:ascii="Times New Roman" w:cs="Times New Roman" w:eastAsia="Times New Roman" w:hAnsi="Times New Roman"/>
          <w:sz w:val="18"/>
          <w:szCs w:val="18"/>
          <w:color w:val="auto"/>
        </w:rPr>
        <w:t>- Other income and fees decreased $652 thousand, or 27.0% for the three months ended September 30, 2025 as compared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2024. The decrease was primarily the result of a net decrease of $590 thousand recognized for property insurance proceeds during the third quarter of 2024 as compared to the same period in 2025.</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for the nine months ended September 30, 2025 was $34.0 million, compared to $34.8 million for the nine months ended September 30, 2024, a decrease of $798 thousand, or 2.3%. Significant changes in the components of noninterest income are detailed below.</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Service charges on deposit accounts </w:t>
      </w:r>
      <w:r>
        <w:rPr>
          <w:rFonts w:ascii="Times New Roman" w:cs="Times New Roman" w:eastAsia="Times New Roman" w:hAnsi="Times New Roman"/>
          <w:sz w:val="18"/>
          <w:szCs w:val="18"/>
          <w:color w:val="auto"/>
        </w:rPr>
        <w:t>- Income from service charges on deposit accounts increased $720 thousand, or 12.4%,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as compared to the same period in 2024. The increase was primarily the result of a continued focus on growing treasury management services, which began building during 2024, and an increase in customer overdraft fees during the nine months ended September 30, 2025 compared to the same period in 2024.</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Mortgage banking activities </w:t>
      </w:r>
      <w:r>
        <w:rPr>
          <w:rFonts w:ascii="Times New Roman" w:cs="Times New Roman" w:eastAsia="Times New Roman" w:hAnsi="Times New Roman"/>
          <w:sz w:val="18"/>
          <w:szCs w:val="18"/>
          <w:color w:val="auto"/>
        </w:rPr>
        <w:t>- Income from mortgage banking activities decreased $938 thousand, or 10.2%, to $8.3 million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from $9.2 million for the nine months ended September 30, 2024. This decrease was mainly the result of a decline in mortgage loan originations of $18.6 million, or 8.3%, in the current year period as compared to the prior year period.</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and fees </w:t>
      </w:r>
      <w:r>
        <w:rPr>
          <w:rFonts w:ascii="Times New Roman" w:cs="Times New Roman" w:eastAsia="Times New Roman" w:hAnsi="Times New Roman"/>
          <w:sz w:val="18"/>
          <w:szCs w:val="18"/>
          <w:color w:val="auto"/>
        </w:rPr>
        <w:t>- Other income and fees decreased $805 thousand, or 13.5%, for the nine months ended September 30, 2025 as compared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2024. The decrease was primarily the result of a decrease of $490 thousand in income from SBIC investments and a net decrease of $611 thousand recognized for property insurance proceeds, partially offset by increases in income from sweep accounts and gains on sales of fixed assets.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expense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19,413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58,562</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4,255</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expenses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4,446</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12,532</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33,128</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expenses include items such as banking regulatory assessments, telephone expenses, postage, courier fees, directors’ fees, and insurance.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for the three months ended September 30, 2025 was $33.0 million compared to $33.1 million for the three months ended September 30, 2024, a decrease of $104 thousand, or 0.3%. Significant changes in the components of noninterest expense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Salaries and employee benefits </w:t>
      </w:r>
      <w:r>
        <w:rPr>
          <w:rFonts w:ascii="Times New Roman" w:cs="Times New Roman" w:eastAsia="Times New Roman" w:hAnsi="Times New Roman"/>
          <w:sz w:val="18"/>
          <w:szCs w:val="18"/>
          <w:color w:val="auto"/>
        </w:rPr>
        <w:t>- Salaries and employee benefits increased $646 thousand, or 3.4%, from $18.8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to $19.4 million for the three months ended September 30, 2025. This increase was primarily driven by annual salary adjustments, which became effective in January of 2025.</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Professional services </w:t>
      </w:r>
      <w:r>
        <w:rPr>
          <w:rFonts w:ascii="Times New Roman" w:cs="Times New Roman" w:eastAsia="Times New Roman" w:hAnsi="Times New Roman"/>
          <w:sz w:val="18"/>
          <w:szCs w:val="18"/>
          <w:color w:val="auto"/>
        </w:rPr>
        <w:t>- Professional services decreased $514 thousand, or 28.4% from $1.8 million for the three months ended September 30, 2024 to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September 30, 2025. This decrease was primarily driven by decreases in legal fees.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expenses - </w:t>
      </w:r>
      <w:r>
        <w:rPr>
          <w:rFonts w:ascii="Times New Roman" w:cs="Times New Roman" w:eastAsia="Times New Roman" w:hAnsi="Times New Roman"/>
          <w:sz w:val="18"/>
          <w:szCs w:val="18"/>
          <w:color w:val="auto"/>
        </w:rPr>
        <w:t>Other expenses decreased $258 thousand, or 5.8%, from $4.4 million for the three months ended September 30, 2024 to $4.2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months ended September 30, 2025. This was primarily the result of a decrease of $179 thousand in the ineffective portion of fair value hedges.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for the nine months ended September 30, 2025 was $99.6 million, compared to $97.6 million for the nine months ended September 30, 2024, an increase of $2.0 million, or 2.0%. Significant changes in the components of noninterest expense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Salaries and employee benefits </w:t>
      </w:r>
      <w:r>
        <w:rPr>
          <w:rFonts w:ascii="Times New Roman" w:cs="Times New Roman" w:eastAsia="Times New Roman" w:hAnsi="Times New Roman"/>
          <w:sz w:val="18"/>
          <w:szCs w:val="18"/>
          <w:color w:val="auto"/>
        </w:rPr>
        <w:t>- Salaries and employee benefits increased $1.6 million, or 2.8%, from $57.0 million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to $58.6 million for the nine months ended September 30, 2025. This increase was primarily driven by annual salary adjustments, which became effective in January of 2025.</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 and data services - </w:t>
      </w:r>
      <w:r>
        <w:rPr>
          <w:rFonts w:ascii="Times New Roman" w:cs="Times New Roman" w:eastAsia="Times New Roman" w:hAnsi="Times New Roman"/>
          <w:sz w:val="18"/>
          <w:szCs w:val="18"/>
          <w:color w:val="auto"/>
        </w:rPr>
        <w:t>IT and data services increased $361 thousand, or 11.4%, from $3.2 million for nine months ended September 30, 2024 to $3.5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nine months ended September 30, 2025. The increase is primarily a result of the continued rising cost of technology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assets increased $247.2 million, or 5.8%, to $4.48 billion at September 30, 2025, compared to $4.23 billion at December 31, 2024. Our gross loans held for investment decreased $1.6 million, or 0.1%, to $3.05 billion at September 30, 2025, compared to $3.06 billion at December 31, 2024. Our securities portfolio decreased $6.1 million, or 1.1%, to $571.1 million at September 30, 2025, compared to $577.2 million at December 31, 2024. Total deposits increased $260.3 million, or 7.2%, to $3.88 billion at September 30, 2025, compared to $3.62 billion at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held for investment decreased $1.6 million, or 0.1%, to $3.05 billion at September 30, 2025, compared to $3.06 billion at December 31, 2024. The decrease in loans was primarily a result of a decrease of $46.5 million in multi-family property loans mainly due to the payoff of two loans totaling $39.6 million, partially offset by organic loan growth.</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shows the contractual maturities of our loans held for investment portfolio at September 30, 2025:</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One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Due in</w:t>
            </w:r>
          </w:p>
        </w:tc>
        <w:tc>
          <w:tcPr>
            <w:tcW w:w="22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One Year or</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Through Five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Fifteen Years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Fifteen Years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552,320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254,732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57,269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1,035,926</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104,823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66,239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40,426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377,783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222,097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188,147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629,256</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31,986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129,167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105,145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326,280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592,578</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162,889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90,472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256,281</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38,800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16,151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63,727</w:t>
            </w: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87,837</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5,841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97,952</w:t>
            </w:r>
          </w:p>
        </w:tc>
      </w:tr>
      <w:tr>
        <w:trPr>
          <w:trHeight w:val="257"/>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603,406</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1,215,937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721,826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512,334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3,053,503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distribution between fixed and adjustable interest rate loans for maturities greater than one year as of September 30,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Adjustable</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515,083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138,849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291,300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212,550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9,643</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1,282,675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September 30, 2025, there was $1.57 billion in adjustable rate loans, with $875.0 million of these loans that mature or reprice in the next twelve months. Of these loans that mature or reprice in the next twelve months, $603.0 million will reprice immediately upon changes in the underlying index rate, with the remaining $272.0 million being subject to rate floors above the current index or a future repricing date.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is the predominate index used by the Bank. Further as of September 30, 2025, there is $192.9 million of fixed rate loans that mature in the next twelve months.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is primarily involved in real estate, commercial, agricultural and consumer lending activities with customers throughout Texas and Eastern New Mexico. We have a collateral concentration, as 72.7% of our loans were secured by real property as of September 30, 2025, compared to 73.7% as of December 31, 2024.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and residential construction loans represent 37.2% of loans held for investment as of September 30, 2025 and represented 40.1% of loans held for investment as of December 31, 2024. Further, 96% of the total dollar amount of these loans are secured by collateral located in the State of Texas.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Commercial Real Estate</w:t>
      </w:r>
      <w:r>
        <w:rPr>
          <w:rFonts w:ascii="Times New Roman" w:cs="Times New Roman" w:eastAsia="Times New Roman" w:hAnsi="Times New Roman"/>
          <w:sz w:val="18"/>
          <w:szCs w:val="18"/>
          <w:color w:val="auto"/>
        </w:rPr>
        <w:t>. Our commercial real estate portfolio includes loans for commercial property that is owned by real estate investors,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to build owner-occupied properties, and loans to developers of commercial real estate investment properties and residential developments. Residential construction loans are broken out separately below.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ectPr>
          <w:pgSz w:w="11900" w:h="16838" w:orient="portrait"/>
          <w:cols w:equalWidth="0" w:num="1">
            <w:col w:w="11240"/>
          </w:cols>
          <w:pgMar w:left="320" w:top="113"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decreased $83.1 million, or 7.4%, to $1.04 billion as of September 30, 2025 from $1.12 billion as of December 31, 2024. The decrease was primarily driven by decreases of $105.4 million in multi-family loans and $30.3 million in hospitality loans, partially offset by increases in residential and commercial land development loans and other commercial real estate loans.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Commercial – General and Specialized</w:t>
      </w:r>
      <w:r>
        <w:rPr>
          <w:rFonts w:ascii="Times New Roman" w:cs="Times New Roman" w:eastAsia="Times New Roman" w:hAnsi="Times New Roman"/>
          <w:sz w:val="18"/>
          <w:szCs w:val="18"/>
          <w:color w:val="auto"/>
        </w:rPr>
        <w:t>. Commercial loans are underwritten after evaluating and understanding the borrower’s ability to operate profitably.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specialized loans decreased $11.2 million, or 2.9%, to $377.8 million as of September 30, 2025 from $389.0 million as of December 31, 2024. This decrease was primarily due to net repayments of $9.2 million in seasonal agricultural-related loans and a decrease of $9.3 million in loans to finance and investment companies, partially offset by an increase of $7.3 million in energy sector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general loans increased $71.9 million, or 12.9%, to $629.3 million as of September 30, 2025 from $557.4 million as of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increases broadly across this segment.</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Consumer</w:t>
      </w:r>
      <w:r>
        <w:rPr>
          <w:rFonts w:ascii="Times New Roman" w:cs="Times New Roman" w:eastAsia="Times New Roman" w:hAnsi="Times New Roman"/>
          <w:sz w:val="18"/>
          <w:szCs w:val="18"/>
          <w:color w:val="auto"/>
        </w:rPr>
        <w:t>. We utilize a computer-based credit scoring analysis to supplement our policies and procedures in underwriting consumer loans. Our loan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debt-to-income ratio, employment and income stability, the loan-to-value ratio, and the age, condition and marketability of the collateral.</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 and other loans increased $26.8 million, or 3.0%, to $912.6 million as of September 30, 2025, from $885.8 million as of December 31, 2024. The growth in these loans was primarily a result of an increase of $26.2 million in residential mortgage loans. As of September 30, 2025, our consumer loan portfolio was comprised of $592.6 million in 1-4 family residential loans, $256.3 million in auto loans, and $63.7 million in other consumer loans.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loans decreased $5.9 million, or 5.7%, to $98.0 million as of September 30, 2025 from $103.9 million as of December 31, 2024.</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commercial real estate and construction categories comprise the Company’s nonowner-occupied real estate loans. Total nonowner-occupied real estate loans were $1.13 billion at September 30, 2025 and $1.22 billion at December 31, 2024. Nonowner-occupied commercial real estate loans are made up of income-producing commercial real estate property loans and construction, acquisition, and development property loans. As of September 30, 2025, total income-producing commercial real estate property loans totaled $771.3 million and was comprised of $210.5 million of multi-family property loans, $187.9 million of retail property loans, $144.3 million of office property loans, $30.7 million in hospitality loans, and $197.9 million in industrial and other property loans. Industrial and other property loans include types such as industrial, warehouse, mini-storage, and convenience stores. As of September 30, 2025, total construction, acquisition, and development property loans totaled $362.5 million and was comprised of $98.0 million in residential construction property loans and $264.5 million of commercial construction and other land development loans. The weighted average loan-to-value of income-producing nonowner-occupied commercial real estate loans was approximately 55% at September 30, 2025. The weighted average loan-to-value of nonowner-occupied office commercial real estate loans was approximately 58% at September 30,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Owner-occupied commercial real estate loans totaled $410.5 million at September 30, 2025 and $366.8 million at December 31,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commitments we have made as of the dates presented.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537,688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29,587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18,696</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577,827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Loans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ACL for loans is established for future expected credit losses through a provision for credit losses charged to earnings.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perceived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ectPr>
          <w:pgSz w:w="11900" w:h="16838" w:orient="portrait"/>
          <w:cols w:equalWidth="0" w:num="1">
            <w:col w:w="11240"/>
          </w:cols>
          <w:pgMar w:left="320" w:top="115"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ACL for loans was $44.1 million at September 30, 2025, compared to $43.2 million at December 31, 2024, an increase of $888 thousand, or 2.1%. The increase is a result of a provision for credit losses on loans of $3.2 million being recorded during the nine months ended September 30, 2025, partially offset by net charge-offs of $2.3 million during the period. The Company continues to closely monitor credit quality in light of the ongoing economic uncertainty caused by, among other factors, the prolonged elevated interest rate environment, continued uncertainty regarding U.S. trade and tariff policy and the lingering inflationary pressures, and the risk of the resurgence of elevated levels of inflation, in the United States and our market areas. Accordingly, additional provisions for credit losses may be necessary in future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an analysis of the ACL for loans and other data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7"/>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5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40" w:type="dxa"/>
            <w:vAlign w:val="bottom"/>
            <w:gridSpan w:val="7"/>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5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loans outstanding during the periods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1,060,233</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1,112,753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1,095,168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1,105,626</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416,437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381,360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391,819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523,393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594,860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524,348</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569,798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580,062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558,950</w:t>
            </w:r>
          </w:p>
        </w:tc>
        <w:tc>
          <w:tcPr>
            <w:tcW w:w="0" w:type="dxa"/>
            <w:vAlign w:val="bottom"/>
          </w:tcPr>
          <w:p>
            <w:pPr>
              <w:spacing w:after="0"/>
              <w:rPr>
                <w:sz w:val="1"/>
                <w:szCs w:val="1"/>
                <w:color w:val="auto"/>
              </w:rPr>
            </w:pPr>
          </w:p>
        </w:tc>
      </w:tr>
      <w:tr>
        <w:trPr>
          <w:trHeight w:val="216"/>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262,769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281,409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67,211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63,972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70,278</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104,000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99,865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109,590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13,659</w:t>
            </w: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average loans outstanding during the periods</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3,093,465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3,069,900</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3,087,530</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3,055,679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 (recoveries) during the periods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charge-offs (recoveries) during the periods</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charge-offs (recoveries) to average loans during the periods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w w:val="99"/>
              </w:rPr>
              <w:t>Total ratio of net charge-offs (recoveries) to average loans during the periods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38</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54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other loan data as of the dates indicated.</w:t>
            </w: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held for investment outstanding</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3,053,503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3,055,054</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8,496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22,102</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44,125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43,237</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allowance to total loans held for investment</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allowance to nonaccrual 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519.36%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195.62%</w:t>
            </w:r>
          </w:p>
        </w:tc>
        <w:tc>
          <w:tcPr>
            <w:tcW w:w="0" w:type="dxa"/>
            <w:vAlign w:val="bottom"/>
          </w:tcPr>
          <w:p>
            <w:pPr>
              <w:spacing w:after="0"/>
              <w:rPr>
                <w:sz w:val="1"/>
                <w:szCs w:val="1"/>
                <w:color w:val="auto"/>
              </w:rPr>
            </w:pP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nonaccrual loans to total loans held for investment</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charge-offs totaled $1.3 million and were 0.16% (annualized) of average loans outstanding for the three months ended September 30, 2025, compared to $887 thousand and 0.11% (annualized) for the three months ended September 30, 2024. The increase in net charge-offs in the third quarter of 2025 was primarily the result of a $541 thousand charge-off of a multi-family property loan in the third quarter of 2025. Net charge-offs totaled $2.3 million and were 0.10% (annualized) of average loans outstanding for the nine months ended September 30, 2025, compared to $2.6 million and 0.11% (annualized) for the nine months ended September 30, 2024. The decrease in net charge-offs for the nine months ended September 30, 2025 was primarily the result of a decrease of $586 thousand in net charge-offs of general commercial loans, partially offset by an increase of $497 thousand in net charge-offs of commercial real estate loans in the first three quarters of 2025 compared to the same period in 2024. The allowance for credit losses on loans as a percentage of loans held for investment was 1.45% at September 30, 2025 and 1.42% at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reserves for individually evaluated loans totaled $147 thousand at September 30, 2025 as compared to $552 thousand at December 31,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1"/>
                <w:szCs w:val="21"/>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43,237</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sectPr>
          <w:pgSz w:w="11900" w:h="16838" w:orient="portrait"/>
          <w:cols w:equalWidth="0" w:num="1">
            <w:col w:w="11240"/>
          </w:cols>
          <w:pgMar w:left="320" w:top="114"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Nonperforming loans include nonaccrual loans and loans past due 90 days or more. Nonperforming assets consist of nonperforming loans plus foreclosed assets.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2025, our total nonaccrual loans were $8.5 million, or 0.28% of total loans held for investment, as compared to $22.1 million, or 0.72% of total loans held for investment, at December 31, 2024. Any loans within this amount that exceeded $250 thousand were specifically analyzed and specific valuation allowances were established as necessary and included in the ACL for loans as of September 30, 2025 to cover any probable loss. This decrease of $13.6 million was predominantly due to a $19.0 million loan, which was previously on nonaccrual, that was repaid in full during the second quarter of 2025. This decrease was partially offset with three loans totaling $7.8 million being placed on nonaccrual status during the second and third quarters of 2025.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Nonperforming loans were $9.7 million at September 30, 2025, as compared to $24.0 million at December 31, 2024. This decrease is mainly due to the nonaccrual changes noted above.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Classified loans include loans graded as substandard or doubtful. At September 30, 2025, classified loans totaled $45.8 million, a decrease of $3.3 million from the total of $49.1 million at December 31, 2024. This change includes the payoff of a $19.0 million multi-family property loan during the second quarter of 2025, partially offset with other activity. The Company collected a $31.8 million multi-family property loan that was classified during the second quarter of 2025 and collected during the third quarter of 2025.</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Portfolio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securities portfolio decreased $6.1 million, or 1.1%, to $571.1 million at September 30, 2025, compared to $577.2 million at December 31, 2024. The decrease was primarily due to $20.8 million in maturities, prepayments and calls, net of purchases, partially offset by a $16.7 million increase in the fair value of securities available for sale at September 30, 2025 as compared to December 31,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securities have fair values less than amortized cost and, therefore, contain unrealized losses. At September 30, 2025, the fair value of the Company’s securities available for sale was $75.0 million lower than the amortized cost. At September 30, 2025,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or realized in the consolidated financial statements for securities in the portfolio.</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an obligation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7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4"/>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Due in One</w:t>
            </w:r>
          </w:p>
        </w:tc>
        <w:tc>
          <w:tcPr>
            <w:tcW w:w="100" w:type="dxa"/>
            <w:vAlign w:val="bottom"/>
          </w:tcPr>
          <w:p>
            <w:pPr>
              <w:spacing w:after="0"/>
              <w:rPr>
                <w:sz w:val="16"/>
                <w:szCs w:val="16"/>
                <w:color w:val="auto"/>
              </w:rPr>
            </w:pPr>
          </w:p>
        </w:tc>
        <w:tc>
          <w:tcPr>
            <w:tcW w:w="1880" w:type="dxa"/>
            <w:vAlign w:val="bottom"/>
            <w:gridSpan w:val="5"/>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920" w:type="dxa"/>
            <w:vAlign w:val="bottom"/>
            <w:gridSpan w:val="5"/>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ind w:left="36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or Less</w:t>
            </w:r>
          </w:p>
        </w:tc>
        <w:tc>
          <w:tcPr>
            <w:tcW w:w="100" w:type="dxa"/>
            <w:vAlign w:val="bottom"/>
          </w:tcPr>
          <w:p>
            <w:pPr>
              <w:spacing w:after="0"/>
              <w:rPr>
                <w:sz w:val="21"/>
                <w:szCs w:val="21"/>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00" w:type="dxa"/>
            <w:vAlign w:val="bottom"/>
          </w:tcPr>
          <w:p>
            <w:pPr>
              <w:spacing w:after="0"/>
              <w:rPr>
                <w:sz w:val="21"/>
                <w:szCs w:val="21"/>
                <w:color w:val="auto"/>
              </w:rPr>
            </w:pPr>
          </w:p>
        </w:tc>
        <w:tc>
          <w:tcPr>
            <w:tcW w:w="18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Through Ten Years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80" w:type="dxa"/>
            <w:vAlign w:val="bottom"/>
          </w:tcPr>
          <w:p>
            <w:pPr>
              <w:spacing w:after="0"/>
              <w:rPr>
                <w:sz w:val="18"/>
                <w:szCs w:val="18"/>
                <w:color w:val="auto"/>
              </w:rPr>
            </w:pPr>
          </w:p>
        </w:tc>
        <w:tc>
          <w:tcPr>
            <w:tcW w:w="10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1"/>
                <w:szCs w:val="21"/>
                <w:color w:val="auto"/>
              </w:rPr>
            </w:pPr>
          </w:p>
        </w:tc>
        <w:tc>
          <w:tcPr>
            <w:tcW w:w="10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1"/>
                <w:szCs w:val="21"/>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38"/>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79"/>
              </w:rPr>
              <w:t>in</w:t>
            </w: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thousands)</w:t>
            </w:r>
          </w:p>
        </w:tc>
        <w:tc>
          <w:tcPr>
            <w:tcW w:w="14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5,490</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12,867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181,851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306,506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47,583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63,640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4,573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12,248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134,012</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505,178</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433"/>
        </w:trPr>
        <w:tc>
          <w:tcPr>
            <w:tcW w:w="3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4"/>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Due in One</w:t>
            </w:r>
          </w:p>
        </w:tc>
        <w:tc>
          <w:tcPr>
            <w:tcW w:w="100" w:type="dxa"/>
            <w:vAlign w:val="bottom"/>
          </w:tcPr>
          <w:p>
            <w:pPr>
              <w:spacing w:after="0"/>
              <w:rPr>
                <w:sz w:val="16"/>
                <w:szCs w:val="16"/>
                <w:color w:val="auto"/>
              </w:rPr>
            </w:pPr>
          </w:p>
        </w:tc>
        <w:tc>
          <w:tcPr>
            <w:tcW w:w="1880" w:type="dxa"/>
            <w:vAlign w:val="bottom"/>
            <w:gridSpan w:val="5"/>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920" w:type="dxa"/>
            <w:vAlign w:val="bottom"/>
            <w:gridSpan w:val="5"/>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ind w:left="36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or Less</w:t>
            </w:r>
          </w:p>
        </w:tc>
        <w:tc>
          <w:tcPr>
            <w:tcW w:w="100" w:type="dxa"/>
            <w:vAlign w:val="bottom"/>
          </w:tcPr>
          <w:p>
            <w:pPr>
              <w:spacing w:after="0"/>
              <w:rPr>
                <w:sz w:val="21"/>
                <w:szCs w:val="21"/>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00" w:type="dxa"/>
            <w:vAlign w:val="bottom"/>
          </w:tcPr>
          <w:p>
            <w:pPr>
              <w:spacing w:after="0"/>
              <w:rPr>
                <w:sz w:val="21"/>
                <w:szCs w:val="21"/>
                <w:color w:val="auto"/>
              </w:rPr>
            </w:pPr>
          </w:p>
        </w:tc>
        <w:tc>
          <w:tcPr>
            <w:tcW w:w="18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Through Ten Years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80" w:type="dxa"/>
            <w:vAlign w:val="bottom"/>
          </w:tcPr>
          <w:p>
            <w:pPr>
              <w:spacing w:after="0"/>
              <w:rPr>
                <w:sz w:val="18"/>
                <w:szCs w:val="18"/>
                <w:color w:val="auto"/>
              </w:rPr>
            </w:pPr>
          </w:p>
        </w:tc>
        <w:tc>
          <w:tcPr>
            <w:tcW w:w="10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1"/>
                <w:szCs w:val="21"/>
                <w:color w:val="auto"/>
              </w:rPr>
            </w:pPr>
          </w:p>
        </w:tc>
        <w:tc>
          <w:tcPr>
            <w:tcW w:w="10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1"/>
                <w:szCs w:val="21"/>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38"/>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79"/>
              </w:rPr>
              <w:t>in</w:t>
            </w: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thousands)</w:t>
            </w:r>
          </w:p>
        </w:tc>
        <w:tc>
          <w:tcPr>
            <w:tcW w:w="14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4,508</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188,773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318,352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46,601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68,780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4,917</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2,864</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13,243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134,326</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525,285</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Deposits represent the Company’s primary and most vital source of funds. We offer a variety of deposit products including demand deposits accounts, interest-bearing products, savings accounts and certificate of deposits. We remained focused on gathering noninterest-bearing demand deposit accounts through loan production, customer referrals, marketing staffs, mobile and online banking and various involvements with community networks.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at September 30, 2025 were $3.88 billion, representing an increase of $260.3 million, or 7.2%, compared to $3.62 billion at December 31, 2024. The increase since December 31, 2024 was due to organic growth and occurred broadly across commercial and retail deposits, with growth in both noninterest-bearing and interest-bearing deposits. As of September 30, 2025, 27.1% of total deposits were comprised of noninterest-bearing demand accounts, 62.0% of interest-bearing non-maturity accounts and 10.9% of time deposits.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deposit mix as of the dates presented: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1,049,501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935,510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NOW and other transaction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1,291,756</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498,718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1,114,945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1,741,988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424,941</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444,660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3,881,143</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3,620,876</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average deposit balances and weighted average rates paid on deposits, on an annualized basis,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194"/>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6"/>
                <w:szCs w:val="16"/>
                <w:color w:val="auto"/>
              </w:rPr>
            </w:pP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6"/>
                <w:szCs w:val="16"/>
                <w:color w:val="auto"/>
              </w:rPr>
            </w:pPr>
          </w:p>
        </w:tc>
      </w:t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r>
      <w:tr>
        <w:trPr>
          <w:trHeight w:val="216"/>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3"/>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1,010,159</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976,048</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1,234,936</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463,873</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133,459</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0.81%</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134,570</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0.93%</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956,886</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1,648,856</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424,788</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431,307</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r>
      <w:tr>
        <w:trPr>
          <w:trHeight w:val="223"/>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2,750,069</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2,678,606</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5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3,760,228</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3,654,654</w:t>
            </w:r>
          </w:p>
        </w:tc>
        <w:tc>
          <w:tcPr>
            <w:tcW w:w="1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3"/>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194"/>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6"/>
                <w:szCs w:val="16"/>
                <w:color w:val="auto"/>
              </w:rPr>
            </w:pP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6"/>
                <w:szCs w:val="16"/>
                <w:color w:val="auto"/>
              </w:rPr>
            </w:pPr>
          </w:p>
        </w:tc>
      </w:t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r>
      <w:tr>
        <w:trPr>
          <w:trHeight w:val="216"/>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3"/>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978,426</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964,829</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1,136,140</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481,628</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133,390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0.81%</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134,784</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0.92%</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1,048,605</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1,635,157</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435,127</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399,646</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r>
      <w:tr>
        <w:trPr>
          <w:trHeight w:val="223"/>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2,753,262</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2,651,215</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5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3,731,688</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3,616,044</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the Company ended its deposit sweep program, whereby certain transaction accounts were being restructured into two legally separate accounts: a checking (transaction) account and a money market (non-transaction) account. After ending the program, the balance for these accounts is all reported in NOW and interest-bearing demand accounts. Previously, the balance was allocated between NOW and interest-bearing demand accounts and money market accounts.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of more than $250 thousand as of September 30, 2025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00" w:type="dxa"/>
            <w:vAlign w:val="bottom"/>
            <w:gridSpan w:val="2"/>
          </w:tcPr>
          <w:p>
            <w:pPr>
              <w:jc w:val="right"/>
              <w:ind w:right="3010"/>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29,208</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44,486</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112,651</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amount of uninsured deposits as of September 30, 2025 was $1.38 billion. This represented approximately 34% of total deposits. Excluding collateralized public fund deposits, uninsured and uncollateralized deposits was 27% as of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Borrowed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deposits, we may utilize advances from the FHLB and other borrowings as a supplementary funding source to finance our operations.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FHLB Advances</w:t>
      </w:r>
      <w:r>
        <w:rPr>
          <w:rFonts w:ascii="Times New Roman" w:cs="Times New Roman" w:eastAsia="Times New Roman" w:hAnsi="Times New Roman"/>
          <w:sz w:val="18"/>
          <w:szCs w:val="18"/>
          <w:color w:val="auto"/>
        </w:rPr>
        <w:t>. The FHLB allows us to borrow, both short and long-term, on a blanket floating lien status collateralized by first mortgage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real estate loans as well as FHLB stock. At September 30, 2025 and December 31, 2024, we had total remaining borrowing capacity from the FHLB of $1.30 billion and $1.11 billion, respectively, with no outstanding balance. We had no FHLB borrowings during the three and nine months ended September 30, 2025 or 2024.</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use FHLB letters of credit to pledge to certain public deposits. There was no outstanding balance of FHLB letters of credit at September 30, 2025. The outstanding balance at December 31, 2024 was $75.0 million.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Federal Reserve Bank of Dallas</w:t>
      </w:r>
      <w:r>
        <w:rPr>
          <w:rFonts w:ascii="Times New Roman" w:cs="Times New Roman" w:eastAsia="Times New Roman" w:hAnsi="Times New Roman"/>
          <w:sz w:val="18"/>
          <w:szCs w:val="18"/>
          <w:color w:val="auto"/>
        </w:rPr>
        <w:t>. The Bank has a line of credit with the Federal Reserve Bank of Dallas (the “FRB”). The amount of the line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monthly basis by the FRB. The line is collateralized by a blanket floating lien on all agriculture, commercial and consumer loans. The amount of the line was $688.6 million and $654.0 million at September 30, 2025 and December 31, 2024, respectively, with no outstanding balance. We had no FRB borrowings during the three and nine months ended September 30, 2025 or 2024.</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Lines of Credit</w:t>
      </w:r>
      <w:r>
        <w:rPr>
          <w:rFonts w:ascii="Times New Roman" w:cs="Times New Roman" w:eastAsia="Times New Roman" w:hAnsi="Times New Roman"/>
          <w:sz w:val="18"/>
          <w:szCs w:val="18"/>
          <w:color w:val="auto"/>
        </w:rPr>
        <w:t>. The Bank has uncollateralized lines of credit with multiple banks as a source of funding for liquidity management. The total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was $140.0 million as of September 30, 2025 and December 31, 2024, respectively. There were no short-term borrowings as of September 30, 2025 and December 31, 2024.</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Subordinated Debt</w:t>
      </w:r>
      <w:r>
        <w:rPr>
          <w:rFonts w:ascii="Times New Roman" w:cs="Times New Roman" w:eastAsia="Times New Roman" w:hAnsi="Times New Roman"/>
          <w:sz w:val="18"/>
          <w:szCs w:val="18"/>
          <w:color w:val="auto"/>
        </w:rPr>
        <w:t>. In December 2018, the Company issued $14.1 million of subordinated notes that have a maturity date of December 2030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average fixed rate of 6.41% for the first seven years. After the fixed rate period, these notes will float at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29, 2020, the Company issued $50.0 million in subordinated notes. Proceeds were reduced by approximately $926 thousand in debt issuance costs. These notes had a maturity date of September 2030 with a fixed rate of 4.50% for the first five years. On August 25, 2025, the Company notified holders (the “Redemption Notice”) of these notes that it had elected to redeem all of these outstanding notes effective on September 30, 2025 (the “Redemption Date”). Each of these notes were redeemed pursuant to the terms of the Indenture, dated as of September 29, 2020, between the Company and UMB Bank, National Association, as trustee for these notes (the “Trustee”), at the Redemption Price totaling $50.0 million in aggregate principal amount, plus accrued and unpaid interest (the “Redemption Price”). As provided in the Redemption Notice, on the Redemption Date, the Trustee paid the relevant Redemption Price to the holders of these notes appearing on the books and records of the Trustee on the Redemption Date. The notes ceased to represent the right to payment of principal and interest upon the payment to the holders of the notes by the Trustee representing the Redemption Price. The Company received all necessary regulatory approvals for the redemption of these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total amount of subordinated debt outstanding was $14.1 million.</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Junior Subordinated Deferrable Interest Debentures and Trust Preferred Securities</w:t>
      </w:r>
      <w:r>
        <w:rPr>
          <w:rFonts w:ascii="Times New Roman" w:cs="Times New Roman" w:eastAsia="Times New Roman" w:hAnsi="Times New Roman"/>
          <w:sz w:val="18"/>
          <w:szCs w:val="18"/>
          <w:color w:val="auto"/>
        </w:rPr>
        <w:t>. Between March 2004 and June 2007, the Company formed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September 30, 2025 and December 31, 2024.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 below indicates certain information, as of September 30, 2025,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Trust</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of</w:t>
            </w:r>
          </w:p>
        </w:tc>
      </w:tr>
      <w:tr>
        <w:trPr>
          <w:trHeight w:val="216"/>
        </w:trPr>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2"/>
              </w:rPr>
              <w:t>Trust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r>
      <w:tr>
        <w:trPr>
          <w:trHeight w:val="206"/>
        </w:trPr>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Securities and</w:t>
            </w:r>
          </w:p>
        </w:tc>
        <w:tc>
          <w:tcPr>
            <w:tcW w:w="6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and</w:t>
            </w:r>
          </w:p>
        </w:tc>
      </w:tr>
      <w:tr>
        <w:trPr>
          <w:trHeight w:val="255"/>
        </w:trPr>
        <w:tc>
          <w:tcPr>
            <w:tcW w:w="2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Trust</w:t>
            </w:r>
          </w:p>
        </w:tc>
        <w:tc>
          <w:tcPr>
            <w:tcW w:w="100" w:type="dxa"/>
            <w:vAlign w:val="bottom"/>
          </w:tcPr>
          <w:p>
            <w:pPr>
              <w:spacing w:after="0"/>
              <w:rPr>
                <w:sz w:val="22"/>
                <w:szCs w:val="22"/>
                <w:color w:val="auto"/>
              </w:rPr>
            </w:pPr>
          </w:p>
        </w:tc>
        <w:tc>
          <w:tcPr>
            <w:tcW w:w="2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Debentures</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rPr>
              <w:t>Debentures</w:t>
            </w:r>
            <w:r>
              <w:rPr>
                <w:rFonts w:ascii="Times New Roman" w:cs="Times New Roman" w:eastAsia="Times New Roman" w:hAnsi="Times New Roman"/>
                <w:sz w:val="28"/>
                <w:szCs w:val="28"/>
                <w:b w:val="1"/>
                <w:bCs w:val="1"/>
                <w:color w:val="auto"/>
                <w:vertAlign w:val="superscript"/>
              </w:rPr>
              <w:t>(1)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6"/>
              </w:rPr>
              <w:t>Debentures</w:t>
            </w:r>
            <w:r>
              <w:rPr>
                <w:rFonts w:ascii="Times New Roman" w:cs="Times New Roman" w:eastAsia="Times New Roman" w:hAnsi="Times New Roman"/>
                <w:sz w:val="28"/>
                <w:szCs w:val="28"/>
                <w:b w:val="1"/>
                <w:bCs w:val="1"/>
                <w:color w:val="auto"/>
                <w:w w:val="96"/>
                <w:vertAlign w:val="superscript"/>
              </w:rPr>
              <w:t>(2)(3)</w:t>
            </w:r>
          </w:p>
        </w:tc>
      </w:tr>
      <w:tr>
        <w:trPr>
          <w:trHeight w:val="216"/>
        </w:trPr>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w w:val="96"/>
              </w:rPr>
              <w:t>(Dollars in thousands)</w:t>
            </w: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198"/>
        </w:trPr>
        <w:tc>
          <w:tcPr>
            <w:tcW w:w="10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3-mo. CME Term SOFR +</w:t>
            </w:r>
          </w:p>
        </w:tc>
      </w:tr>
      <w:tr>
        <w:trPr>
          <w:trHeight w:val="234"/>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Plains Financial Capital Trust III</w:t>
            </w:r>
          </w:p>
        </w:tc>
        <w:tc>
          <w:tcPr>
            <w:tcW w:w="2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2034</w:t>
            </w:r>
          </w:p>
        </w:tc>
        <w:tc>
          <w:tcPr>
            <w:tcW w:w="2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291 bps; 7.23%</w:t>
            </w:r>
          </w:p>
        </w:tc>
      </w:tr>
      <w:tr>
        <w:trPr>
          <w:trHeight w:val="198"/>
        </w:trPr>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3-mo. CME Term SOFR +</w:t>
            </w: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South Plains Financial Capital Trust IV</w:t>
            </w:r>
          </w:p>
        </w:tc>
        <w:tc>
          <w:tcPr>
            <w:tcW w:w="2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20,619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2035</w:t>
            </w: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165 bps; 5.69%</w:t>
            </w:r>
          </w:p>
        </w:tc>
      </w:tr>
      <w:tr>
        <w:trPr>
          <w:trHeight w:val="198"/>
        </w:trPr>
        <w:tc>
          <w:tcPr>
            <w:tcW w:w="10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3-mo. CME Term SOFR +</w:t>
            </w:r>
          </w:p>
        </w:tc>
      </w:tr>
      <w:tr>
        <w:trPr>
          <w:trHeight w:val="234"/>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Plains Financial Capital Trust V</w:t>
            </w:r>
          </w:p>
        </w:tc>
        <w:tc>
          <w:tcPr>
            <w:tcW w:w="2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15,464</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2037</w:t>
            </w:r>
          </w:p>
        </w:tc>
        <w:tc>
          <w:tcPr>
            <w:tcW w:w="2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176 bps; 5.80%</w:t>
            </w:r>
          </w:p>
        </w:tc>
      </w:tr>
      <w:tr>
        <w:trPr>
          <w:trHeight w:val="27"/>
        </w:trPr>
        <w:tc>
          <w:tcPr>
            <w:tcW w:w="10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redeemed at the Company’s option.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quarterly with principal due at maturity.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as of last reset date, prior to 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September 30, 2025, the Bank had the capacity to borrow funds from the FHLB and the Federal Reserve discount window of up to approximately $1.3 billion and $688.6 million,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that the Company has adequate liquidity to meet its obligations. However, if general economic conditions, potential recession in the United States and our market areas, the impacts related to or resulting from bank failures and any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resurgence of elevated levels of inflation or inflationary pressures in the United States and our market areas, or other events, cause these sources of external funding to become restricted or are eliminated, the Company may not be able to raise adequate funds or may incur substantially higher funding costs or operating restrictions in order to raise the necessary funds to support the Company’s operations and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stockholders’ equity increased to $477.8 million as of September 30, 2025, compared to $438.9 million as of December 31, 2024, an increase of $38.9 million, or 8.9%. The increase from December 31, 2024 was primarily the result of $43.2 million in net income for the nine months ended September 30, 2025 and an increase in accumulated other comprehensive income (“AOCI”) of $9.5 million related to fair value changes in available for sale securities and related fair value hedges, partially offset by $7.5 million of dividends paid and $8.5 million in repurchases of common stock for the nine months ended September 30, 2025.</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both we and the Bank met all the capital adequacy requirements to which we and the Bank were subject. At September 30, 2025, we and the Bank were “well capitalized” under the regulatory framework for prompt corrective action. Management believes that no conditions or events have occurred since September 30, 2025 that would materially adversely change such capital classifications. From time to time, we may need to raise additional capital to support our and the Bank’s further growth and to maintain our “well capitalized” status.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Company’s (on a consolidated basis) and the Bank’s capital ratios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1"/>
                <w:szCs w:val="21"/>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611,541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631,713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553,326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508,326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478,535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553,326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City Bank:</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533,034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520,788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488,925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488,925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3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488,925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Bank Leverage Ratio</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 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in Part I, Item 1, “Business,” under the subheading “Supervision and Regulation—Regulatory Capital Requirements,” in the 2024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repurchased stock in accordance with its previously-announced stock repurchase program during the nine months ended September 30, 2025. For the three months ended September 30, 2025, we did not repurchase any shares of common stock. For the nine months ended September 30, 2025, we repurchased 259,046 shares of common stock for a total of $8.5 million. These shares were retired immediately upon repurchase and not included in treasury stock. See Part II, Item 2, “Unregistered Sales of Equity Securities and Use of Proceeds,” of this Form 10-Q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and Market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simulated change in net interest income over a 12-month horizon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0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r>
      <w:tr>
        <w:trPr>
          <w:trHeight w:val="194"/>
        </w:trPr>
        <w:tc>
          <w:tcPr>
            <w:tcW w:w="30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5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Change in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 Change in</w:t>
            </w:r>
          </w:p>
        </w:tc>
        <w:tc>
          <w:tcPr>
            <w:tcW w:w="220" w:type="dxa"/>
            <w:vAlign w:val="bottom"/>
          </w:tcPr>
          <w:p>
            <w:pPr>
              <w:spacing w:after="0"/>
              <w:rPr>
                <w:sz w:val="16"/>
                <w:szCs w:val="16"/>
                <w:color w:val="auto"/>
              </w:rPr>
            </w:pPr>
          </w:p>
        </w:tc>
      </w:tr>
      <w:tr>
        <w:trPr>
          <w:trHeight w:val="225"/>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Change in Interest Rates (Basis Points)</w:t>
            </w:r>
          </w:p>
        </w:tc>
        <w:tc>
          <w:tcPr>
            <w:tcW w:w="4640" w:type="dxa"/>
            <w:vAlign w:val="bottom"/>
          </w:tcPr>
          <w:p>
            <w:pPr>
              <w:spacing w:after="0"/>
              <w:rPr>
                <w:sz w:val="19"/>
                <w:szCs w:val="19"/>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40" w:type="dxa"/>
            <w:vAlign w:val="bottom"/>
          </w:tcPr>
          <w:p>
            <w:pPr>
              <w:spacing w:after="0"/>
              <w:rPr>
                <w:sz w:val="19"/>
                <w:szCs w:val="19"/>
                <w:color w:val="auto"/>
              </w:rPr>
            </w:pPr>
          </w:p>
        </w:tc>
        <w:tc>
          <w:tcPr>
            <w:tcW w:w="18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Net Interest Income</w:t>
            </w:r>
          </w:p>
        </w:tc>
      </w:tr>
      <w:tr>
        <w:trPr>
          <w:trHeight w:val="20"/>
        </w:trPr>
        <w:tc>
          <w:tcPr>
            <w:tcW w:w="300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46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4640" w:type="dxa"/>
            <w:vAlign w:val="bottom"/>
          </w:tcPr>
          <w:p>
            <w:pPr>
              <w:spacing w:after="0"/>
              <w:rPr>
                <w:sz w:val="18"/>
                <w:szCs w:val="18"/>
                <w:color w:val="auto"/>
              </w:rPr>
            </w:pP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46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(0.72)%</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4640" w:type="dxa"/>
            <w:vAlign w:val="bottom"/>
          </w:tcPr>
          <w:p>
            <w:pPr>
              <w:spacing w:after="0"/>
              <w:rPr>
                <w:sz w:val="18"/>
                <w:szCs w:val="18"/>
                <w:color w:val="auto"/>
              </w:rPr>
            </w:pP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(0.65)%</w:t>
            </w: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46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(0.60)%</w:t>
            </w: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and related notes included elsewhere in this Form 10-Q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 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Tangible Book Value Per Common Share</w:t>
      </w:r>
      <w:r>
        <w:rPr>
          <w:rFonts w:ascii="Times New Roman" w:cs="Times New Roman" w:eastAsia="Times New Roman" w:hAnsi="Times New Roman"/>
          <w:sz w:val="18"/>
          <w:szCs w:val="18"/>
          <w:color w:val="auto"/>
        </w:rPr>
        <w:t>. Tangible book value per share is a non-GAAP measure generally used by investors, financial analysts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Tangible Common Equity to Tangible Assets</w:t>
      </w:r>
      <w:r>
        <w:rPr>
          <w:rFonts w:ascii="Times New Roman" w:cs="Times New Roman" w:eastAsia="Times New Roman" w:hAnsi="Times New Roman"/>
          <w:sz w:val="18"/>
          <w:szCs w:val="18"/>
          <w:color w:val="auto"/>
        </w:rPr>
        <w:t>. Tangible common equity to tangible assets is a non-GAAP measure generally used by investors,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477,802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438,949</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(20,580)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(21,035)</w:t>
            </w:r>
          </w:p>
        </w:tc>
      </w:tr>
      <w:tr>
        <w:trPr>
          <w:trHeight w:val="257"/>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common equity</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457,222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417,914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4,479,437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4,232,239</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(20,580)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(21,035)</w:t>
            </w:r>
          </w:p>
        </w:tc>
      </w:tr>
      <w:tr>
        <w:trPr>
          <w:trHeight w:val="25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4,458,857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4,211,204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8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16,247,839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16,455,826</w:t>
            </w:r>
          </w:p>
        </w:tc>
      </w:tr>
      <w:tr>
        <w:trPr>
          <w:trHeight w:val="210"/>
        </w:trPr>
        <w:tc>
          <w:tcPr>
            <w:tcW w:w="86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18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Book value per share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26.67</w:t>
            </w:r>
          </w:p>
        </w:tc>
      </w:tr>
      <w:tr>
        <w:trPr>
          <w:trHeight w:val="234"/>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book value per share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28.14</w:t>
            </w:r>
          </w:p>
        </w:tc>
        <w:tc>
          <w:tcPr>
            <w:tcW w:w="180" w:type="dxa"/>
            <w:vAlign w:val="bottom"/>
          </w:tcPr>
          <w:p>
            <w:pPr>
              <w:spacing w:after="0"/>
              <w:rPr>
                <w:sz w:val="20"/>
                <w:szCs w:val="20"/>
                <w:color w:val="auto"/>
              </w:rPr>
            </w:pPr>
          </w:p>
        </w:tc>
        <w:tc>
          <w:tcPr>
            <w:tcW w:w="26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25.40</w:t>
            </w: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 We evaluate our estimates on an ongoing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2024.</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allowance for credit losses includes credit losses on loans as well as the off-balance-sheet credit exposure,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as a component of other liabilities on our consolidated balance sheets. 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The ACL for loans is affected by charge-offs, recoveries and the provision for credit losses on loans.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Loan losses are charged against the allowance when management believes the uncollectibility of a loan balance is confirmed.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Mortgage Servicing Rights. </w:t>
      </w:r>
      <w:r>
        <w:rPr>
          <w:rFonts w:ascii="Times New Roman" w:cs="Times New Roman" w:eastAsia="Times New Roman" w:hAnsi="Times New Roman"/>
          <w:sz w:val="18"/>
          <w:szCs w:val="18"/>
          <w:color w:val="auto"/>
        </w:rPr>
        <w:t>When mortgage loans are sold with servicing retained, servicing rights are initially recorded at fair value with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comprehensive income (loss) effect recorded in net gain on sale of loans. Fair value is based on market prices for comparable mortgage servicing contracts, when available, or alternatively, is based on a valuation model administered by a third-party that calculates present value of estimated future servicing income. The fair values of servicing rights are subject to significant fluctuations in valuation model assumptions as a result of changes in estimated and actual prepayment speeds and default rates and losses. Estimating prepayment speed and/or discount rates within ranges that market participants would use in determining the fair value of the MSR requires significant management judgment.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Summary of Significant Accounting Policies, in the notes to the consolidated financial statements included elsewhere in this Form 10-Q regarding the impact of new accounting pronouncements.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Rules 13a-15(f) and 15d-15(f) under the Exchange Act) that occurred during the three months ended September 30, 2025 that have materially affected, or are reasonably likely to materially affect, the Company’s internal control over financial reporting.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are subject to various legal actions, as described in our Annual Report on Form 10-K for the year ended December 31, 2024 (the “2024 Annual Report on Form 10-K”) filed with the SEC on March 7, 2025. Except as described in our 2024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2024 Annual Report on Form 10-K. Management believes there have been no material changes in the risk factors disclosed by the Company in Part I, Item 1A, “Risk Factors,” of the 2024 Annual Report on Form 10-K.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announced on February 21, 2025, the Company’s board of directors approved a stock repurchase program pursuant to which the Company may, from time to time, purchase up to $15.0 million of its outstanding shares of common stock (the “Program”). The shares can be repurchased from time to time through various means, including open market purchases and privately negotiated transactions. Open market repurchases under the Program will be conducted in accordance with the limitations set forth in Rule 10b-18 promulgated under the Securities Exchange Act of 1934, as amended (the “Exchange Act”), and other applicable legal requirements. Repurchases under the Program may also be made pursuant to a trading plan under Rule 10b5-1 under the Exchange Act, which would permit shares to be repurchased by the Company when the Company might otherwise be precluded from doing so because of self-imposed trading blackout periods or other regulatory restrictions. The extent to which the Company repurchases its shares, and the manner, timing and amount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suspend or terminate repurchases at any time prior to the Program’s expiration, without any prior notice. The Program does not obligate the Company to repurchase any particular number or amount of shares of the Company’s common stock and there is no guarantee as to the exact number or value of shares that will be repurchased by the Company under the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Maximum Dollar Amount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Dollar Amount</w:t>
            </w:r>
          </w:p>
        </w:tc>
        <w:tc>
          <w:tcPr>
            <w:tcW w:w="80" w:type="dxa"/>
            <w:vAlign w:val="bottom"/>
          </w:tcPr>
          <w:p>
            <w:pPr>
              <w:spacing w:after="0"/>
              <w:rPr>
                <w:sz w:val="18"/>
                <w:szCs w:val="18"/>
                <w:color w:val="auto"/>
              </w:rPr>
            </w:pPr>
          </w:p>
        </w:tc>
        <w:tc>
          <w:tcPr>
            <w:tcW w:w="2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Pursuant to</w:t>
            </w:r>
          </w:p>
        </w:tc>
        <w:tc>
          <w:tcPr>
            <w:tcW w:w="80" w:type="dxa"/>
            <w:vAlign w:val="bottom"/>
          </w:tcPr>
          <w:p>
            <w:pPr>
              <w:spacing w:after="0"/>
              <w:rPr>
                <w:sz w:val="18"/>
                <w:szCs w:val="18"/>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Repurchase Pursuant to</w:t>
            </w:r>
          </w:p>
        </w:tc>
        <w:tc>
          <w:tcPr>
            <w:tcW w:w="0" w:type="dxa"/>
            <w:vAlign w:val="bottom"/>
          </w:tcPr>
          <w:p>
            <w:pPr>
              <w:spacing w:after="0"/>
              <w:rPr>
                <w:sz w:val="1"/>
                <w:szCs w:val="1"/>
                <w:color w:val="auto"/>
              </w:rPr>
            </w:pPr>
          </w:p>
        </w:tc>
      </w:tr>
      <w:tr>
        <w:trPr>
          <w:trHeight w:val="245"/>
        </w:trPr>
        <w:tc>
          <w:tcPr>
            <w:tcW w:w="7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Repurchased</w:t>
            </w:r>
          </w:p>
        </w:tc>
        <w:tc>
          <w:tcPr>
            <w:tcW w:w="12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Publicly-Announced Plans</w:t>
            </w: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Publicly-Announced Plans</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July 2025</w:t>
            </w:r>
          </w:p>
        </w:tc>
        <w:tc>
          <w:tcPr>
            <w:tcW w:w="36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August 2025</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6,474,416</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2025</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6,474,416</w:t>
            </w:r>
          </w:p>
        </w:tc>
        <w:tc>
          <w:tcPr>
            <w:tcW w:w="0" w:type="dxa"/>
            <w:vAlign w:val="bottom"/>
          </w:tcPr>
          <w:p>
            <w:pPr>
              <w:spacing w:after="0"/>
              <w:rPr>
                <w:sz w:val="1"/>
                <w:szCs w:val="1"/>
                <w:color w:val="auto"/>
              </w:rPr>
            </w:pPr>
          </w:p>
        </w:tc>
      </w:tr>
      <w:tr>
        <w:trPr>
          <w:trHeight w:val="27"/>
        </w:trPr>
        <w:tc>
          <w:tcPr>
            <w:tcW w:w="78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8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3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80" w:type="dxa"/>
            <w:vAlign w:val="bottom"/>
            <w:vMerge w:val="continue"/>
          </w:tcPr>
          <w:p>
            <w:pPr>
              <w:spacing w:after="0"/>
              <w:rPr>
                <w:sz w:val="24"/>
                <w:szCs w:val="24"/>
                <w:color w:val="auto"/>
              </w:rPr>
            </w:pPr>
          </w:p>
        </w:tc>
        <w:tc>
          <w:tcPr>
            <w:tcW w:w="36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3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3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director or officer of the Company adopted, modified, or terminated a “Rule 10b5-1 trading arrangement” or a “non-Rule 10b5-1 trading arrangement,” as each term is defined in Item 408 of Regulation S-K.</w:t>
      </w:r>
    </w:p>
    <w:p>
      <w:pPr>
        <w:sectPr>
          <w:pgSz w:w="11900" w:h="16838" w:orient="portrait"/>
          <w:cols w:equalWidth="0" w:num="1">
            <w:col w:w="11240"/>
          </w:cols>
          <w:pgMar w:left="320" w:top="116"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980" w:type="dxa"/>
            <w:vAlign w:val="bottom"/>
          </w:tcPr>
          <w:p>
            <w:pPr>
              <w:spacing w:after="0"/>
              <w:rPr>
                <w:sz w:val="13"/>
                <w:szCs w:val="13"/>
                <w:color w:val="auto"/>
              </w:rPr>
            </w:pPr>
          </w:p>
        </w:tc>
      </w:tr>
      <w:tr>
        <w:trPr>
          <w:trHeight w:val="385"/>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240" w:type="dxa"/>
            <w:vAlign w:val="bottom"/>
          </w:tcPr>
          <w:p>
            <w:pPr>
              <w:spacing w:after="0"/>
              <w:rPr>
                <w:sz w:val="24"/>
                <w:szCs w:val="24"/>
                <w:color w:val="auto"/>
              </w:rPr>
            </w:pPr>
          </w:p>
        </w:tc>
        <w:tc>
          <w:tcPr>
            <w:tcW w:w="8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bottom w:val="single" w:sz="8" w:color="CCEEFF"/>
            </w:tcBorders>
          </w:tcPr>
          <w:p>
            <w:pPr>
              <w:spacing w:after="0"/>
              <w:rPr>
                <w:sz w:val="21"/>
                <w:szCs w:val="21"/>
                <w:color w:val="auto"/>
              </w:rPr>
            </w:pPr>
          </w:p>
        </w:tc>
        <w:tc>
          <w:tcPr>
            <w:tcW w:w="998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Certificate of Formation of South Plains Financial, Inc. (incorporated by reference to Exhibit 3.1 to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Company’s Registration Statement on Form S-1 filed with the SEC on April 12, 2019) (File No. 333-230851).</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Third Amended and Restated Bylaws of South Plains Financial, Inc. (incorporated by reference to Exhibit 3.1 to the Company’s Current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Report on Form 8-K filed with the SEC on August 26, 2025) (File No. 001-38895).</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by Chief Executive Officer pursuant to Rule 13a-14(a) under the Securities Exchange Act of 1934, as amended.</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by Chief Financial Officer pursuant to Rule 13a-14(a) under the Securities Exchange Act of 1934, as amended.</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Section 1350 Certification of Chief Executive Officer.</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Section 1350 Certification of Chief Financial Officer.</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8"/>
        </w:trPr>
        <w:tc>
          <w:tcPr>
            <w:tcW w:w="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The following material from South Plains Financial, Inc.’s Form 10-Q for the quarter ended September 30, 2025, formatted in XBRL</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(eXtensible  Business  Reporting  Language),  filed  herewith:  (i)  Consolidated  Balance  Sheets,  (ii)  Consolidated  Statements  of</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Comprehensive Income, (iii) Consolidated Statements of Changes in Stockholders’ Equity, (iv) Consolidated Statements of Cash Flows,</w:t>
            </w:r>
          </w:p>
        </w:tc>
      </w:tr>
      <w:tr>
        <w:trPr>
          <w:trHeight w:val="234"/>
        </w:trPr>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(v) Notes to Unaudited Consolidated Financial Statements.</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216"/>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8"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Filed with this Form 10-Q</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222222"/>
        </w:rPr>
        <w:t>**</w:t>
      </w:r>
      <w:r>
        <w:rPr>
          <w:sz w:val="20"/>
          <w:szCs w:val="20"/>
          <w:color w:val="auto"/>
        </w:rPr>
        <w:tab/>
      </w:r>
      <w:r>
        <w:rPr>
          <w:rFonts w:ascii="Times New Roman" w:cs="Times New Roman" w:eastAsia="Times New Roman" w:hAnsi="Times New Roman"/>
          <w:sz w:val="17"/>
          <w:szCs w:val="17"/>
          <w:color w:val="222222"/>
        </w:rPr>
        <w:t>Furnished with this Form 10-Q</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6040" w:val="left"/>
          <w:tab w:leader="none" w:pos="806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17145</wp:posOffset>
            </wp:positionV>
            <wp:extent cx="30772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077210" cy="17145"/>
                    </a:xfrm>
                    <a:prstGeom prst="rect">
                      <a:avLst/>
                    </a:prstGeom>
                    <a:noFill/>
                  </pic:spPr>
                </pic:pic>
              </a:graphicData>
            </a:graphic>
          </wp:anchor>
        </w:drawing>
      </w:r>
    </w:p>
    <w:p>
      <w:pPr>
        <w:spacing w:after="0" w:line="2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3"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spacing w:after="0"/>
        <w:tabs>
          <w:tab w:leader="none" w:pos="6040" w:val="left"/>
          <w:tab w:leader="none" w:pos="800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17145</wp:posOffset>
            </wp:positionV>
            <wp:extent cx="30772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077210" cy="17145"/>
                    </a:xfrm>
                    <a:prstGeom prst="rect">
                      <a:avLst/>
                    </a:prstGeom>
                    <a:noFill/>
                  </pic:spPr>
                </pic:pic>
              </a:graphicData>
            </a:graphic>
          </wp:anchor>
        </w:drawing>
      </w:r>
    </w:p>
    <w:p>
      <w:pPr>
        <w:spacing w:after="0" w:line="2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Curtis C. Griffith, certify that:</w:t>
      </w:r>
    </w:p>
    <w:p>
      <w:pPr>
        <w:spacing w:after="0" w:line="225" w:lineRule="exact"/>
        <w:rPr>
          <w:sz w:val="20"/>
          <w:szCs w:val="20"/>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September 30, 2025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786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B. Crockett, certify that:</w:t>
      </w:r>
    </w:p>
    <w:p>
      <w:pPr>
        <w:spacing w:after="0" w:line="225" w:lineRule="exact"/>
        <w:rPr>
          <w:sz w:val="20"/>
          <w:szCs w:val="20"/>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September 30, 2025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780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South Plains Financial, Inc. (the “Company”) for the quarter ended September 30, 2025 (the “Report”), as filed with the Securities and Exchange Commission on the date hereof, I certify, pursuant to 18 U.S.C. § 1350, as adopted pursuant to §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786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South Plains Financial, Inc. (the “Company”) for the quarter ended September 30, 2025 (the “Report”), as filed with the Securities and Exchange Commission on the date hereof, I certify, pursuant to 18 U.S.C. § 1350, as adopted pursuant to §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780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59" Type="http://schemas.openxmlformats.org/officeDocument/2006/relationships/hyperlink" Target="https://www.sec.gov/Archives/edgar/data/1163668/000114036119007042/s002614x4_ex3-1.htm" TargetMode="External"/><Relationship Id="rId60" Type="http://schemas.openxmlformats.org/officeDocument/2006/relationships/hyperlink" Target="https://www.sec.gov/Archives/edgar/data/1163668/000114036125032756/ef20054566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2025-11-06T07:18:54Z</dcterms:created>
  <dcterms:modified xsi:type="dcterms:W3CDTF">2025-11-06T07:18:54Z</dcterms:modified>
</cp:coreProperties>
</file>