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194310</wp:posOffset>
            </wp:positionH>
            <wp:positionV relativeFrom="page">
              <wp:posOffset>143510</wp:posOffset>
            </wp:positionV>
            <wp:extent cx="716026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27305"/>
                    </a:xfrm>
                    <a:prstGeom prst="rect">
                      <a:avLst/>
                    </a:prstGeom>
                    <a:noFill/>
                  </pic:spPr>
                </pic:pic>
              </a:graphicData>
            </a:graphic>
          </wp:anchor>
        </w:drawing>
        <w:drawing>
          <wp:anchor simplePos="0" relativeHeight="251657728" behindDoc="1" locked="0" layoutInCell="0" allowOverlap="1">
            <wp:simplePos x="0" y="0"/>
            <wp:positionH relativeFrom="page">
              <wp:posOffset>194310</wp:posOffset>
            </wp:positionH>
            <wp:positionV relativeFrom="page">
              <wp:posOffset>239395</wp:posOffset>
            </wp:positionV>
            <wp:extent cx="71602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698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April 24, 2025</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South Plains Financial,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80"/>
          </w:cols>
          <w:pgMar w:left="300" w:top="440" w:right="319" w:bottom="1440" w:gutter="0" w:footer="0" w:header="0"/>
        </w:sectPr>
      </w:pPr>
    </w:p>
    <w:p>
      <w:pPr>
        <w:spacing w:after="0" w:line="165"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Texas</w:t>
      </w:r>
    </w:p>
    <w:p>
      <w:pPr>
        <w:spacing w:after="0" w:line="27"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001-38895</w:t>
      </w:r>
    </w:p>
    <w:p>
      <w:pPr>
        <w:spacing w:after="0" w:line="27"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75-2453320</w:t>
      </w:r>
    </w:p>
    <w:p>
      <w:pPr>
        <w:spacing w:after="0" w:line="27"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68" w:lineRule="exact"/>
        <w:rPr>
          <w:sz w:val="24"/>
          <w:szCs w:val="24"/>
          <w:color w:val="auto"/>
        </w:rPr>
      </w:pPr>
    </w:p>
    <w:p>
      <w:pPr>
        <w:sectPr>
          <w:pgSz w:w="11900" w:h="16838" w:orient="portrait"/>
          <w:cols w:equalWidth="0" w:num="3">
            <w:col w:w="4140" w:space="720"/>
            <w:col w:w="2860" w:space="720"/>
            <w:col w:w="2840"/>
          </w:cols>
          <w:pgMar w:left="300" w:top="440" w:right="319" w:bottom="1440" w:gutter="0" w:footer="0" w:header="0"/>
          <w:type w:val="continuous"/>
        </w:sectPr>
      </w:pP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5219 City Bank Parkway</w:t>
      </w:r>
    </w:p>
    <w:p>
      <w:pPr>
        <w:spacing w:after="0" w:line="27"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Lubbock, Texas</w:t>
      </w:r>
    </w:p>
    <w:p>
      <w:pPr>
        <w:spacing w:after="0" w:line="11"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4"/>
          <w:szCs w:val="14"/>
          <w:b w:val="1"/>
          <w:bCs w:val="1"/>
          <w:color w:val="auto"/>
        </w:rPr>
        <w:t>79407</w:t>
      </w:r>
    </w:p>
    <w:p>
      <w:pPr>
        <w:spacing w:after="0" w:line="27"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4"/>
          <w:szCs w:val="14"/>
          <w:color w:val="auto"/>
        </w:rPr>
        <w:t>(Zip Code)</w:t>
      </w:r>
    </w:p>
    <w:p>
      <w:pPr>
        <w:spacing w:after="0" w:line="168" w:lineRule="exact"/>
        <w:rPr>
          <w:sz w:val="24"/>
          <w:szCs w:val="24"/>
          <w:color w:val="auto"/>
        </w:rPr>
      </w:pPr>
    </w:p>
    <w:p>
      <w:pPr>
        <w:sectPr>
          <w:pgSz w:w="11900" w:h="16838" w:orient="portrait"/>
          <w:cols w:equalWidth="0" w:num="2">
            <w:col w:w="7500" w:space="720"/>
            <w:col w:w="3060"/>
          </w:cols>
          <w:pgMar w:left="300" w:top="440"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(806) 792-7101</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83" w:lineRule="exact"/>
        <w:rPr>
          <w:sz w:val="24"/>
          <w:szCs w:val="24"/>
          <w:color w:val="auto"/>
        </w:rPr>
      </w:pPr>
    </w:p>
    <w:p>
      <w:pPr>
        <w:ind w:left="400" w:hanging="394"/>
        <w:spacing w:after="0"/>
        <w:tabs>
          <w:tab w:leader="none" w:pos="4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83" w:lineRule="exact"/>
        <w:rPr>
          <w:rFonts w:ascii="MS PGothic" w:cs="MS PGothic" w:eastAsia="MS PGothic" w:hAnsi="MS PGothic"/>
          <w:sz w:val="14"/>
          <w:szCs w:val="14"/>
          <w:color w:val="auto"/>
        </w:rPr>
      </w:pPr>
    </w:p>
    <w:p>
      <w:pPr>
        <w:ind w:left="400" w:hanging="394"/>
        <w:spacing w:after="0"/>
        <w:tabs>
          <w:tab w:leader="none" w:pos="4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83" w:lineRule="exact"/>
        <w:rPr>
          <w:rFonts w:ascii="MS PGothic" w:cs="MS PGothic" w:eastAsia="MS PGothic" w:hAnsi="MS PGothic"/>
          <w:sz w:val="14"/>
          <w:szCs w:val="14"/>
          <w:color w:val="auto"/>
        </w:rPr>
      </w:pPr>
    </w:p>
    <w:p>
      <w:pPr>
        <w:ind w:left="400" w:hanging="394"/>
        <w:spacing w:after="0"/>
        <w:tabs>
          <w:tab w:leader="none" w:pos="4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83" w:lineRule="exact"/>
        <w:rPr>
          <w:rFonts w:ascii="MS PGothic" w:cs="MS PGothic" w:eastAsia="MS PGothic" w:hAnsi="MS PGothic"/>
          <w:sz w:val="14"/>
          <w:szCs w:val="14"/>
          <w:color w:val="auto"/>
        </w:rPr>
      </w:pPr>
    </w:p>
    <w:p>
      <w:pPr>
        <w:ind w:right="4480" w:firstLine="6"/>
        <w:spacing w:after="0" w:line="524" w:lineRule="auto"/>
        <w:tabs>
          <w:tab w:leader="none" w:pos="387"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75"/>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74"/>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$1.00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SPFI</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57" w:lineRule="exact"/>
        <w:rPr>
          <w:sz w:val="24"/>
          <w:szCs w:val="24"/>
          <w:color w:val="auto"/>
        </w:rPr>
      </w:pPr>
    </w:p>
    <w:p>
      <w:pPr>
        <w:ind w:right="420"/>
        <w:spacing w:after="0" w:line="29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95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15" w:lineRule="exact"/>
        <w:rPr>
          <w:sz w:val="24"/>
          <w:szCs w:val="24"/>
          <w:color w:val="auto"/>
        </w:rPr>
      </w:pPr>
    </w:p>
    <w:p>
      <w:pPr>
        <w:ind w:right="60"/>
        <w:spacing w:after="0" w:line="19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71602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211455</wp:posOffset>
            </wp:positionV>
            <wp:extent cx="7160260" cy="27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273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334645</wp:posOffset>
            </wp:positionV>
            <wp:extent cx="7160260"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40" w:right="31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2.02</w:t>
      </w:r>
      <w:r>
        <w:rPr>
          <w:sz w:val="20"/>
          <w:szCs w:val="20"/>
          <w:color w:val="auto"/>
        </w:rPr>
        <w:tab/>
      </w:r>
      <w:r>
        <w:rPr>
          <w:rFonts w:ascii="Times New Roman" w:cs="Times New Roman" w:eastAsia="Times New Roman" w:hAnsi="Times New Roman"/>
          <w:sz w:val="14"/>
          <w:szCs w:val="14"/>
          <w:b w:val="1"/>
          <w:bCs w:val="1"/>
          <w:color w:val="auto"/>
        </w:rPr>
        <w:t>Results of Operations and Financial Condition.</w:t>
      </w:r>
    </w:p>
    <w:p>
      <w:pPr>
        <w:spacing w:after="0" w:line="18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On April 24, 2025, South Plains Financial, Inc. (the “Company”) issued a press release announcing its financial results for the first quarter ended March 31, 2025. A copy of the Company’s press release covering such announcement and certain other matters is furnished as Exhibit 99.1 to this Current Report on Form 8-K.</w:t>
      </w:r>
    </w:p>
    <w:p>
      <w:pPr>
        <w:spacing w:after="0" w:line="1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7.01</w:t>
      </w:r>
      <w:r>
        <w:rPr>
          <w:sz w:val="20"/>
          <w:szCs w:val="20"/>
          <w:color w:val="auto"/>
        </w:rPr>
        <w:tab/>
      </w:r>
      <w:r>
        <w:rPr>
          <w:rFonts w:ascii="Times New Roman" w:cs="Times New Roman" w:eastAsia="Times New Roman" w:hAnsi="Times New Roman"/>
          <w:sz w:val="14"/>
          <w:szCs w:val="14"/>
          <w:b w:val="1"/>
          <w:bCs w:val="1"/>
          <w:color w:val="auto"/>
        </w:rPr>
        <w:t>Regulation FD Disclosure.</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On April 24, 2025, officers of the Company will have a conference call with respect to the Company’s financial results for the first quarter ended March 31, 2025. An earnings release slide presentation highlighting the Company’s financial results for the first quarter ended March 31, 2025 is furnished as Exhibit 99.2 to this Current Report on Form 8-K. This earnings release slide presentation will also be available on the Company’s website, www.spfi.bank, under the “News &amp; Events” section.</w:t>
      </w:r>
    </w:p>
    <w:p>
      <w:pPr>
        <w:spacing w:after="0" w:line="13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In accordance with General Instruction B.2 of Form 8-K, the information in Items 2.02 and 7.01 of this Current Report on Form 8-K, including Exhibit 99.1 and Exhibit 99.2 furnished herewith, shall not be deemed “filed” for the purposes of Section 18 of the Securities Exchange Act of 1934, as amended (the “Exchange Act”), or otherwise subject to the liabilities of that section. The information in Items 2.02 and 7.01 of this Current Report on Form 8-K, including Exhibit 99.1 and Exhibit 99.2 furnished herewith, shall not be incorporated by reference into any filing or other document pursuant to the Exchange Act or the Securities Act of 1933, as amended, except as shall be expressly set forth by specific reference in such filing or document.</w:t>
      </w:r>
    </w:p>
    <w:p>
      <w:pPr>
        <w:spacing w:after="0" w:line="14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185" w:lineRule="exact"/>
        <w:rPr>
          <w:sz w:val="20"/>
          <w:szCs w:val="20"/>
          <w:color w:val="auto"/>
        </w:rPr>
      </w:pPr>
    </w:p>
    <w:p>
      <w:pPr>
        <w:ind w:left="1040" w:hanging="517"/>
        <w:spacing w:after="0"/>
        <w:tabs>
          <w:tab w:leader="none" w:pos="10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183" w:lineRule="exact"/>
        <w:rPr>
          <w:sz w:val="20"/>
          <w:szCs w:val="20"/>
          <w:color w:val="auto"/>
        </w:rPr>
      </w:pPr>
    </w:p>
    <w:p>
      <w:pPr>
        <w:ind w:left="520"/>
        <w:spacing w:after="0"/>
        <w:tabs>
          <w:tab w:leader="none" w:pos="1020" w:val="left"/>
        </w:tabs>
        <w:rPr>
          <w:sz w:val="20"/>
          <w:szCs w:val="20"/>
          <w:color w:val="auto"/>
        </w:rPr>
      </w:pPr>
      <w:r>
        <w:rPr>
          <w:rFonts w:ascii="Times New Roman" w:cs="Times New Roman" w:eastAsia="Times New Roman" w:hAnsi="Times New Roman"/>
          <w:sz w:val="14"/>
          <w:szCs w:val="14"/>
          <w:u w:val="single" w:color="auto"/>
          <w:color w:val="0000EE"/>
        </w:rPr>
        <w:t>99.1</w:t>
      </w:r>
      <w:r>
        <w:rPr>
          <w:sz w:val="20"/>
          <w:szCs w:val="20"/>
          <w:color w:val="auto"/>
        </w:rPr>
        <w:tab/>
      </w:r>
      <w:r>
        <w:rPr>
          <w:rFonts w:ascii="Times New Roman" w:cs="Times New Roman" w:eastAsia="Times New Roman" w:hAnsi="Times New Roman"/>
          <w:sz w:val="14"/>
          <w:szCs w:val="14"/>
          <w:color w:val="auto"/>
        </w:rPr>
        <w:t>Press release, dated April 24, 2025, announcing first quarter 2025 financial results of South Plains Financial, Inc.</w:t>
      </w:r>
    </w:p>
    <w:p>
      <w:pPr>
        <w:spacing w:after="0" w:line="183" w:lineRule="exact"/>
        <w:rPr>
          <w:sz w:val="20"/>
          <w:szCs w:val="20"/>
          <w:color w:val="auto"/>
        </w:rPr>
      </w:pPr>
    </w:p>
    <w:p>
      <w:pPr>
        <w:ind w:left="520"/>
        <w:spacing w:after="0"/>
        <w:tabs>
          <w:tab w:leader="none" w:pos="1020" w:val="left"/>
        </w:tabs>
        <w:rPr>
          <w:sz w:val="20"/>
          <w:szCs w:val="20"/>
          <w:color w:val="auto"/>
        </w:rPr>
      </w:pPr>
      <w:r>
        <w:rPr>
          <w:rFonts w:ascii="Times New Roman" w:cs="Times New Roman" w:eastAsia="Times New Roman" w:hAnsi="Times New Roman"/>
          <w:sz w:val="14"/>
          <w:szCs w:val="14"/>
          <w:u w:val="single" w:color="auto"/>
          <w:color w:val="0000EE"/>
        </w:rPr>
        <w:t>99.2</w:t>
      </w:r>
      <w:r>
        <w:rPr>
          <w:sz w:val="20"/>
          <w:szCs w:val="20"/>
          <w:color w:val="auto"/>
        </w:rPr>
        <w:tab/>
      </w:r>
      <w:r>
        <w:rPr>
          <w:rFonts w:ascii="Times New Roman" w:cs="Times New Roman" w:eastAsia="Times New Roman" w:hAnsi="Times New Roman"/>
          <w:sz w:val="14"/>
          <w:szCs w:val="14"/>
          <w:color w:val="auto"/>
        </w:rPr>
        <w:t>Earnings release slide presentation, dated April 24, 2025.</w:t>
      </w:r>
    </w:p>
    <w:p>
      <w:pPr>
        <w:spacing w:after="0" w:line="183" w:lineRule="exact"/>
        <w:rPr>
          <w:sz w:val="20"/>
          <w:szCs w:val="20"/>
          <w:color w:val="auto"/>
        </w:rPr>
      </w:pPr>
    </w:p>
    <w:p>
      <w:pPr>
        <w:ind w:left="520"/>
        <w:spacing w:after="0"/>
        <w:tabs>
          <w:tab w:leader="none" w:pos="102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185"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4"/>
          <w:szCs w:val="14"/>
          <w:color w:val="auto"/>
        </w:rPr>
        <w:t>Date: April 24, 2025</w:t>
      </w:r>
      <w:r>
        <w:rPr>
          <w:sz w:val="20"/>
          <w:szCs w:val="20"/>
          <w:color w:val="auto"/>
        </w:rPr>
        <w:tab/>
      </w:r>
      <w:r>
        <w:rPr>
          <w:rFonts w:ascii="Times New Roman" w:cs="Times New Roman" w:eastAsia="Times New Roman" w:hAnsi="Times New Roman"/>
          <w:sz w:val="14"/>
          <w:szCs w:val="14"/>
          <w:color w:val="auto"/>
        </w:rPr>
        <w:t>By:  /s/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16510</wp:posOffset>
            </wp:positionV>
            <wp:extent cx="3375025"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5025" cy="13970"/>
                    </a:xfrm>
                    <a:prstGeom prst="rect">
                      <a:avLst/>
                    </a:prstGeom>
                    <a:noFill/>
                  </pic:spPr>
                </pic:pic>
              </a:graphicData>
            </a:graphic>
          </wp:anchor>
        </w:drawing>
      </w:r>
    </w:p>
    <w:p>
      <w:pPr>
        <w:spacing w:after="0" w:line="1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color w:val="auto"/>
        </w:rPr>
        <w:t>Steven B. Crockett</w:t>
      </w:r>
    </w:p>
    <w:p>
      <w:pPr>
        <w:spacing w:after="0" w:line="2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274320</wp:posOffset>
            </wp:positionV>
            <wp:extent cx="7160260" cy="13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0960"/>
          </w:cols>
          <w:pgMar w:left="300" w:top="123" w:right="6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2657475" cy="382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57475" cy="38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South Plains Financial, Inc. Reports First Quarter 2025 Financial Results</w:t>
      </w:r>
    </w:p>
    <w:p>
      <w:pPr>
        <w:spacing w:after="0" w:line="185"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LUBBOCK, Texas, April 24, 2025 (GLOBE NEWSWIRE) – South Plains Financial, Inc. (NASDAQ:SPFI) (“South Plains” or the “Company”), the parent company of City Bank (“City Bank” or the “Bank”), today reported its financial results for the quarter ended March 31,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First Quarter 2025 Highlights</w:t>
      </w:r>
    </w:p>
    <w:p>
      <w:pPr>
        <w:spacing w:after="0" w:line="185" w:lineRule="exact"/>
        <w:rPr>
          <w:sz w:val="20"/>
          <w:szCs w:val="20"/>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for the first quarter of 2025 was $12.3 million, compared to $16.5 million for the fourth quarter of 2024 and $10.9 million for the first quarter of 2024.</w:t>
      </w:r>
    </w:p>
    <w:p>
      <w:pPr>
        <w:spacing w:after="0" w:line="24"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earnings per share for the first quarter of 2025 was $0.72, compared to $0.96 for the fourth quarter of 2024 and $0.64 for the first quarter of 2024.</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cost of deposits for the first quarter of 2025 was 219 basis points, compared to 229 basis points for the fourth quarter of 2024 and 241 basis points for the first quarter of 2024.</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margin, on a tax-equivalent basis, was 3.81% for the first quarter of 2025, compared to 3.75% for the fourth quarter of 2024 and 3.56% for the first quarter of 2024.</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Nonperforming assets to total assets were 0.16% at March 31, 2025, compared to 0.58% at December 31, 2024 and 0.10% at March 31, 2024.</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on average assets for the first quarter of 2025 was 1.16%, compared to 1.53% for the fourth quarter of 2024 and 1.04% for the first quarter of 2024.</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book value (non-GAAP) per share was $26.05 as of March 31, 2025, compared to $25.40 as of December 31, 2024 and $23.56 as of March 31, 2024.</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total risk-based capital ratio, common equity tier 1 risk-based capital ratio, and tier 1 leverage ratio at March 31, 2025 were 17.93%, 13.59%, and 12.04%, respectively.</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Curtis Griffith, South Plains’ Chairman and Chief Executive Officer, commented, “We delivered strong first quarter results highlighted by solid deposit growth, healthy margin expansion as our cost of funds continued to improve, and loan growth that was in line with our expectations. Additionally, the credit quality of our loan portfolio continued to strengthen in the quarter which is a testament to our conservative culture and proactive approach to managing credit. While the outlook is uncertain, we believe that we are in an advantageous position relative to our peers and are actively looking to expand in both our metropolitan and rural markets. We have the liquidity, capital, and team to take advantage of opportunities that come our way. While the economy may slow and businesses may reduce their risk appetites, we will be ready to meet the needs of our customers in these uncertain times. We will also continue to add experienced lenders who fit our culture and want to bring their customers to a better, more stable bank. However, we will maintain our conservative credit culture and will never sacrifice credit quality for growth as we work to maintain the strong credit quality of our loan portfolio. While we see many opportunities to continue growing the Bank, we believe our share price does not reflect the value that we are creating. As a result, we spent $8.3 million to repurchase 250,000 shares in the first quarter, leaving approximately $7 million under our previously announced share repurchase program.”</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 Quarter Ended March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Interest Income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Net interest income was $38.5 million for the first quarter of 2025, compared to $38.5 million for the fourth quarter of 2024 and $35.4 million for the first quarter of 2024. Net interest margin, calculated on a tax-equivalent basis, was 3.81% for the first quarter of 2025, compared to 3.75% for the fourth quarter of 2024 and 3.56% for the first quarter of 2024. The average yield on loans was 6.67% for the first quarter of 2025, compared to 6.69% for the fourth quarter of 2024 and 6.53% for the first quarter of 2024. The average cost of deposits was 219 basis points for the first quarter of 2025, which is 10 basis points lower than the fourth quarter of 2024 and 22 basis points lower than the first quarter of 2024.</w:t>
      </w:r>
    </w:p>
    <w:p>
      <w:pPr>
        <w:spacing w:after="0" w:line="14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Interest income was $59.9 million for the first quarter of 2025, compared to $61.3 million for the fourth quarter of 2024 and $58.7 million for the first quarter of 2024. Interest income decreased $1.4 million in the first quarter of 2025 from the fourth quarter of 2024, which was primarily comprised of a decrease of $692 thousand in loan interest income and a decrease of $408 thousand in interest income on other earning assets. The decline in interest income was due primarily to fewer days in the first quarter as compared to the fourth quarter of 2024. Interest income increased $1.2 million in the first quarter of 2025 compared to the first quarter of 2024. This increase was primarily due to an increase of average loans of $60.0 million and higher loan interest rates during the period, resulting in growth of $1.6 million in loan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189865</wp:posOffset>
            </wp:positionV>
            <wp:extent cx="7160260"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241" w:right="319" w:bottom="1440" w:gutter="0" w:footer="0" w:header="0"/>
        </w:sectPr>
      </w:pPr>
    </w:p>
    <w:bookmarkStart w:id="4" w:name="page5"/>
    <w:bookmarkEnd w:id="4"/>
    <w:p>
      <w:pPr>
        <w:jc w:val="both"/>
        <w:spacing w:after="0" w:line="265" w:lineRule="auto"/>
        <w:rPr>
          <w:sz w:val="20"/>
          <w:szCs w:val="20"/>
          <w:color w:val="auto"/>
        </w:rPr>
      </w:pPr>
      <w:r>
        <w:rPr>
          <w:rFonts w:ascii="Times New Roman" w:cs="Times New Roman" w:eastAsia="Times New Roman" w:hAnsi="Times New Roman"/>
          <w:sz w:val="14"/>
          <w:szCs w:val="14"/>
          <w:color w:val="auto"/>
        </w:rPr>
        <w:t>Interest expense was $21.4 million for the first quarter of 2025, compared to $22.8 million for the fourth quarter of 2024 and $23.4 million for the first quarter of 2024. Interest expense decreased $1.4 million compared to the fourth quarter of 2024 and decreased $2.0 million compared to the first quarter of 2024. The $1.4 million decrease was primarily as a result of a 19 basis point decline in the cost of interest-bearing deposits and fewer days in the quarter, partially offset by an increase of $50.0 million in average interest-bearing deposits in the first quarter of 2025 as compared to the fourth quarter of 2024. The $2.0 million decrease was primarily as a result of a 34 basis point decline in the cost of interest-bearing deposits, partially offset by an increase of $83.4 million in average interest-bearing deposits in the first quarter of 2025 as compared to the first quarter of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Noninterest Income and Noninterest Expense</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Noninterest income was $10.6 million for the first quarter of 2025, compared to $13.3 million for the fourth quarter of 2024 and $11.4 million for the first quarter of 2024. The decrease from the fourth quarter of 2024 was primarily due to a decrease of $2.8 million in mortgage banking revenues, mainly as a result of a decrease of $3.0 million in the fair value adjustment of the mortgage servicing rights assets as interest rates that affect the value decreased in the first quarter of 2025. The decrease in noninterest income for the first quarter of 2025 as compared to the first quarter of 2024 was primarily due to a decrease of $1.8 million in mortgage banking activities revenue mainly from a decrease of $1.6 million in the fair value adjustment of the mortgage servicing rights assets as interest rates that affect the value decreased in the first quarter of 2025. This decrease in mortgage banking activities revenue was partially offset by growth in service charges on deposits revenue and bank card services and interchange revenue.</w:t>
      </w:r>
    </w:p>
    <w:p>
      <w:pPr>
        <w:spacing w:after="0" w:line="14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Noninterest expense was $33.0 million for the first quarter of 2025, compared to $29.9 million for the fourth quarter of 2024 and $31.9 million for the first quarter of 2024. The $3.1 million increase from the fourth quarter of 2024 was largely the result of an increase of $2.1 million in personnel expenses, primarily from annual salary adjustments, increased health insurance costs as the fourth quarter of 2024 included annual rebates received, and increased annual incentive compensation expense. There were also increases in net occupancy expense, professional service expenses, and the ineffectiveness related to fair value hedges on municipal securities. The increase in noninterest expense for the first quarter of 2025 as compared to the first quarter of 2024 was largely the result of an increase of $453 thousand in personnel expenses, largely a result of annual salary adjustments.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 Portfolio and Composition</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Loans held for investment were $3.08 billion as of March 31, 2025, compared to $3.06 billion as of December 31, 2024 and $3.01 billion as of March 31, 2024. The increase of $20.8 million, or 2.7% annualized, during the first quarter of 2025 as compared to the fourth quarter of 2024 occurred primarily as a result of organic loan growth experienced in commercial owner-occupied real estate loans and commercial goods and services loans, partially offset by a seasonal decrease in agricultural production loans. As of March 31, 2025, loans held for investment increased $64.1 million, or 2.1%, from March 31, 2024, primarily attributable to organic loan growth, occurring broadly across the real estate and commercial loan segments, partially offset by decreases in auto loans and other consumer loans.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Deposits and Borrowings</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Deposits totaled $3.79 billion as of March 31, 2025, compared to $3.62 billion as of December 31, 2024 and $3.64 billion as of March 31, 2024. Deposits increased by $171.6 million, or 4.7%, in the first quarter of 2025 from December 31, 2024. Deposits increased by $153.9 million, or 4.2%, at March 31, 2025 as compared to March 31, 2024. Noninterest-bearing deposits were $966.5 million as of March 31, 2025, compared to $935.5 million as of December 31, 2024 and $974.2 million as of March 31, 2024. Noninterest-bearing deposits represented 25.5% of total deposits as of March 31, 2025. The quarterly change in total deposits was mainly due to a seasonal increase of $70.2 million in public fund deposits and strong organic growth in retail and commercial deposits. The year-over-year increase in total deposits was primarily the result of continued organic growth in retail and commercial deposits.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 Quality</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Company recorded a provision for credit losses in the first quarter of 2025 of $420 thousand, compared to $1.2 million in the fourth quarter of 2024 and $830 thousand in the first quarter of 2024. The provision during the first quarter of 2025 was largely attributable to net charge-off activity and increased loan balances, partially offset by improved credit quality as noted below in the nonperforming assets to total assets ratio.</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ratio of allowance for credit losses to loans held for investment was 1.40% as of March 31, 2025, compared to 1.42% as of December 31, 2024 and 1.40% as of March 31, 2024.</w:t>
      </w:r>
    </w:p>
    <w:p>
      <w:pPr>
        <w:spacing w:after="0" w:line="1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ratio of nonperforming assets to total assets was 0.16% as of March 31, 2025, compared to 0.58% as of December 31, 2024 and 0.10% as of March 31, 2024. A $19.0 million credit was placed back on accrual status at the end of the first quarter of 2025, based on sustained payment performance and improved credit structure. This credit was repaid in full subsequent to March 31, 2025. Annualized net charge-offs were 0.07% for the first quarter of 2025, compared to 0.11% for the fourth quarter of 2024 and 0.13% for the first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184150</wp:posOffset>
            </wp:positionV>
            <wp:extent cx="7160260" cy="1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color w:val="auto"/>
        </w:rPr>
        <w:t>Capital</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Book value per share increased to $27.33 at March 31, 2025, compared to $26.67 at December 31, 2024. The change was primarily driven by $9.8 million of net income after dividends paid and by an increase in accumulated other comprehensive income of $2.7 million, partially offset by stock repurchases of $8.3 million. The tangible common equity to tangible assets ratio (non-GAAP) decreased 28 basis points to 9.64% in the first quarter of 2025, largely due to growth of $173.0 million in tangible assets.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Conference Call</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 xml:space="preserve">South Plains will host a conference call to discuss its first quarter 2025 financial results today, April 24, 2025, at 5:00 p.m., Eastern Time. Investors and analysts interested in participating in the call are invited to dial 1-877-407-9716 (international callers please dial 1-201-493-6779) approximately 10 minutes prior to the start of the call. A live audio webcast of the conference call and conference materials will be available on the Company’s website at </w:t>
      </w:r>
      <w:r>
        <w:rPr>
          <w:rFonts w:ascii="Times New Roman" w:cs="Times New Roman" w:eastAsia="Times New Roman" w:hAnsi="Times New Roman"/>
          <w:sz w:val="14"/>
          <w:szCs w:val="14"/>
          <w:u w:val="single" w:color="auto"/>
          <w:color w:val="auto"/>
        </w:rPr>
        <w:t>https://www.spfi.bank/news-events/events</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A replay of the conference call will be available within two hours of the conclusion of the call and can be accessed on the investor section of the Company’s website as well as by dialing 1-844-512-2921 (international callers please dial 1-412-317-6671). The pin to access the telephone replay is 13752910. The replay will be available until May 8,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South Plains Financial, Inc.</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investment, trust and mortgage services. Please visit </w:t>
      </w:r>
      <w:r>
        <w:rPr>
          <w:rFonts w:ascii="Times New Roman" w:cs="Times New Roman" w:eastAsia="Times New Roman" w:hAnsi="Times New Roman"/>
          <w:sz w:val="14"/>
          <w:szCs w:val="14"/>
          <w:u w:val="single" w:color="auto"/>
          <w:color w:val="auto"/>
        </w:rPr>
        <w:t>https://www.spfi.bank</w:t>
      </w:r>
      <w:r>
        <w:rPr>
          <w:rFonts w:ascii="Times New Roman" w:cs="Times New Roman" w:eastAsia="Times New Roman" w:hAnsi="Times New Roman"/>
          <w:sz w:val="14"/>
          <w:szCs w:val="14"/>
          <w:color w:val="auto"/>
        </w:rPr>
        <w:t xml:space="preserve"> for more information.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Some of the financial measures included in this press release are not measures of financial performance recognized in accordance with generally accepted accounting principles in the United States (“GAAP”). These non-GAAP financial measures include Tangible Book Value Per Share, Tangible Common Equity to Tangible Assets, and Pre-Tax, Pre-Provision Income. The Company believes these non-GAAP financial measures provide both management and investors a more complete understanding of the Company’s financial position and performance. These non-GAAP financial measures are supplemental and are not a substitute for any analysis based on GAAP financial measures.</w:t>
      </w:r>
    </w:p>
    <w:p>
      <w:pPr>
        <w:spacing w:after="0" w:line="1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United States in our statements of income, balance sheets or statements of cash flows. Not all companies use the same calculation of these measures; therefore, this presentation may not be comparable to other similarly titled measures as presented by other companies.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non-GAAP financial measures to GAAP financial measures is provided at the end of this press release.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The Company routinely posts important information for investors on its web site (under </w:t>
      </w:r>
      <w:r>
        <w:rPr>
          <w:rFonts w:ascii="Times New Roman" w:cs="Times New Roman" w:eastAsia="Times New Roman" w:hAnsi="Times New Roman"/>
          <w:sz w:val="14"/>
          <w:szCs w:val="14"/>
          <w:u w:val="single" w:color="auto"/>
          <w:color w:val="auto"/>
        </w:rPr>
        <w:t>www.spfi.bank</w:t>
      </w:r>
      <w:r>
        <w:rPr>
          <w:rFonts w:ascii="Times New Roman" w:cs="Times New Roman" w:eastAsia="Times New Roman" w:hAnsi="Times New Roman"/>
          <w:sz w:val="14"/>
          <w:szCs w:val="14"/>
          <w:color w:val="auto"/>
        </w:rPr>
        <w:t xml:space="preserve"> and, more specifically, under the News &amp; Events tab at </w:t>
      </w:r>
      <w:r>
        <w:rPr>
          <w:rFonts w:ascii="Times New Roman" w:cs="Times New Roman" w:eastAsia="Times New Roman" w:hAnsi="Times New Roman"/>
          <w:sz w:val="14"/>
          <w:szCs w:val="14"/>
          <w:u w:val="single" w:color="auto"/>
          <w:color w:val="auto"/>
        </w:rPr>
        <w:t>www.spfi.bank/news-events/press-releases</w:t>
      </w:r>
      <w:r>
        <w:rPr>
          <w:rFonts w:ascii="Times New Roman" w:cs="Times New Roman" w:eastAsia="Times New Roman" w:hAnsi="Times New Roman"/>
          <w:sz w:val="14"/>
          <w:szCs w:val="14"/>
          <w:color w:val="auto"/>
        </w:rPr>
        <w:t>). The Company intends to use its web site as a means of disclosing material non-public information and for complying with its disclosure obligations under Regulation FD (Fair Disclosure) promulgated by the U.S. Securities and Exchange Commission (the “SEC”). Accordingly, investors should monitor the Company’s web site, in addition to following the Company’s press releases, SEC filings, public conference calls, presentations and webcasts.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contained on, or that may be accessed through, the Company’s web site is not incorporated by reference into, and is not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color w:val="auto"/>
        </w:rPr>
        <w:t>Forward Looking Statements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This press release contains forward-looking statements within the meaning of the Private Securities Litigation Reform Act of 1995. These forward-looking statements reflect South Plains’ current views with respect to future events and South Plains’ financial performance.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press release are based largely on South Plains’ expectations and are subject to a number of known and unknown risks and uncertainties that are subject to change based on factors which are, in many instances, beyond South Plains’ control. Factors that could cause such changes include, but are not limited to, the impact on us and our customers of a decline in general economic conditions and any regulatory responses thereto; potential recession in the United States and our market areas; the impacts related to or resulting from uncertainty in the banking industry as a whole; increased competition for deposits in our market areas and related changes in deposit customer behavior; the impact of changes in market interest rates, whether due to a continuation of the elevated interest rate environment or further reductions in interest rates and a resulting decline in net interest income; the lingering inflationary pressures, and the risk of the resurgence of elevated levels of inflation, in the United States and our market areas; the uncertain impacts of ongoing quantitative tightening and current and future monetary policies of the Board of Governors of the Federal Reserve System; increases in unemployment rates in the United States and our market areas; adverse changes in customer spending and savings habits; declines in commercial real estate values and prices; a deterioration of the credit rating for U.S. long-term sovereign debt or uncertainty regarding United States fiscal debt, deficit and budget matters; cyber incidents or other failures, disruptions or breaches of our operational or security systems or infrastructure, or those of our third-party vendors or other service providers, including as a result of cyber-attacks; severe weather, natural disasters, acts of war or terrorism, geopolitical instability or other external events, including as a result of changes in U.S. presidential administrations or Congress; the impacts of tariffs, sanctions and other trade policies of the United States and its global trading counterparts and the resulting impact on the Company and its customers; competition and market expansion opportunities; changes in non-interest expenditures or in the anticipated benefits of such expenditures; the risks related to the development, implementation, use and management of emerging technologies, including artificial intelligence and machine learnings; potential costs related to the impacts of climate change; current or future litigation, regulatory examinations or other legal and/or regulatory actions; and changes in applicable laws and regulations. Additional information regarding these risks and uncertainties to which South Plains’ business and future financial performance are subject is contained in South Plains’ most recent Annual Report on Form 10-K and Quarterly Reports on Form 10-Q on file with the SEC, including the sections entitled “Risk Factors” and “Management’s Discussion and Analysis of Financial Condition and Results of Operations” of such documents, and other documents South Plains files or furnishes with the SEC from time to time, which are available on the SEC’s website, www.sec.gov.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the Company can give no assurance that the results contemplated in the forward-looking statements will be realized and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applicable law. All forward-looking statements, express or implied, included in the press release are qualified in their entirety by this cautionary statement.</w:t>
      </w:r>
    </w:p>
    <w:p>
      <w:pPr>
        <w:spacing w:after="0" w:line="3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4"/>
          <w:szCs w:val="14"/>
          <w:color w:val="auto"/>
        </w:rPr>
        <w:t>Contact:</w:t>
      </w:r>
      <w:r>
        <w:rPr>
          <w:sz w:val="20"/>
          <w:szCs w:val="20"/>
          <w:color w:val="auto"/>
        </w:rPr>
        <w:tab/>
      </w:r>
      <w:r>
        <w:rPr>
          <w:rFonts w:ascii="Times New Roman" w:cs="Times New Roman" w:eastAsia="Times New Roman" w:hAnsi="Times New Roman"/>
          <w:sz w:val="14"/>
          <w:szCs w:val="14"/>
          <w:color w:val="auto"/>
        </w:rPr>
        <w:t>Mikella Newsom, Chief Risk Officer and Secretary</w:t>
      </w:r>
    </w:p>
    <w:p>
      <w:pPr>
        <w:spacing w:after="0" w:line="25" w:lineRule="exact"/>
        <w:rPr>
          <w:sz w:val="20"/>
          <w:szCs w:val="20"/>
          <w:color w:val="auto"/>
        </w:rPr>
      </w:pPr>
    </w:p>
    <w:p>
      <w:pPr>
        <w:ind w:left="1140" w:right="8980" w:hanging="4"/>
        <w:spacing w:after="0" w:line="273" w:lineRule="auto"/>
        <w:tabs>
          <w:tab w:leader="none" w:pos="148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771-3347 </w:t>
      </w:r>
      <w:r>
        <w:rPr>
          <w:rFonts w:ascii="Times New Roman" w:cs="Times New Roman" w:eastAsia="Times New Roman" w:hAnsi="Times New Roman"/>
          <w:sz w:val="14"/>
          <w:szCs w:val="14"/>
          <w:u w:val="single" w:color="auto"/>
          <w:color w:val="auto"/>
        </w:rPr>
        <w:t>investors@city.bank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Financial Highlights -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 except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4"/>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As of and for the quarter ended</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4"/>
                <w:szCs w:val="14"/>
                <w:color w:val="auto"/>
              </w:rPr>
            </w:pPr>
          </w:p>
        </w:tc>
        <w:tc>
          <w:tcPr>
            <w:tcW w:w="120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4"/>
                <w:szCs w:val="14"/>
                <w:color w:val="auto"/>
              </w:rPr>
            </w:pPr>
          </w:p>
        </w:tc>
        <w:tc>
          <w:tcPr>
            <w:tcW w:w="10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0"/>
        </w:trPr>
        <w:tc>
          <w:tcPr>
            <w:tcW w:w="4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r>
      <w:tr>
        <w:trPr>
          <w:trHeight w:val="171"/>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Income Statement Data:</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59,922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61,324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61,640</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59,208</w:t>
            </w: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58,727</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21,395</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22,776</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24,346</w:t>
            </w:r>
          </w:p>
        </w:tc>
        <w:tc>
          <w:tcPr>
            <w:tcW w:w="3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23,320</w:t>
            </w:r>
          </w:p>
        </w:tc>
        <w:tc>
          <w:tcPr>
            <w:tcW w:w="22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23,359</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38,527</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38,548</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37,294</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35,888</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35,368</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420</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1,200</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495</w:t>
            </w:r>
          </w:p>
        </w:tc>
        <w:tc>
          <w:tcPr>
            <w:tcW w:w="3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1,775</w:t>
            </w:r>
          </w:p>
        </w:tc>
        <w:tc>
          <w:tcPr>
            <w:tcW w:w="22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830</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 income</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10,625</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13,319</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10,635</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12,709</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11,409</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Noninterest expense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33,030</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29,948</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33,128</w:t>
            </w:r>
          </w:p>
        </w:tc>
        <w:tc>
          <w:tcPr>
            <w:tcW w:w="3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32,572</w:t>
            </w:r>
          </w:p>
        </w:tc>
        <w:tc>
          <w:tcPr>
            <w:tcW w:w="22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31,930</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3,408</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4,222</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3,094</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3,116</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3,143</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12,294</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16,497</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11,212</w:t>
            </w:r>
          </w:p>
        </w:tc>
        <w:tc>
          <w:tcPr>
            <w:tcW w:w="3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11,134</w:t>
            </w:r>
          </w:p>
        </w:tc>
        <w:tc>
          <w:tcPr>
            <w:tcW w:w="22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10,874</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Per Share Data (Common Stock):</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Net earnings, basic</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0.75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0.68</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0.68</w:t>
            </w:r>
          </w:p>
        </w:tc>
        <w:tc>
          <w:tcPr>
            <w:tcW w:w="2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0.66</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earnings, diluted</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0.72</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0.96</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0.66</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0.66</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0.64</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Cash dividends declared and paid</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0.15</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0.15</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0.14</w:t>
            </w:r>
          </w:p>
        </w:tc>
        <w:tc>
          <w:tcPr>
            <w:tcW w:w="3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0.14</w:t>
            </w:r>
          </w:p>
        </w:tc>
        <w:tc>
          <w:tcPr>
            <w:tcW w:w="22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0.13</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Book value</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27.33</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26.67</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27.04</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25.45</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Tangible book value (non-GAAP)</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26.05</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25.40</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25.75</w:t>
            </w:r>
          </w:p>
        </w:tc>
        <w:tc>
          <w:tcPr>
            <w:tcW w:w="3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24.15</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23.56</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shares outstanding, basic</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16,415,862</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16,400,361</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16,386,079</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16,425,360</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16,429,919</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shares outstanding, dilutive</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17,065,599</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17,161,646</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17,056,959</w:t>
            </w:r>
          </w:p>
        </w:tc>
        <w:tc>
          <w:tcPr>
            <w:tcW w:w="3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16,932,077</w:t>
            </w:r>
          </w:p>
        </w:tc>
        <w:tc>
          <w:tcPr>
            <w:tcW w:w="22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16,938,857</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outstanding at end of period</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16,235,647</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16,455,826</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16,386,627</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16,424,021</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16,431,755</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Period End Balance Sheet Data:</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536,300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359,082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471,167</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298,006</w:t>
            </w: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371,939</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Investment securities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571,527</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577,240</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606,889</w:t>
            </w:r>
          </w:p>
        </w:tc>
        <w:tc>
          <w:tcPr>
            <w:tcW w:w="3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591,031</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599,869</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loans held for investment</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3,075,860</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3,055,054</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3,037,375</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3,094,273</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3,011,799</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42,968</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43,237</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42,886</w:t>
            </w:r>
          </w:p>
        </w:tc>
        <w:tc>
          <w:tcPr>
            <w:tcW w:w="3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43,173</w:t>
            </w:r>
          </w:p>
        </w:tc>
        <w:tc>
          <w:tcPr>
            <w:tcW w:w="22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42,174</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4,405,209</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4,232,239</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4,337,659</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4,220,936</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4,218,993</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Interest-bearing deposits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2,826,055</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2,685,366</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2,720,880</w:t>
            </w:r>
          </w:p>
        </w:tc>
        <w:tc>
          <w:tcPr>
            <w:tcW w:w="3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2,672,948</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2,664,397</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966,464</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935,510</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998,480</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951,565</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974,174</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Total deposits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3,792,519</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3,620,876</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3,719,360</w:t>
            </w:r>
          </w:p>
        </w:tc>
        <w:tc>
          <w:tcPr>
            <w:tcW w:w="3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3,624,513</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3,638,571</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Borrowings</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110,400</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110,354</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110,307</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110,261</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110,214</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443,743</w:t>
            </w:r>
          </w:p>
        </w:tc>
        <w:tc>
          <w:tcPr>
            <w:tcW w:w="1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438,949</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443,122</w:t>
            </w:r>
          </w:p>
        </w:tc>
        <w:tc>
          <w:tcPr>
            <w:tcW w:w="30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417,985</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408,712</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Summary Performance Ratios:</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Return on average assets (annualized)</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Return on average equity (annualized)</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w:t>
            </w:r>
          </w:p>
        </w:tc>
      </w:tr>
      <w:tr>
        <w:trPr>
          <w:trHeight w:val="172"/>
        </w:trPr>
        <w:tc>
          <w:tcPr>
            <w:tcW w:w="4060" w:type="dxa"/>
            <w:vAlign w:val="bottom"/>
          </w:tcPr>
          <w:p>
            <w:pPr>
              <w:spacing w:after="0" w:line="173" w:lineRule="exact"/>
              <w:rPr>
                <w:sz w:val="20"/>
                <w:szCs w:val="20"/>
                <w:color w:val="auto"/>
              </w:rPr>
            </w:pPr>
            <w:r>
              <w:rPr>
                <w:rFonts w:ascii="Times New Roman" w:cs="Times New Roman" w:eastAsia="Times New Roman" w:hAnsi="Times New Roman"/>
                <w:sz w:val="12"/>
                <w:szCs w:val="12"/>
                <w:color w:val="auto"/>
              </w:rPr>
              <w:t xml:space="preserve">Net interest margin </w:t>
            </w:r>
            <w:r>
              <w:rPr>
                <w:rFonts w:ascii="Times New Roman" w:cs="Times New Roman" w:eastAsia="Times New Roman" w:hAnsi="Times New Roman"/>
                <w:sz w:val="19"/>
                <w:szCs w:val="19"/>
                <w:color w:val="auto"/>
                <w:vertAlign w:val="superscript"/>
              </w:rPr>
              <w:t>(1)</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2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3.56%</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Yield on loans</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Cost of interest-bearing deposits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2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3.27%</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Efficiency ratio</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66.90%</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57.50%</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68.80%</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66.72%</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67.94%</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Summary Credit Quality Data:</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Nonperforming loans</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6,467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24,693</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23,452</w:t>
            </w: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3,380</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Nonperforming loans to total loans held for investment</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0.79%</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0.81%</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0.76%</w:t>
            </w:r>
          </w:p>
        </w:tc>
        <w:tc>
          <w:tcPr>
            <w:tcW w:w="2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0.11%</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973</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755</w:t>
            </w:r>
          </w:p>
        </w:tc>
        <w:tc>
          <w:tcPr>
            <w:tcW w:w="2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862</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Nonperforming assets to total assets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0.57%</w:t>
            </w:r>
          </w:p>
        </w:tc>
        <w:tc>
          <w:tcPr>
            <w:tcW w:w="2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0.10%</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Allowance for credit losses to total loans held for investment</w:t>
            </w: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r>
      <w:tr>
        <w:trPr>
          <w:trHeight w:val="186"/>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Net charge-offs to average loans outstanding (annualized)</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2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0.13%</w:t>
            </w:r>
          </w:p>
        </w:tc>
      </w:tr>
      <w:tr>
        <w:trPr>
          <w:trHeight w:val="300"/>
        </w:trPr>
        <w:tc>
          <w:tcPr>
            <w:tcW w:w="4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3" w:right="31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940" w:type="dxa"/>
            <w:vAlign w:val="bottom"/>
            <w:gridSpan w:val="2"/>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As of and for the quarter ended</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620" w:type="dxa"/>
            <w:vAlign w:val="bottom"/>
          </w:tcPr>
          <w:p>
            <w:pPr>
              <w:spacing w:after="0"/>
              <w:rPr>
                <w:sz w:val="14"/>
                <w:szCs w:val="14"/>
                <w:color w:val="auto"/>
              </w:rPr>
            </w:pPr>
          </w:p>
        </w:tc>
        <w:tc>
          <w:tcPr>
            <w:tcW w:w="13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0" w:type="dxa"/>
            <w:vAlign w:val="bottom"/>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0"/>
        </w:trPr>
        <w:tc>
          <w:tcPr>
            <w:tcW w:w="4620" w:type="dxa"/>
            <w:vAlign w:val="bottom"/>
          </w:tcPr>
          <w:p>
            <w:pPr>
              <w:spacing w:after="0"/>
              <w:rPr>
                <w:sz w:val="16"/>
                <w:szCs w:val="16"/>
                <w:color w:val="auto"/>
              </w:rPr>
            </w:pPr>
          </w:p>
        </w:tc>
        <w:tc>
          <w:tcPr>
            <w:tcW w:w="13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tcBorders>
              <w:bottom w:val="single" w:sz="8" w:color="auto"/>
            </w:tcBorders>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18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r>
      <w:tr>
        <w:trPr>
          <w:trHeight w:val="171"/>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Capital Ratios:</w:t>
            </w:r>
          </w:p>
        </w:tc>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stockholders’ equity to total assets</w:t>
            </w:r>
          </w:p>
        </w:tc>
        <w:tc>
          <w:tcPr>
            <w:tcW w:w="13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10.07%</w:t>
            </w:r>
          </w:p>
        </w:tc>
        <w:tc>
          <w:tcPr>
            <w:tcW w:w="1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10.37%</w:t>
            </w:r>
          </w:p>
        </w:tc>
        <w:tc>
          <w:tcPr>
            <w:tcW w:w="160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10.22%</w:t>
            </w: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9.90%</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w:t>
            </w:r>
          </w:p>
        </w:tc>
      </w:tr>
      <w:tr>
        <w:trPr>
          <w:trHeight w:val="172"/>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Tangible common equity to tangible assets (non-GAAP)</w:t>
            </w:r>
          </w:p>
        </w:tc>
        <w:tc>
          <w:tcPr>
            <w:tcW w:w="13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9.64%</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9.92%</w:t>
            </w:r>
          </w:p>
        </w:tc>
        <w:tc>
          <w:tcPr>
            <w:tcW w:w="160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9.77%</w:t>
            </w: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9.44%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9.22%</w:t>
            </w:r>
          </w:p>
        </w:tc>
      </w:tr>
      <w:tr>
        <w:trPr>
          <w:trHeight w:val="17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13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13.59%</w:t>
            </w:r>
          </w:p>
        </w:tc>
        <w:tc>
          <w:tcPr>
            <w:tcW w:w="1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13.53%</w:t>
            </w:r>
          </w:p>
        </w:tc>
        <w:tc>
          <w:tcPr>
            <w:tcW w:w="160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13.25%</w:t>
            </w: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12.61%</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w:t>
            </w:r>
          </w:p>
        </w:tc>
      </w:tr>
      <w:tr>
        <w:trPr>
          <w:trHeight w:val="172"/>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Tier 1 capital to average assets</w:t>
            </w:r>
          </w:p>
        </w:tc>
        <w:tc>
          <w:tcPr>
            <w:tcW w:w="13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12.04%</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12.04%</w:t>
            </w:r>
          </w:p>
        </w:tc>
        <w:tc>
          <w:tcPr>
            <w:tcW w:w="160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11.76%</w:t>
            </w: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11.81%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11.51%</w:t>
            </w:r>
          </w:p>
        </w:tc>
      </w:tr>
      <w:tr>
        <w:trPr>
          <w:trHeight w:val="172"/>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13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17.93%</w:t>
            </w:r>
          </w:p>
        </w:tc>
        <w:tc>
          <w:tcPr>
            <w:tcW w:w="1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17.86%</w:t>
            </w:r>
          </w:p>
        </w:tc>
        <w:tc>
          <w:tcPr>
            <w:tcW w:w="1600" w:type="dxa"/>
            <w:vAlign w:val="bottom"/>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17.61%</w:t>
            </w:r>
          </w:p>
        </w:tc>
        <w:tc>
          <w:tcPr>
            <w:tcW w:w="11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16.86%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Net interest margin is calculated as the annual net interest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Average Balances and Yields -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1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200" w:type="dxa"/>
            <w:vAlign w:val="bottom"/>
          </w:tcPr>
          <w:p>
            <w:pPr>
              <w:spacing w:after="0"/>
              <w:rPr>
                <w:sz w:val="16"/>
                <w:szCs w:val="16"/>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3,074,568</w:t>
            </w:r>
          </w:p>
        </w:tc>
        <w:tc>
          <w:tcPr>
            <w:tcW w:w="1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50,577</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6.67%</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3,014,537</w:t>
            </w:r>
          </w:p>
        </w:tc>
        <w:tc>
          <w:tcPr>
            <w:tcW w:w="1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48,940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Debt securities - taxable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510,354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4,692</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3.73%</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554,081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5,511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 securities - nontaxable</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153,229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2.68%</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156,254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Other interest-bearing assets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386,979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3,859</w:t>
            </w:r>
          </w:p>
        </w:tc>
        <w:tc>
          <w:tcPr>
            <w:tcW w:w="20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4.04%</w:t>
            </w:r>
          </w:p>
        </w:tc>
        <w:tc>
          <w:tcPr>
            <w:tcW w:w="2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298,969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3,475</w:t>
            </w:r>
          </w:p>
        </w:tc>
        <w:tc>
          <w:tcPr>
            <w:tcW w:w="22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interest-earning assets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4,125,130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60,142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5.91%</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4,023,841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58,950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Noninterest-earning assets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171,683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184,293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4,296,813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4,208,134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9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04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&amp; stockholders’ equity</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NOW, Savings, MMDA’s</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2,302,344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15,511</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2.73%</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2,285,981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17,997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441,895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4,316</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3.96%</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374,852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3,666</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Short-term borrowings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payable &amp; other long-term borrowings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debt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63,984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835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5.29%</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63,798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835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subordinated deferrable interest debentures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46,393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733</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6.41%</w:t>
            </w: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46,393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861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gridSpan w:val="2"/>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interest-bearing liabilities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2,854,619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21,395</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3.04%</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2,771,027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23,359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Demand deposits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934,775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958,334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66,073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70,860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441,346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407,913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&amp; stockholders’ equity</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4,296,813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4,208,134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spacing w:after="0"/>
              <w:rPr>
                <w:sz w:val="13"/>
                <w:szCs w:val="13"/>
                <w:color w:val="auto"/>
              </w:rPr>
            </w:pPr>
          </w:p>
        </w:tc>
        <w:tc>
          <w:tcPr>
            <w:tcW w:w="1140" w:type="dxa"/>
            <w:vAlign w:val="bottom"/>
            <w:gridSpan w:val="2"/>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gridSpan w:val="2"/>
            <w:shd w:val="clear" w:color="auto" w:fill="CCEEFF"/>
          </w:tcPr>
          <w:p>
            <w:pPr>
              <w:spacing w:after="0"/>
              <w:rPr>
                <w:sz w:val="13"/>
                <w:szCs w:val="13"/>
                <w:color w:val="auto"/>
              </w:rPr>
            </w:pPr>
          </w:p>
        </w:tc>
        <w:tc>
          <w:tcPr>
            <w:tcW w:w="1260" w:type="dxa"/>
            <w:vAlign w:val="bottom"/>
            <w:gridSpan w:val="2"/>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38,747</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35,591</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30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1"/>
                <w:szCs w:val="11"/>
                <w:color w:val="auto"/>
              </w:rPr>
              <w:t xml:space="preserve">Net interest margin </w:t>
            </w:r>
            <w:r>
              <w:rPr>
                <w:rFonts w:ascii="Times New Roman" w:cs="Times New Roman" w:eastAsia="Times New Roman" w:hAnsi="Times New Roman"/>
                <w:sz w:val="17"/>
                <w:szCs w:val="17"/>
                <w:color w:val="auto"/>
                <w:vertAlign w:val="superscript"/>
              </w:rPr>
              <w:t>(2)</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3.81%</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60" w:hanging="254"/>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loan balances include nonaccrual loans and loans held for sale.</w:t>
      </w:r>
    </w:p>
    <w:p>
      <w:pPr>
        <w:spacing w:after="0" w:line="24"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margin is calculated as the annualized net interest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205740</wp:posOffset>
            </wp:positionV>
            <wp:extent cx="7160260" cy="13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02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5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due from banks</w:t>
            </w:r>
          </w:p>
        </w:tc>
        <w:tc>
          <w:tcPr>
            <w:tcW w:w="30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56,006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54,114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Interest-bearing deposits in banks</w:t>
            </w:r>
          </w:p>
        </w:tc>
        <w:tc>
          <w:tcPr>
            <w:tcW w:w="2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480,294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304,968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2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571,527</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577,240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Loans held for sale</w:t>
            </w:r>
          </w:p>
        </w:tc>
        <w:tc>
          <w:tcPr>
            <w:tcW w:w="2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13,931</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20,542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held for investment</w:t>
            </w:r>
          </w:p>
        </w:tc>
        <w:tc>
          <w:tcPr>
            <w:tcW w:w="2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3,075,860</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3,055,054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Less: Allowance for credit losses</w:t>
            </w:r>
          </w:p>
        </w:tc>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(42,968)</w:t>
            </w:r>
          </w:p>
        </w:tc>
        <w:tc>
          <w:tcPr>
            <w:tcW w:w="10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(43,237)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loans held for investment</w:t>
            </w:r>
          </w:p>
        </w:tc>
        <w:tc>
          <w:tcPr>
            <w:tcW w:w="29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3,032,892</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3,011,817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2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50,873</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52,951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2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19,315</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19,315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2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Mortgage servicing rights</w:t>
            </w:r>
          </w:p>
        </w:tc>
        <w:tc>
          <w:tcPr>
            <w:tcW w:w="2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24,906</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26,292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153,896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163,280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29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4,405,209</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4,232,239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7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30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966,464</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935,510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Interest-bearing deposits</w:t>
            </w:r>
          </w:p>
        </w:tc>
        <w:tc>
          <w:tcPr>
            <w:tcW w:w="29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2,826,055</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2,685,366</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Total deposits</w:t>
            </w:r>
          </w:p>
        </w:tc>
        <w:tc>
          <w:tcPr>
            <w:tcW w:w="2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3,792,519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3,620,876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debt</w:t>
            </w:r>
          </w:p>
        </w:tc>
        <w:tc>
          <w:tcPr>
            <w:tcW w:w="2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64,007</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63,961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Junior subordinated deferrable interest debentures</w:t>
            </w:r>
          </w:p>
        </w:tc>
        <w:tc>
          <w:tcPr>
            <w:tcW w:w="2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46,393</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46,393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58,547</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62,060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29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3,961,466</w:t>
            </w: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3,793,290</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2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16,236</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16,456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89,799</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97,287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2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395,652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385,827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(57,944)</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(60,621)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920" w:type="dxa"/>
            <w:vAlign w:val="bottom"/>
            <w:tcBorders>
              <w:top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443,743</w:t>
            </w: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438,949</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9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4,405,209</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4,232,239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3"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55"/>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343"/>
        </w:trPr>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including fees</w:t>
            </w:r>
          </w:p>
        </w:tc>
        <w:tc>
          <w:tcPr>
            <w:tcW w:w="30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50,570</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48,932</w:t>
            </w:r>
          </w:p>
        </w:tc>
      </w:tr>
      <w:tr>
        <w:trPr>
          <w:trHeight w:val="174"/>
        </w:trPr>
        <w:tc>
          <w:tcPr>
            <w:tcW w:w="20" w:type="dxa"/>
            <w:vAlign w:val="bottom"/>
          </w:tcPr>
          <w:p>
            <w:pPr>
              <w:spacing w:after="0"/>
              <w:rPr>
                <w:sz w:val="15"/>
                <w:szCs w:val="15"/>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2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9,795</w:t>
            </w:r>
          </w:p>
        </w:tc>
      </w:tr>
      <w:tr>
        <w:trPr>
          <w:trHeight w:val="172"/>
        </w:trPr>
        <w:tc>
          <w:tcPr>
            <w:tcW w:w="20" w:type="dxa"/>
            <w:vAlign w:val="bottom"/>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interest income</w:t>
            </w:r>
          </w:p>
        </w:tc>
        <w:tc>
          <w:tcPr>
            <w:tcW w:w="28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59,922</w:t>
            </w:r>
          </w:p>
        </w:tc>
        <w:tc>
          <w:tcPr>
            <w:tcW w:w="2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58,727</w:t>
            </w:r>
          </w:p>
        </w:tc>
        <w:tc>
          <w:tcPr>
            <w:tcW w:w="10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w:t>
            </w:r>
          </w:p>
        </w:tc>
        <w:tc>
          <w:tcPr>
            <w:tcW w:w="2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19,827</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21,663</w:t>
            </w:r>
          </w:p>
        </w:tc>
      </w:tr>
      <w:tr>
        <w:trPr>
          <w:trHeight w:val="172"/>
        </w:trPr>
        <w:tc>
          <w:tcPr>
            <w:tcW w:w="2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debt</w:t>
            </w:r>
          </w:p>
        </w:tc>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835</w:t>
            </w:r>
          </w:p>
        </w:tc>
      </w:tr>
      <w:tr>
        <w:trPr>
          <w:trHeight w:val="172"/>
        </w:trPr>
        <w:tc>
          <w:tcPr>
            <w:tcW w:w="20" w:type="dxa"/>
            <w:vAlign w:val="bottom"/>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subordinated deferrable interest debentures</w:t>
            </w:r>
          </w:p>
        </w:tc>
        <w:tc>
          <w:tcPr>
            <w:tcW w:w="2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861</w:t>
            </w:r>
          </w:p>
        </w:tc>
      </w:tr>
      <w:tr>
        <w:trPr>
          <w:trHeight w:val="174"/>
        </w:trPr>
        <w:tc>
          <w:tcPr>
            <w:tcW w:w="20" w:type="dxa"/>
            <w:vAlign w:val="bottom"/>
          </w:tcPr>
          <w:p>
            <w:pPr>
              <w:spacing w:after="0"/>
              <w:rPr>
                <w:sz w:val="15"/>
                <w:szCs w:val="15"/>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2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20" w:type="dxa"/>
            <w:vAlign w:val="bottom"/>
          </w:tcPr>
          <w:p>
            <w:pPr>
              <w:spacing w:after="0"/>
              <w:rPr>
                <w:sz w:val="15"/>
                <w:szCs w:val="15"/>
                <w:color w:val="auto"/>
              </w:rPr>
            </w:pPr>
          </w:p>
        </w:tc>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interest expense</w:t>
            </w:r>
          </w:p>
        </w:tc>
        <w:tc>
          <w:tcPr>
            <w:tcW w:w="28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21,395</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23,359</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38,527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35,368</w:t>
            </w:r>
          </w:p>
        </w:tc>
      </w:tr>
      <w:tr>
        <w:trPr>
          <w:trHeight w:val="174"/>
        </w:trPr>
        <w:tc>
          <w:tcPr>
            <w:tcW w:w="20" w:type="dxa"/>
            <w:vAlign w:val="bottom"/>
          </w:tcPr>
          <w:p>
            <w:pPr>
              <w:spacing w:after="0"/>
              <w:rPr>
                <w:sz w:val="15"/>
                <w:szCs w:val="15"/>
                <w:color w:val="auto"/>
              </w:rPr>
            </w:pPr>
          </w:p>
        </w:tc>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Provision for credit losses</w:t>
            </w:r>
          </w:p>
        </w:tc>
        <w:tc>
          <w:tcPr>
            <w:tcW w:w="28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38,107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34,538</w:t>
            </w:r>
          </w:p>
        </w:tc>
      </w:tr>
      <w:tr>
        <w:trPr>
          <w:trHeight w:val="172"/>
        </w:trPr>
        <w:tc>
          <w:tcPr>
            <w:tcW w:w="20" w:type="dxa"/>
            <w:vAlign w:val="bottom"/>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2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Service charges on deposits</w:t>
            </w:r>
          </w:p>
        </w:tc>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1,813</w:t>
            </w:r>
          </w:p>
        </w:tc>
      </w:tr>
      <w:tr>
        <w:trPr>
          <w:trHeight w:val="172"/>
        </w:trPr>
        <w:tc>
          <w:tcPr>
            <w:tcW w:w="20" w:type="dxa"/>
            <w:vAlign w:val="bottom"/>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from insurance activities</w:t>
            </w:r>
          </w:p>
        </w:tc>
        <w:tc>
          <w:tcPr>
            <w:tcW w:w="2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w:t>
            </w:r>
          </w:p>
        </w:tc>
      </w:tr>
      <w:tr>
        <w:trPr>
          <w:trHeight w:val="172"/>
        </w:trPr>
        <w:tc>
          <w:tcPr>
            <w:tcW w:w="2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Mortgage banking activities</w:t>
            </w:r>
          </w:p>
        </w:tc>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3,945</w:t>
            </w:r>
          </w:p>
        </w:tc>
      </w:tr>
      <w:tr>
        <w:trPr>
          <w:trHeight w:val="172"/>
        </w:trPr>
        <w:tc>
          <w:tcPr>
            <w:tcW w:w="20" w:type="dxa"/>
            <w:vAlign w:val="bottom"/>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Bank card services and interchange fees</w:t>
            </w:r>
          </w:p>
        </w:tc>
        <w:tc>
          <w:tcPr>
            <w:tcW w:w="2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3,379</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3,061</w:t>
            </w:r>
          </w:p>
        </w:tc>
      </w:tr>
      <w:tr>
        <w:trPr>
          <w:trHeight w:val="174"/>
        </w:trPr>
        <w:tc>
          <w:tcPr>
            <w:tcW w:w="20" w:type="dxa"/>
            <w:vAlign w:val="bottom"/>
          </w:tcPr>
          <w:p>
            <w:pPr>
              <w:spacing w:after="0"/>
              <w:rPr>
                <w:sz w:val="15"/>
                <w:szCs w:val="15"/>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2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2,556</w:t>
            </w:r>
          </w:p>
        </w:tc>
      </w:tr>
      <w:tr>
        <w:trPr>
          <w:trHeight w:val="172"/>
        </w:trPr>
        <w:tc>
          <w:tcPr>
            <w:tcW w:w="20" w:type="dxa"/>
            <w:vAlign w:val="bottom"/>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noninterest income</w:t>
            </w:r>
          </w:p>
        </w:tc>
        <w:tc>
          <w:tcPr>
            <w:tcW w:w="28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10,625</w:t>
            </w:r>
          </w:p>
        </w:tc>
        <w:tc>
          <w:tcPr>
            <w:tcW w:w="2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11,409</w:t>
            </w:r>
          </w:p>
        </w:tc>
        <w:tc>
          <w:tcPr>
            <w:tcW w:w="100" w:type="dxa"/>
            <w:vAlign w:val="bottom"/>
            <w:shd w:val="clear" w:color="auto" w:fill="CCEEFF"/>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2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19,441</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18,988</w:t>
            </w:r>
          </w:p>
        </w:tc>
      </w:tr>
      <w:tr>
        <w:trPr>
          <w:trHeight w:val="172"/>
        </w:trPr>
        <w:tc>
          <w:tcPr>
            <w:tcW w:w="2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Net occupancy expense</w:t>
            </w:r>
          </w:p>
        </w:tc>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3,920</w:t>
            </w:r>
          </w:p>
        </w:tc>
      </w:tr>
      <w:tr>
        <w:trPr>
          <w:trHeight w:val="172"/>
        </w:trPr>
        <w:tc>
          <w:tcPr>
            <w:tcW w:w="20" w:type="dxa"/>
            <w:vAlign w:val="bottom"/>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Professional services</w:t>
            </w:r>
          </w:p>
        </w:tc>
        <w:tc>
          <w:tcPr>
            <w:tcW w:w="2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1,483</w:t>
            </w:r>
          </w:p>
        </w:tc>
      </w:tr>
      <w:tr>
        <w:trPr>
          <w:trHeight w:val="172"/>
        </w:trPr>
        <w:tc>
          <w:tcPr>
            <w:tcW w:w="20" w:type="dxa"/>
            <w:vAlign w:val="bottom"/>
          </w:tcPr>
          <w:p>
            <w:pPr>
              <w:spacing w:after="0"/>
              <w:rPr>
                <w:sz w:val="14"/>
                <w:szCs w:val="14"/>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Marketing and development</w:t>
            </w:r>
          </w:p>
        </w:tc>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754</w:t>
            </w:r>
          </w:p>
        </w:tc>
      </w:tr>
      <w:tr>
        <w:trPr>
          <w:trHeight w:val="174"/>
        </w:trPr>
        <w:tc>
          <w:tcPr>
            <w:tcW w:w="20" w:type="dxa"/>
            <w:vAlign w:val="bottom"/>
          </w:tcPr>
          <w:p>
            <w:pPr>
              <w:spacing w:after="0"/>
              <w:rPr>
                <w:sz w:val="15"/>
                <w:szCs w:val="15"/>
                <w:color w:val="auto"/>
              </w:rPr>
            </w:pPr>
          </w:p>
        </w:tc>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8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6,927</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6,785</w:t>
            </w:r>
          </w:p>
        </w:tc>
        <w:tc>
          <w:tcPr>
            <w:tcW w:w="100" w:type="dxa"/>
            <w:vAlign w:val="bottom"/>
            <w:tcBorders>
              <w:bottom w:val="single" w:sz="8" w:color="CCEEFF"/>
            </w:tcBorders>
            <w:shd w:val="clear" w:color="auto" w:fill="CCEEFF"/>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Total noninterest expense</w:t>
            </w:r>
          </w:p>
        </w:tc>
        <w:tc>
          <w:tcPr>
            <w:tcW w:w="2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33,030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31,930</w:t>
            </w:r>
          </w:p>
        </w:tc>
      </w:tr>
      <w:tr>
        <w:trPr>
          <w:trHeight w:val="172"/>
        </w:trPr>
        <w:tc>
          <w:tcPr>
            <w:tcW w:w="20" w:type="dxa"/>
            <w:vAlign w:val="bottom"/>
          </w:tcPr>
          <w:p>
            <w:pPr>
              <w:spacing w:after="0"/>
              <w:rPr>
                <w:sz w:val="14"/>
                <w:szCs w:val="14"/>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28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15,702</w:t>
            </w:r>
          </w:p>
        </w:tc>
        <w:tc>
          <w:tcPr>
            <w:tcW w:w="2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14,017</w:t>
            </w:r>
          </w:p>
        </w:tc>
        <w:tc>
          <w:tcPr>
            <w:tcW w:w="100" w:type="dxa"/>
            <w:vAlign w:val="bottom"/>
            <w:shd w:val="clear" w:color="auto" w:fill="CCEEFF"/>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2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3,408</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3,143</w:t>
            </w:r>
          </w:p>
        </w:tc>
      </w:tr>
      <w:tr>
        <w:trPr>
          <w:trHeight w:val="212"/>
        </w:trPr>
        <w:tc>
          <w:tcPr>
            <w:tcW w:w="20" w:type="dxa"/>
            <w:vAlign w:val="bottom"/>
          </w:tcPr>
          <w:p>
            <w:pPr>
              <w:spacing w:after="0"/>
              <w:rPr>
                <w:sz w:val="18"/>
                <w:szCs w:val="18"/>
                <w:color w:val="auto"/>
              </w:rPr>
            </w:pPr>
          </w:p>
        </w:tc>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8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12,294</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97"/>
        </w:trPr>
        <w:tc>
          <w:tcPr>
            <w:tcW w:w="20" w:type="dxa"/>
            <w:vAlign w:val="bottom"/>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3"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 Composition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020" w:type="dxa"/>
            <w:vAlign w:val="bottom"/>
          </w:tcPr>
          <w:p>
            <w:pPr>
              <w:jc w:val="center"/>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r>
      <w:tr>
        <w:trPr>
          <w:trHeight w:val="343"/>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Real Estate</w:t>
            </w:r>
          </w:p>
        </w:tc>
        <w:tc>
          <w:tcPr>
            <w:tcW w:w="35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1,126,800</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1,119,063</w:t>
            </w:r>
          </w:p>
        </w:tc>
      </w:tr>
      <w:tr>
        <w:trPr>
          <w:trHeight w:val="17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Commercial - Specialized</w:t>
            </w: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366,796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388,955</w:t>
            </w:r>
          </w:p>
        </w:tc>
      </w:tr>
      <w:tr>
        <w:trPr>
          <w:trHeight w:val="172"/>
        </w:trPr>
        <w:tc>
          <w:tcPr>
            <w:tcW w:w="20" w:type="dxa"/>
            <w:vAlign w:val="bottom"/>
          </w:tcPr>
          <w:p>
            <w:pPr>
              <w:spacing w:after="0"/>
              <w:rPr>
                <w:sz w:val="14"/>
                <w:szCs w:val="14"/>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 General</w:t>
            </w:r>
          </w:p>
        </w:tc>
        <w:tc>
          <w:tcPr>
            <w:tcW w:w="3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584,705</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557,371</w:t>
            </w:r>
          </w:p>
        </w:tc>
      </w:tr>
      <w:tr>
        <w:trPr>
          <w:trHeight w:val="17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Consumer:</w:t>
            </w: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1-4 Family Residential</w:t>
            </w:r>
          </w:p>
        </w:tc>
        <w:tc>
          <w:tcPr>
            <w:tcW w:w="3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569,799</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566,400</w:t>
            </w:r>
          </w:p>
        </w:tc>
      </w:tr>
      <w:tr>
        <w:trPr>
          <w:trHeight w:val="172"/>
        </w:trPr>
        <w:tc>
          <w:tcPr>
            <w:tcW w:w="20" w:type="dxa"/>
            <w:vAlign w:val="bottom"/>
          </w:tcPr>
          <w:p>
            <w:pPr>
              <w:spacing w:after="0"/>
              <w:rPr>
                <w:sz w:val="14"/>
                <w:szCs w:val="14"/>
                <w:color w:val="auto"/>
              </w:rPr>
            </w:pPr>
          </w:p>
        </w:tc>
        <w:tc>
          <w:tcPr>
            <w:tcW w:w="5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Auto Loans</w:t>
            </w: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261,629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254,474</w:t>
            </w:r>
          </w:p>
        </w:tc>
      </w:tr>
      <w:tr>
        <w:trPr>
          <w:trHeight w:val="172"/>
        </w:trPr>
        <w:tc>
          <w:tcPr>
            <w:tcW w:w="20" w:type="dxa"/>
            <w:vAlign w:val="bottom"/>
          </w:tcPr>
          <w:p>
            <w:pPr>
              <w:spacing w:after="0"/>
              <w:rPr>
                <w:sz w:val="14"/>
                <w:szCs w:val="14"/>
                <w:color w:val="auto"/>
              </w:rPr>
            </w:pPr>
          </w:p>
        </w:tc>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Consumer</w:t>
            </w:r>
          </w:p>
        </w:tc>
        <w:tc>
          <w:tcPr>
            <w:tcW w:w="3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64,090</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64,936</w:t>
            </w: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Construction</w:t>
            </w:r>
          </w:p>
        </w:tc>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102,041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103,855</w:t>
            </w:r>
          </w:p>
        </w:tc>
      </w:tr>
      <w:tr>
        <w:trPr>
          <w:trHeight w:val="212"/>
        </w:trPr>
        <w:tc>
          <w:tcPr>
            <w:tcW w:w="20" w:type="dxa"/>
            <w:vAlign w:val="bottom"/>
          </w:tcPr>
          <w:p>
            <w:pPr>
              <w:spacing w:after="0"/>
              <w:rPr>
                <w:sz w:val="18"/>
                <w:szCs w:val="18"/>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loans held for investment</w:t>
            </w:r>
          </w:p>
        </w:tc>
        <w:tc>
          <w:tcPr>
            <w:tcW w:w="3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3,075,860</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3,055,054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311"/>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tc>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2"/>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Deposit Composition</w:t>
            </w: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2"/>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8"/>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4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020" w:type="dxa"/>
            <w:vAlign w:val="bottom"/>
          </w:tcPr>
          <w:p>
            <w:pPr>
              <w:jc w:val="center"/>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r>
      <w:tr>
        <w:trPr>
          <w:trHeight w:val="343"/>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Deposits:</w:t>
            </w:r>
          </w:p>
        </w:tc>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35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966,464</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935,510</w:t>
            </w:r>
          </w:p>
        </w:tc>
      </w:tr>
      <w:tr>
        <w:trPr>
          <w:trHeight w:val="172"/>
        </w:trPr>
        <w:tc>
          <w:tcPr>
            <w:tcW w:w="20" w:type="dxa"/>
            <w:vAlign w:val="bottom"/>
          </w:tcPr>
          <w:p>
            <w:pPr>
              <w:spacing w:after="0"/>
              <w:rPr>
                <w:sz w:val="14"/>
                <w:szCs w:val="14"/>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NOW &amp; other transaction accounts</w:t>
            </w: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1,302,642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498,718</w:t>
            </w:r>
          </w:p>
        </w:tc>
      </w:tr>
      <w:tr>
        <w:trPr>
          <w:trHeight w:val="172"/>
        </w:trPr>
        <w:tc>
          <w:tcPr>
            <w:tcW w:w="20" w:type="dxa"/>
            <w:vAlign w:val="bottom"/>
          </w:tcPr>
          <w:p>
            <w:pPr>
              <w:spacing w:after="0"/>
              <w:rPr>
                <w:sz w:val="14"/>
                <w:szCs w:val="14"/>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MMDA &amp; other savings</w:t>
            </w:r>
          </w:p>
        </w:tc>
        <w:tc>
          <w:tcPr>
            <w:tcW w:w="3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1,082,596</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1,741,988</w:t>
            </w:r>
          </w:p>
        </w:tc>
      </w:tr>
      <w:tr>
        <w:trPr>
          <w:trHeight w:val="174"/>
        </w:trPr>
        <w:tc>
          <w:tcPr>
            <w:tcW w:w="20" w:type="dxa"/>
            <w:vAlign w:val="bottom"/>
          </w:tcPr>
          <w:p>
            <w:pPr>
              <w:spacing w:after="0"/>
              <w:rPr>
                <w:sz w:val="15"/>
                <w:szCs w:val="15"/>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3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440,817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444,660</w:t>
            </w:r>
          </w:p>
        </w:tc>
      </w:tr>
      <w:tr>
        <w:trPr>
          <w:trHeight w:val="212"/>
        </w:trPr>
        <w:tc>
          <w:tcPr>
            <w:tcW w:w="20" w:type="dxa"/>
            <w:vAlign w:val="bottom"/>
          </w:tcPr>
          <w:p>
            <w:pPr>
              <w:spacing w:after="0"/>
              <w:rPr>
                <w:sz w:val="18"/>
                <w:szCs w:val="18"/>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deposits</w:t>
            </w:r>
          </w:p>
        </w:tc>
        <w:tc>
          <w:tcPr>
            <w:tcW w:w="3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3,792,519</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3,620,876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97"/>
        </w:trPr>
        <w:tc>
          <w:tcPr>
            <w:tcW w:w="20" w:type="dxa"/>
            <w:vAlign w:val="bottom"/>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3"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Reconciliation of Non-GAAP Financial Measures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quarter ended</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06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16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960" w:type="dxa"/>
            <w:vAlign w:val="bottom"/>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Pre-tax, pre-provision income</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12,294</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16,497</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11,212</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11,134</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10,874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3,094</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3,116</w:t>
            </w:r>
          </w:p>
        </w:tc>
        <w:tc>
          <w:tcPr>
            <w:tcW w:w="1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3,143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495</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1,775</w:t>
            </w: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830</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46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Pre-tax, pre-provision income</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16,122</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21,919</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14,801</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16,025</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12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Tangible common equity</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common stockholders’ equity</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443,743</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438,949</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443,122</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417,985</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408,712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Less: goodwill and other intangibles</w:t>
            </w: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(20,884)</w:t>
            </w:r>
          </w:p>
        </w:tc>
        <w:tc>
          <w:tcPr>
            <w:tcW w:w="12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(21,035)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(21,197)</w:t>
            </w:r>
          </w:p>
        </w:tc>
        <w:tc>
          <w:tcPr>
            <w:tcW w:w="1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(21,379)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(21,562)</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5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gridSpan w:val="2"/>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Tangible common equity</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422,859</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417,914</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421,925</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396,606</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387,150</w:t>
            </w:r>
          </w:p>
        </w:tc>
        <w:tc>
          <w:tcPr>
            <w:tcW w:w="0" w:type="dxa"/>
            <w:vAlign w:val="bottom"/>
          </w:tcPr>
          <w:p>
            <w:pPr>
              <w:spacing w:after="0"/>
              <w:rPr>
                <w:sz w:val="1"/>
                <w:szCs w:val="1"/>
                <w:color w:val="auto"/>
              </w:rPr>
            </w:pPr>
          </w:p>
        </w:tc>
      </w:tr>
      <w:tr>
        <w:trPr>
          <w:trHeight w:val="20"/>
        </w:trPr>
        <w:tc>
          <w:tcPr>
            <w:tcW w:w="35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5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Tangible assets</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4,405,209</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4,232,239</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4,337,659</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4,220,936</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4,218,993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Less: goodwill and other intangibles</w:t>
            </w: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(20,884)</w:t>
            </w:r>
          </w:p>
        </w:tc>
        <w:tc>
          <w:tcPr>
            <w:tcW w:w="12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(21,035)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(21,197)</w:t>
            </w:r>
          </w:p>
        </w:tc>
        <w:tc>
          <w:tcPr>
            <w:tcW w:w="1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(21,379)</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(21,562)</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5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Tangible assets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4,384,325</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4,211,204</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4,316,462</w:t>
            </w:r>
          </w:p>
        </w:tc>
        <w:tc>
          <w:tcPr>
            <w:tcW w:w="240" w:type="dxa"/>
            <w:vAlign w:val="bottom"/>
          </w:tcPr>
          <w:p>
            <w:pPr>
              <w:spacing w:after="0"/>
              <w:rPr>
                <w:sz w:val="14"/>
                <w:szCs w:val="14"/>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4,199,557</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4,197,431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5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Shares outstanding</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16,235,647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16,455,826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16,386,627</w:t>
            </w:r>
          </w:p>
        </w:tc>
        <w:tc>
          <w:tcPr>
            <w:tcW w:w="18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16,424,021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16,431,755</w:t>
            </w:r>
          </w:p>
        </w:tc>
        <w:tc>
          <w:tcPr>
            <w:tcW w:w="0" w:type="dxa"/>
            <w:vAlign w:val="bottom"/>
          </w:tcPr>
          <w:p>
            <w:pPr>
              <w:spacing w:after="0"/>
              <w:rPr>
                <w:sz w:val="1"/>
                <w:szCs w:val="1"/>
                <w:color w:val="auto"/>
              </w:rPr>
            </w:pPr>
          </w:p>
        </w:tc>
      </w:tr>
      <w:tr>
        <w:trPr>
          <w:trHeight w:val="20"/>
        </w:trPr>
        <w:tc>
          <w:tcPr>
            <w:tcW w:w="35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5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gridSpan w:val="3"/>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stockholders’ equity to total assets</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10.07%</w:t>
            </w:r>
          </w:p>
        </w:tc>
        <w:tc>
          <w:tcPr>
            <w:tcW w:w="12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10.37%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10.22%</w:t>
            </w:r>
          </w:p>
        </w:tc>
        <w:tc>
          <w:tcPr>
            <w:tcW w:w="18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9.90%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Tangible common equity to tangible assets</w:t>
            </w: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9.64%</w:t>
            </w: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9.92%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9.77%</w:t>
            </w: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9.44%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Book value per share</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27.33</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26.67</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27.04</w:t>
            </w:r>
          </w:p>
        </w:tc>
        <w:tc>
          <w:tcPr>
            <w:tcW w:w="240" w:type="dxa"/>
            <w:vAlign w:val="bottom"/>
          </w:tcPr>
          <w:p>
            <w:pPr>
              <w:spacing w:after="0"/>
              <w:rPr>
                <w:sz w:val="14"/>
                <w:szCs w:val="14"/>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25.45</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Tangible book value per share</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26.05</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25.40</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24.15</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3" w:right="319" w:bottom="1440" w:gutter="0" w:footer="0" w:header="0"/>
        </w:sectPr>
      </w:pPr>
    </w:p>
    <w:bookmarkStart w:id="14" w:name="page15"/>
    <w:bookmarkEnd w:id="14"/>
    <w:p>
      <w:pPr>
        <w:ind w:left="94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127000</wp:posOffset>
            </wp:positionV>
            <wp:extent cx="7209790" cy="5793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0" w:num="1">
            <w:col w:w="10140"/>
          </w:cols>
          <w:pgMar w:left="1440" w:top="241" w:right="319" w:bottom="1440"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140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9790" cy="5814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971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9790" cy="59715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866"/>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2025-04-24T15:42:29Z</dcterms:created>
  <dcterms:modified xsi:type="dcterms:W3CDTF">2025-04-24T15:42:29Z</dcterms:modified>
</cp:coreProperties>
</file>