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30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4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4148455</wp:posOffset>
            </wp:positionH>
            <wp:positionV relativeFrom="paragraph">
              <wp:posOffset>-19050</wp:posOffset>
            </wp:positionV>
            <wp:extent cx="342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of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14s-6(e)(2))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5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9"/>
          <w:szCs w:val="29"/>
          <w:b w:val="1"/>
          <w:bCs w:val="1"/>
          <w:color w:val="auto"/>
        </w:rPr>
        <w:t>South Plains Financial, Inc.</w:t>
      </w:r>
    </w:p>
    <w:p>
      <w:pPr>
        <w:spacing w:after="0" w:line="14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120015</wp:posOffset>
            </wp:positionV>
            <wp:extent cx="343725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3"/>
          <w:szCs w:val="23"/>
          <w:color w:val="auto"/>
        </w:rPr>
        <w:t xml:space="preserve">  </w:t>
      </w:r>
    </w:p>
    <w:p>
      <w:pPr>
        <w:spacing w:after="0" w:line="12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6, 2026</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of South Plains Financial, Inc. (the “Company”), I invite you to attend the 2026 annual meeting of shareholders (the “annual meeting”) to be held solely by means of remote communication on Monday, May 11, 2026, at 2:00 p.m., Central Time.</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purposes of the annual meeting are set forth in the accompanying Notice of 2026 Annual Meeting of Shareholders and Proxy Statement.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Texas law and the Third Amended and Restated Bylaws of the Company, the Company’s board of directors has decided that the annual meeting will be held solely by means of remote communication.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will not be able to attend the annual meeting in-person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Shareholders may attend and participate in the annual meeting by means of remote communication by logging onto the virtual meeting platform at www.virtualshareholdermeeting.com/SPFI2026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it is important that your shares be represented. Please take a moment to complete, date, sign and return the enclosed proxy card as soon as possible, or use Internet or telephone voting according to the instructions on the proxy card. You may also attend the annual meeting and vote by means of remote communication by logging onto the virtual meeting platform, as discussed above.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appreciate your continued support of our Company and look forward to seeing you at the annual meeting.</w:t>
      </w:r>
    </w:p>
    <w:p>
      <w:pPr>
        <w:spacing w:after="0" w:line="200" w:lineRule="exact"/>
        <w:rPr>
          <w:sz w:val="20"/>
          <w:szCs w:val="20"/>
          <w:color w:val="auto"/>
        </w:rPr>
      </w:pPr>
    </w:p>
    <w:p>
      <w:pPr>
        <w:spacing w:after="0" w:line="30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Sincerely,</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102870</wp:posOffset>
            </wp:positionV>
            <wp:extent cx="343725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(800) 687-2265</w:t>
      </w:r>
    </w:p>
    <w:p>
      <w:pPr>
        <w:spacing w:after="0" w:line="1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6, 2026</w:t>
      </w:r>
    </w:p>
    <w:p>
      <w:pPr>
        <w:spacing w:after="0" w:line="370" w:lineRule="exact"/>
        <w:rPr>
          <w:sz w:val="20"/>
          <w:szCs w:val="20"/>
          <w:color w:val="auto"/>
        </w:rPr>
      </w:pPr>
    </w:p>
    <w:p>
      <w:pPr>
        <w:ind w:left="660" w:right="2019" w:firstLine="1363"/>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NOTICE OF 2026 ANNUAL MEETING OF SHAREHOLDERS </w:t>
      </w:r>
      <w:r>
        <w:rPr>
          <w:rFonts w:ascii="Times New Roman" w:cs="Times New Roman" w:eastAsia="Times New Roman" w:hAnsi="Times New Roman"/>
          <w:sz w:val="18"/>
          <w:szCs w:val="18"/>
          <w:color w:val="auto"/>
        </w:rPr>
        <w:t>To the shareholders of South Plains Financial, Inc.:</w:t>
      </w:r>
    </w:p>
    <w:p>
      <w:pPr>
        <w:spacing w:after="0" w:line="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2026 Annual Meeting of Shareholders (the “annual meeting”) of South Plains Financial, Inc. (the “Company”) will be held solely by means of remote communication on Monday, May 11, 2026, at 2:00 p.m., Central Time, for the following purposes: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 directors to serve on the Company’s board of directors until the Company’s 2029 annual meeting of shareholders or each until their respective successor or successors are duly elected and qualified or until their earlier resignation or removal from office;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Forvis Mazars, LLP as the independent registered public accounting firm of the Company for the year ending December 31, 2026;</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compensation for named executive officers - advisory (non-binding) vote;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Texas law and the Third Amended and Restated Bylaws of the Company, the Company’s board of directors has decided that the annual meeting will be held solely by means of remote communication.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will not be able to attend the annual meeting in-person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Shareholders may attend and participate in the annual meeting by means of remote communication by logging onto the virtual meeting platform at www.virtualshareholdermeeting.com/SPFI2026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19, 2026,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w:t>
      </w:r>
    </w:p>
    <w:p>
      <w:pPr>
        <w:spacing w:after="0" w:line="2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4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of Shareholders To Be Held on May 11, 2026: electronic copies of the Notice of 2026 Annual Meeting of Shareholders, the proxy statement, our 2025 Annual Report to Shareholders and our Annual Report on Form 10-K for the year ended December 31, 2025 are available at www.proxyvote.com and on the SEC Filings page of the Company’s Investor Relations website at https://www.spfi.bank/financials-filings/sec-filings.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proxy card is included with this proxy statement. Whether or not you plan to attend the annual meeting by means of remote communication,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76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8"/>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gridSpan w:val="11"/>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77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FOR 2026 ANNUAL MEETING OF SHAREHOLDERS</w:t>
            </w: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5880" w:type="dxa"/>
            <w:vAlign w:val="bottom"/>
            <w:tcBorders>
              <w:top w:val="single" w:sz="8" w:color="0000EE"/>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ABOUT THE ANNUAL MEETING</w:t>
            </w:r>
          </w:p>
        </w:tc>
        <w:tc>
          <w:tcPr>
            <w:tcW w:w="1880" w:type="dxa"/>
            <w:vAlign w:val="bottom"/>
            <w:tcBorders>
              <w:top w:val="single" w:sz="8" w:color="CCEEFF"/>
            </w:tcBorders>
            <w:gridSpan w:val="5"/>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34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4420" w:type="dxa"/>
            <w:vAlign w:val="bottom"/>
            <w:tcBorders>
              <w:bottom w:val="single" w:sz="8" w:color="CCEEFF"/>
            </w:tcBorders>
            <w:gridSpan w:val="10"/>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7740" w:type="dxa"/>
            <w:vAlign w:val="bottom"/>
            <w:tcBorders>
              <w:bottom w:val="single" w:sz="8" w:color="0000EE"/>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RATIFICATION OF THE APPOINTMENT OF INDEPENDENT REGISTERED PUBLIC</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660" w:type="dxa"/>
            <w:vAlign w:val="bottom"/>
            <w:gridSpan w:val="3"/>
          </w:tcPr>
          <w:p>
            <w:pPr>
              <w:ind w:left="460"/>
              <w:spacing w:after="0" w:line="196"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420" w:type="dxa"/>
            <w:vAlign w:val="bottom"/>
            <w:tcBorders>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PROPOSAL 3. APPROVAL OF THE COMPANY’S COMPENSATION FOR NAMED EXECUTIVE</w:t>
            </w:r>
          </w:p>
        </w:tc>
        <w:tc>
          <w:tcPr>
            <w:tcW w:w="340" w:type="dxa"/>
            <w:vAlign w:val="bottom"/>
            <w:tcBorders>
              <w:bottom w:val="single" w:sz="8" w:color="CCEEFF"/>
            </w:tcBorders>
            <w:gridSpan w:val="3"/>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1300" w:type="dxa"/>
            <w:vAlign w:val="bottom"/>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OFFICERS – ADVISORY (NON-BINDING) VOTE</w:t>
            </w:r>
          </w:p>
        </w:tc>
        <w:tc>
          <w:tcPr>
            <w:tcW w:w="3740" w:type="dxa"/>
            <w:vAlign w:val="bottom"/>
            <w:tcBorders>
              <w:bottom w:val="single" w:sz="8" w:color="CCEEFF"/>
            </w:tcBorders>
            <w:gridSpan w:val="8"/>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0000EE"/>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20"/>
                <w:szCs w:val="20"/>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w:t>
            </w:r>
          </w:p>
        </w:tc>
        <w:tc>
          <w:tcPr>
            <w:tcW w:w="66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7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CURRENT EXECUTIVE OFFICERS</w:t>
            </w:r>
          </w:p>
        </w:tc>
        <w:tc>
          <w:tcPr>
            <w:tcW w:w="4980" w:type="dxa"/>
            <w:vAlign w:val="bottom"/>
            <w:gridSpan w:val="11"/>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20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660" w:type="dxa"/>
            <w:vAlign w:val="bottom"/>
            <w:gridSpan w:val="3"/>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60" w:type="dxa"/>
            <w:vAlign w:val="bottom"/>
            <w:tcBorders>
              <w:right w:val="single" w:sz="8" w:color="CCEEFF"/>
            </w:tcBorders>
            <w:gridSpan w:val="3"/>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42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480" w:type="dxa"/>
            <w:vAlign w:val="bottom"/>
            <w:tcBorders>
              <w:bottom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EE"/>
                <w:w w:val="99"/>
              </w:rPr>
              <w:t>BENEFICIAL OWNERSHIP OF THE COMPANY’S COMMON STOCK BY MANAGEMENT AND</w:t>
            </w:r>
          </w:p>
        </w:tc>
        <w:tc>
          <w:tcPr>
            <w:tcW w:w="28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SHAREHOLDERS OF THE COMPANY</w:t>
            </w:r>
          </w:p>
        </w:tc>
        <w:tc>
          <w:tcPr>
            <w:tcW w:w="660" w:type="dxa"/>
            <w:vAlign w:val="bottom"/>
            <w:gridSpan w:val="3"/>
          </w:tcPr>
          <w:p>
            <w:pPr>
              <w:ind w:left="460"/>
              <w:spacing w:after="0" w:line="196" w:lineRule="exact"/>
              <w:rPr>
                <w:sz w:val="20"/>
                <w:szCs w:val="20"/>
                <w:color w:val="auto"/>
              </w:rPr>
            </w:pPr>
            <w:r>
              <w:rPr>
                <w:rFonts w:ascii="Times New Roman" w:cs="Times New Roman" w:eastAsia="Times New Roman" w:hAnsi="Times New Roman"/>
                <w:sz w:val="18"/>
                <w:szCs w:val="18"/>
                <w:color w:val="0000EE"/>
                <w:w w:val="88"/>
              </w:rPr>
              <w:t>44</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AUDIT COMMITTEE REPORT</w:t>
            </w:r>
          </w:p>
        </w:tc>
        <w:tc>
          <w:tcPr>
            <w:tcW w:w="660" w:type="dxa"/>
            <w:vAlign w:val="bottom"/>
            <w:tcBorders>
              <w:right w:val="single" w:sz="8" w:color="CCEEFF"/>
            </w:tcBorders>
            <w:gridSpan w:val="3"/>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46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INDEPENDENT AUDITORS</w:t>
            </w:r>
          </w:p>
        </w:tc>
        <w:tc>
          <w:tcPr>
            <w:tcW w:w="5380" w:type="dxa"/>
            <w:vAlign w:val="bottom"/>
            <w:gridSpan w:val="1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47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7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DATE FOR SUBMISSION OF SHAREHOLDER PROPOSALS FOR 2027 ANNUAL MEETING</w:t>
            </w:r>
          </w:p>
        </w:tc>
        <w:tc>
          <w:tcPr>
            <w:tcW w:w="660" w:type="dxa"/>
            <w:vAlign w:val="bottom"/>
            <w:tcBorders>
              <w:right w:val="single" w:sz="8" w:color="CCEEFF"/>
            </w:tcBorders>
            <w:gridSpan w:val="3"/>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EE"/>
                <w:w w:val="88"/>
              </w:rPr>
              <w:t>48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4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1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62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49</w:t>
            </w:r>
          </w:p>
        </w:tc>
        <w:tc>
          <w:tcPr>
            <w:tcW w:w="1300" w:type="dxa"/>
            <w:vAlign w:val="bottom"/>
          </w:tcPr>
          <w:p>
            <w:pPr>
              <w:spacing w:after="0"/>
              <w:rPr>
                <w:sz w:val="16"/>
                <w:szCs w:val="16"/>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28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120015</wp:posOffset>
            </wp:positionV>
            <wp:extent cx="343725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3"/>
          <w:szCs w:val="23"/>
          <w:color w:val="auto"/>
        </w:rPr>
        <w:t> </w:t>
      </w:r>
    </w:p>
    <w:p>
      <w:pPr>
        <w:spacing w:after="0" w:line="3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(800) 687-2265</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11, 2026</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of the Company (the “board of directors” or the “board”) for use at the 2026 annual meeting of shareholders of the Company to be held solely by means of remote communication on Monday, May 11, 2026 at 2:00 p.m., Central Time, and any adjournment(s) or postponement(s) thereof (the “annual meeting”) for the purposes set forth in this proxy statement and the accompanying notice of the annual meeting. This proxy statement, the notice of the annual meeting, the 2025 annual report to shareholders, the annual report on Form 10-K for the year ended December 31, 2025, and the enclosed proxy card (collectively, the “proxy materials”) are first being sent to shareholders on or about April 6, 2026. You should read the entire proxy statement carefully before voting.</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Internet Availability of Proxy Materials for the 2026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promulgated by the U.S. Securities and Exchange Commission (the “SEC”), the Company is providing access to its proxy materials both by sending you a full set of proxy materials and making copies of these materials available on the Internet on the SEC Filings page of the Company’s Investor Relations website, available at https://www.spfi.bank/financials-filings/sec-filings. Additionally, you may access the Company’s proxy materials at www.proxyvote.com. Shareholders are encouraged to access and review the proxy materials before voting. The website www.proxyvote.com will also have directions to attend the annual meeting and vote by means of remote communication.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ATTENDANCE AND PARTICIPATION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MEANS OF REMOTE COMMUNICATION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holding the annual meeting solely by means of remote communication, in accordance with Texas law and the Third Amended and Restated Bylaws of the Company (the “bylaws”). Instructions for attending and participating in the annual meeting by means of remote communication are provided below.</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Shareholders may only attend and participate in the annual meeting by means of remote communication.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Shareholders will not be able to attend the annual meeting physically</w:t>
      </w:r>
      <w:r>
        <w:rPr>
          <w:rFonts w:ascii="Times New Roman" w:cs="Times New Roman" w:eastAsia="Times New Roman" w:hAnsi="Times New Roman"/>
          <w:sz w:val="18"/>
          <w:szCs w:val="18"/>
          <w:b w:val="1"/>
          <w:bCs w:val="1"/>
          <w:i w:val="1"/>
          <w:iCs w:val="1"/>
          <w:color w:val="auto"/>
        </w:rPr>
        <w:t>.</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Shareholders of record as of the close of business on March 19, 2026, the record date for the annual meeting, may attend and participate in the annual meeting by means of remote communication by logging onto the virtual meeting platform at www.virtualshareholdermeeting.com/SPFI2026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attend and participate in the annual meeting by means of remote communication should connect to the virtual meeting platform at least 15 minutes prior to the start of the annual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Shareholders will have the opportunity to vote their shares during the annual meeting if attending and participating by means of remote communication. </w:t>
      </w:r>
      <w:r>
        <w:rPr>
          <w:rFonts w:ascii="Times New Roman" w:cs="Times New Roman" w:eastAsia="Times New Roman" w:hAnsi="Times New Roman"/>
          <w:sz w:val="18"/>
          <w:szCs w:val="18"/>
          <w:i w:val="1"/>
          <w:iCs w:val="1"/>
          <w:u w:val="single" w:color="auto"/>
          <w:color w:val="auto"/>
        </w:rPr>
        <w:t>Whether or not you plan to attend the annual meeting,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Company encourages eligible shareholders to vote on the proposals prior to the annual meeting using the instructions provided in this proxy statement</w:t>
      </w:r>
      <w:r>
        <w:rPr>
          <w:rFonts w:ascii="Times New Roman" w:cs="Times New Roman" w:eastAsia="Times New Roman" w:hAnsi="Times New Roman"/>
          <w:sz w:val="18"/>
          <w:szCs w:val="18"/>
          <w:color w:val="auto"/>
        </w:rPr>
        <w:t>. The proxy card included with this proxy statement should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used to vote shares in connection with the annual meeting.</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will be permitted to submit written questions at the annual meeting just as if you were attending a physical meeting. You may submit written questions during the annual meeting by logging onto the virtual meeting platform at www.virtualshareholdermeeting.com/SPFI2026 with your sixteen-digit control number provided on your proxy card and typing your question in the “Ask a Question” box. You must log into the virtual meeting platform with your sixteen-digit control number in order to attend and participate and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rules of conduct and other materials for the annual meeting will be made available on the virtual meeting platform at www.virtualshareholdermeeting.com/SPFI2026 during the annual meeting. Please read the remainder of this proxy statement for additional information about the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List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list of our shareholders entitled to vote at the annual meeting will be available for inspection by our shareholders at the principal office of the Company during ordinary business hours for a period of ten (10) days prior to the annual meeting.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Technical support for accessing the annual meeting through the virtual meeting platform will be available at www.virtualshareholdermeeting.com/SPFI2026 beginning at 1:45 p.m., Central Time, on Monday, May 11, 2026 through the conclusion of the annual meeting. If you encounter any difficulties accessing the virtual meeting during the check-in or meeting time, please call the technical support number that will be posted on the Virtual Shareholder Meeting log in page.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is scheduled to take place at 2:00 p.m., Central Time, on May 11, 2026. We are holding the annual meeting solely by means of remote communication, in accordance with Texas law and the Company’s bylaws. You will not be able to attend the annual meeting in-person.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attend and participate in the virtual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attend and participate in the annual meeting, go to www.virtualshareholdermeeting.com/SPFI2026 on the day of the annual meeting and enter your unique sixteen-digit control number which is printed on the proxy card you received with your copy of this proxy statement or, if you are the beneficial owner of shares held in “street name,” on the voting instruction form you received from your bank, broker or other nominee that is the record holder of your shares. The sixteen-digit control number appears on the portion of your proxy card or voting instruction form that you retain.</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will begin at 2:00 p.m., Central Time, on May 11, 2026. However, you may begin to log in to the virtual meeting platform at 1:45 p.m., Central Time, and we encourage you to do so. The virtual meeting platform will be supported across most Internet browsers and devices (including desktop and laptop computers, tablets and smart phones) running updated versions of applicable software and plugins.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can I do if I no longer have my control number to access the virtual meeting platform?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a record holder of shares and wish to attend and participate in the annual meeting but you no longer have your sixteen-digit control number provided on your proxy card, you may obtain your control number by accessing shareholder@broadridge.com or by calling Broadridge Corporate Issuer Solutions at 1-877-830-4936 for assistance. If you are a beneficial holder of shares held in street name and no longer have the control number printed on your voting instruction form, you should call your broker or other nominee.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help available if I have trouble logging in to the virtual meeting platform?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Yes. Technical support for accessing the annual meeting through the virtual meeting platform will be available at www.virtualshareholdermeeting.com/SPFI2026 beginning at 1:45 p.m., Central Time, on Monday, May 11, 2026 through the conclusion of the annual meeting. If you encounter any difficulties accessing the virtual meeting during the check-in or meeting time, please call the technical support number that will be posted on the Virtual Shareholder Meeting log in page.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be able to ask questions during the virtual annual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Yes. You may submit a written question during the annual meeting by logging onto the virtual meeting platform at www.virtualshareholdermeeting.com/SPFI2026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 the 2026 annual meeting of shareholders, shareholders will act upon the matters outlined in the notice, including the following:</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 directors to serve on the Company’s board of directors until the Company’s 2029 annual meeting of shareholders or until their respective successor or successors are duly elected and qualified or until their earlier death, resignation or removal from office;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Forvis Mazars, LLP as the independent registered public accounting firm of the Company for the year ending December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(non-binding) vote to approve the Company’s compensation for named executive officers (the “Say on Pay Proposal”);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are the nominees for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two (2) persons have been nominated for election as Class I directors of the Company to serve until the Company’s 2029 annual meeting of shareholders or until their respective successor or successors are duly elected and qualified or until their earlier death, resignation or removal from office:</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D. Campbell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LaDana R. Washburn</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holders of record of the Company’s outstanding common stock as of the close of business on March 19, 2026,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had 16,342,095 shares of outstanding common stock on the record date.</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list of our shareholders entitled to vote at the annual meeting will be available for inspection by our shareholders at the principal office of the Company during ordinary business hours for a period of ten (10) days prior to the annual meeting.</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vote your shares of common stock either by means of remote communication or by proxy. The process for voting your shares depends on how your shares are held as described below. If you are a record holder on the record date for the annual meeting, you may vote by proxy or you may attend the annual meeting and vote by means of remote communication. If you are a record holder and want to vote your shares by proxy, you may vote using any of the following methods:</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on the proxy card applicable to your common stock how you want to vote and sign, date and mail your proxy card in the enclosed pre-addressed postage-paid envelope as soon as possible to ensure that it will be received in advance of the annual meeting;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website www.proxyvote.com and follow the instructions for Internet voting on that website;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telephone by following the instructions in the proxy card.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must receive your vote no later than the time the polls close for voting at the annual meeting for your vote to be counted at the annual meeting. Please note that Internet and telephone voting will close at 11:59 p.m., Eastern Time, on May 10, 2026.</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Voting your shares by proxy will enable your shares of common stock to be represented and voted at the annual meeting if you do not attend the annual meeting and vote your shares by means of remote communication.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your shares of common stock are held in “street name,” your ability to vote over the Internet depends on your broker’s voting process. You should follow the instructions on your broker’s or intermediary’s voting instruction card.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vote the shares that you hold in “street name” by means of remote communication at the annual meeting, you must provide to the Company in advance of the annual meeting a legal proxy from your broker, bank or other nominee, (1) confirming that you were the beneficial owner of those shares as of the close of business on the record date, (2) stating the number of shares of which you were the beneficial owner that were held for your benefit at that time 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that broker, bank or other nominee, and (3) appointing you as the record holder’s proxy to vote the shares covered by that proxy at the annual meeting. If you fail to provide the Company a nominee-issued proxy prior to the annual meeting, you will not be able to vote your nominee-held shares by means of remote communication at the annual meeting.</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“street name” holder?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Broadridge Corporate Issuer Solutions, the Company’s stock transfer agent, you are considered the “shareholder of record” with respect to those shares.</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quorum will be present at a meeting of shareholders if the holders of shares having a majority of the voting power represented by all of the issued and outstanding shares entitled to vote at the meeting are present by means of remote communication or represented by proxy at the annual meeting. Each record holder of shares of common stock is entitled to one vote for each share of common stock registered, on the record date, in such holder’s name on the books of the Company on all matters to be acted upon at the annual meeting. The Company’s Amended and Restated Certificate of Formation, or certificate of formation, prohibits cumulative voting. Attendance and participation by shareholders via remote communication constitutes presence for the determination of a quorum for the annual meeting. Broker non-votes and abstentions will be counted for purposes of determining the presence or absence of a quorum.</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Forvis Mazars, LLP as our independent registered public accounting firm (Proposal 2). In the absence of specific instructions from you, your broker does not have discretionary authority to vote your shares with respect to: (1) the election of directors to the board (Proposal 1) and the Say on Pay Proposal (Proposal 3).</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I should vote my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your shares as follows:</w:t>
      </w:r>
    </w:p>
    <w:p>
      <w:pPr>
        <w:spacing w:after="0" w:line="113" w:lineRule="exact"/>
        <w:rPr>
          <w:sz w:val="20"/>
          <w:szCs w:val="20"/>
          <w:color w:val="auto"/>
        </w:rPr>
      </w:pPr>
    </w:p>
    <w:p>
      <w:pPr>
        <w:jc w:val="both"/>
        <w:ind w:left="1740" w:right="299" w:hanging="10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the two (2) nominees for Class I directors to serve on the Company’s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until the Company’s 2029 annual meeting of shareholders or until their respective successor or successors are duly elected and qualified or until their earlier death, resignation or removal from office;</w:t>
      </w:r>
    </w:p>
    <w:p>
      <w:pPr>
        <w:spacing w:after="0" w:line="68" w:lineRule="exact"/>
        <w:rPr>
          <w:sz w:val="20"/>
          <w:szCs w:val="20"/>
          <w:color w:val="auto"/>
        </w:rPr>
      </w:pPr>
    </w:p>
    <w:p>
      <w:pPr>
        <w:jc w:val="both"/>
        <w:ind w:left="1740" w:right="319" w:hanging="1079"/>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Forvis Mazars, LLP as the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of the Company for the year ending December 31, 2026; and</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Say on Pay Proposal.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How will my shares be voted if I return a signed and dated proxy card, but don’t specify how my shares will be voted?</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are a record holder of common stock as of the record date and return a completed proxy card that does not specify how you want to vote your shares on one or more proposals, the proxies will vote your shares for each proposal as to which you provide no voting instructions, and such shares will be voted in the following manner:</w:t>
      </w:r>
    </w:p>
    <w:p>
      <w:pPr>
        <w:spacing w:after="0" w:line="64" w:lineRule="exact"/>
        <w:rPr>
          <w:sz w:val="20"/>
          <w:szCs w:val="20"/>
          <w:color w:val="auto"/>
        </w:rPr>
      </w:pPr>
    </w:p>
    <w:p>
      <w:pPr>
        <w:jc w:val="both"/>
        <w:ind w:left="1740" w:right="299" w:hanging="10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the two (2) nominees for Class I directors to serve on the Company’s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until the Company’s 2029 annual meeting of shareholders or until their respective successor or successors are duly elected and qualified or until their earlier death, resignation or removal from office;</w:t>
      </w:r>
    </w:p>
    <w:p>
      <w:pPr>
        <w:spacing w:after="0" w:line="68" w:lineRule="exact"/>
        <w:rPr>
          <w:sz w:val="20"/>
          <w:szCs w:val="20"/>
          <w:color w:val="auto"/>
        </w:rPr>
      </w:pPr>
    </w:p>
    <w:p>
      <w:pPr>
        <w:jc w:val="both"/>
        <w:ind w:left="1740" w:right="319" w:hanging="1079"/>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Forvis Mazars, LLP as the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of the Company for the year ending December 31, 2026; and</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Say on Pay Proposal.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“street name” holder and do not provide voting instructions on one or more proposals, your bank, broker or other nominee will be unable to vote those shares, except that such nominee will have discretion to vote on the ratification of the appointment of Forvis Mazars, LLP as the independent registered public accounting firm of the Company for the year ending December 31, 2026 (Proposal 2).</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my choices when voting?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respect to the election of the two (2) nominees for Class I directors (Proposal 1), you may vote for, against or abstain from any one or all of the director nominees. With respect to the proposal to ratify the appointment of Forvis Mazars, LLP (Proposal 2), you may vote for the proposal, against the proposal or abstain from voting on the proposal. With respect to the Say on Pay Proposal (Proposal 3), you may vote for the proposal, against the proposal or abstain from voting on the proposal.</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change my vote after I have submitted my proxy card?</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Yes, if you are a record holder of common stock as of the record date, you may revoke your proxy or change your voting instructions at any time before your shares are voted at the annual meeting by:</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prior to the annual meeting a written notice of revocation addressed to: South</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Financial, Inc., 5219 City Bank Parkway, Lubbock, Texas 79407, Attn: Corporate Secretary;</w:t>
      </w:r>
    </w:p>
    <w:p>
      <w:pPr>
        <w:spacing w:after="0" w:line="98"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returning a new proxy card with a later date than your original proxy card, prior to such time that the proxy card for any such holder of common stock must be received, and any earlier proxy will be revoked automatically;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onto the Internet website specified on your proxy card in the same manner you would to submit your proxy electronically and following the instructions indicated on the proxy card;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by means of remote communication, and any earlier proxy will be revoked. However, attending the annual meeting without voting by means of remote communication will not revoke your proxy.</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percentage of the vote is required to approve each proposal?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Assuming the presence of a quorum, the election of the two (2) nominees for Class I directors to serve on the Company’s board of directors until the Company’s 2029 annual meeting of shareholders or until their respective successor or successors are duly elected and qualified or until their earlier death, resignation or removal from office (Proposal 1) will require the affirmative vote of the holders of a majority of the shares entitled to vote in the election of directors and represented by means of remote communication or by proxy at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Assuming the presence of a quorum, the ratification of the appointment of Forvis Mazars, LLP as the independent registered public accounting firm of the Company for the year ending December 31, 2026 (Proposal 2) will require the affirmative vote of the majority of the shares entitled to vote and represented by means of remote communication or by proxy at the annual meeting.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Assuming the presence of a quorum, the approval of the Say on Pay Proposal (Proposal 3) will require the affirmative vote of the holders of a majority of the shares entitled to vote in the election of directors and represented by means of remote communication or by proxy at the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Broker non-votes, as long as there is one routine matter to be voted on at the meeting, such as the ratification of appointment of Forvis Mazars, LLP as the Company’s independent registered public accounting firm for the year ending December 31, 2026 (Proposal 2), and abstentions are counted for purposes of determining the presence or absence of a quorum. A broker non-vote with respect to one or more nominees for director will not have the effect of a vote against such nominee or nominees (Proposal 1), while abstentions with respect to one or more nominees for director will have the same effect as a vote against such nominee or nominees. Because the ratification of the appointment of the independent registered public accounting firm is considered a routine matter and a broker or other nominee may generally vote on routine matters, no broker non-votes are expected to occur in connection with the proposal to ratify the appointment of Forvis Mazars, LLP as the Company’s independent registered public accounting firm for the year ending December 31, 2026 (Proposal 2). Abstentions with respect to ratification of the appointment of Forvis Mazars, LLP as the Company’s independent registered public accounting firm for the year ending December 31, 2026 (Proposal 2) will have the effect of a vote against the proposal to ratify. Abstentions with respect to the Say on Pay Proposal (Proposal 3) will have the same effect as a vote against the proposal. The approval of the Say on Pay Proposal (Proposal 3) is considered a non-routine matter and, as such, broker non-votes will not be deemed votes cast on this matter, will not count as votes for or against this proposal and will not be included in calculating the number of votes necessary for approval of this proposal.</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solicitation expenses and who pays the cost of this proxy solicitation?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Are there any other matters to be acted upon at the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Management does not intend to present any business at the annual meeting for a vote other than the matters set forth in the notice of the annual meeting,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proxy card to vote the shares represented by the proxies held by them in accordance with applicable law and their judgment on such matters.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voting results?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will publish the voting results in a current report on Form 8-K, which will be filed with the SEC within four (4) business days following the date of the annual meeting, or any adjournment(s) or postponement(s) thereof.</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communicate with the board?</w:t>
      </w:r>
    </w:p>
    <w:p>
      <w:pPr>
        <w:spacing w:after="0" w:line="121"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Term of Office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currently consists of seven (7) directors. Pursuant to our certificate of formation, our board is divided into three (3) classes, which results in a “staggered” board. Directors stand for election for a term expiring at the third annual meeting of shareholders following the annual meeting of shareholders at which such director was elected, or until each person’s successor is duly elected and qualified, or until such director’s earlier death, resignation or removal from office. The term of the current Class I directors of the Company will expire at this year’s annual meeting.</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elected, the below-listed Class I nominees will serve for a term commencing on the date of the annual meeting and continuing until the 2029 annual meeting of shareholders of the Company or until each person’s successor is duly elected and qualified, or until such director’s earlier death, resignation or removal from office. Each of the nominees listed below is currently serving as a Class I director of the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as of December 31, 2025, and positions with the Company for each nominee for election as a Class I director of the Company:</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28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6"/>
                <w:szCs w:val="16"/>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2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5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68</w:t>
            </w:r>
          </w:p>
        </w:tc>
        <w:tc>
          <w:tcPr>
            <w:tcW w:w="260" w:type="dxa"/>
            <w:vAlign w:val="bottom"/>
            <w:shd w:val="clear" w:color="auto" w:fill="CCEEFF"/>
          </w:tcPr>
          <w:p>
            <w:pPr>
              <w:spacing w:after="0"/>
              <w:rPr>
                <w:sz w:val="21"/>
                <w:szCs w:val="21"/>
                <w:color w:val="auto"/>
              </w:rPr>
            </w:pP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1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2011</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5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57</w:t>
            </w:r>
          </w:p>
        </w:tc>
        <w:tc>
          <w:tcPr>
            <w:tcW w:w="2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1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13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Richard “Danny” Campbell</w:t>
      </w:r>
      <w:r>
        <w:rPr>
          <w:rFonts w:ascii="Times New Roman" w:cs="Times New Roman" w:eastAsia="Times New Roman" w:hAnsi="Times New Roman"/>
          <w:sz w:val="18"/>
          <w:szCs w:val="18"/>
          <w:color w:val="auto"/>
        </w:rPr>
        <w:t>. Mr. Campbell serves as the Lead Independent Director on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and has served on the board of directors of each of the Company and the Bank since 2011. He currently serves as Chief Executive Officer and Co-Manager of Henry TAW LP, Henry Resources LLC,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of directors. Henry TAW’s investment in 2011 provided for the appointment of one board member. Mr. Campbell was chosen as the appointed board member. All of the shares of the Company owned by Henry TAW LP are subject to a voting agreement and irrevocable proxy pursuant to which Mr. Campbell exercises voting authority.</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LaDana R. Washburn</w:t>
      </w:r>
      <w:r>
        <w:rPr>
          <w:rFonts w:ascii="Times New Roman" w:cs="Times New Roman" w:eastAsia="Times New Roman" w:hAnsi="Times New Roman"/>
          <w:sz w:val="18"/>
          <w:szCs w:val="18"/>
          <w:color w:val="auto"/>
        </w:rPr>
        <w:t>. Ms. Washburn joined the board of directors of the Company in 2023. She enjoyed a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career with EY, serving as lead audit partner for public and private companies of varying sizes, primarily within the financial services industry, including both commercial and community banks. Ms. Washburn assisted numerous clients in mergers and acquisitions and capital raising initiatives, along with providing advice to support private companies in transitioning to a public company. Ms. Washburn spent four years within EY’s Professional Practice Quality and Regulatory Matters national assurance practice. During that time, she provided oversight of inspections of public and private clients of varying sizes within banking and capital markets and other industries. She was also selected to coach and provide ongoing training to audit professionals in EY’s Latin America Chile banking practice, focusing on risk and audit. Ms. Washburn earned both a Bachelor of Business degree in finance and a Master of Professional Accounting degree from the University of Texas at Arlington in 1991 and 1993, respectively. She is a Certified Public Accountant and a member of the AICPA. Ms. Washburn serves on the board of New Horizons of North Texas.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Procedures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Assuming the presence of a quorum at the annual meeting, the election of directors will require the affirmative vote of the holders of a majority of the shares entitled to vote in the election of directors and represented by means of remote communication or by proxy. This means that the two (2) Class I director nominees who receive a majority of affirmative votes for their election at this year’s annual meeting will be elected.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Shares represented by proxy will be voted in accordance with instructions. In the absence of instructions to the contrary, completed proxy cards that do not specify how shares should be voted with respect to the election of directors will be voted FOR the election of each Class I nominee listed above.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nominee becomes unavailable to serve as a director for any reason before the election, the shares represented by proxy will be voted for such other person, if any, as may be designated by the Company’s board of directors. Alternatively, in lieu of designating a substitute, the Company’s board of directors may reduce the number of directors of the Company. The board has no reason to believe that any of the Class I nominees listed above will be unavailable to serve as a director. All of the Class I nominees listed above have consented to being named herein and to serve if elected.</w:t>
      </w:r>
    </w:p>
    <w:p>
      <w:pPr>
        <w:spacing w:after="0" w:line="116" w:lineRule="exact"/>
        <w:rPr>
          <w:sz w:val="20"/>
          <w:szCs w:val="20"/>
          <w:color w:val="auto"/>
        </w:rPr>
      </w:pPr>
    </w:p>
    <w:p>
      <w:pPr>
        <w:ind w:left="1060" w:right="1059" w:firstLine="3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BOARD RECOMMENDS A VOTE “FOR” THE ELECTION OF EACH OF THE TWO (2) CLASS I NOMINEES LISTED ABOVE FOR ELECTION TO THE BOARD.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the recommendation of the audit committee of the board of directors (the “Audit Committee”), the board has appointed Forvis Mazars, LLP as the independent registered public accounting firm of the Company for the year ending December 31, 2026. The board is seeking shareholder ratification of the appointment of Forvis Mazars, LLP for the 2026 fiscal year. Shareholder ratification of the selection of Forvis Mazars, LLP as our independent registered public accounting firm for the 2026 fiscal year is not required by our governing documents, state law or otherwise. However, the board is submitting the selection of Forvis Mazars, LLP to our shareholders for ratification as a matter of good corporate governance. If the shareholders fail to ratify the selection, the Audit Committee may consider this information when determining whether to retain Forvis Mazars, LLP for future services. Even if the appointment is ratified, the Audit Committee in its discretion may direct the appointment of a different independent registered public accounting firm at any time if it is determined that such a change would be in the best interests of the Company.</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annual meeting, shareholders will be asked to consider and act upon a proposal to ratify the appointment of Forvis Mazars, LLP as the independent registered public accounting firm of the Company for the year ending December 31, 2026. Assuming a quorum is present, the ratification of such appointment will require the affirmative vote of the majority of the shares entitled to vote and represented by means of remote communication or by proxy. Shares represented by proxy will be voted in accordance with instructions. In the absence of instructions to the contrary, completed proxy cards that do not specify how shares should be voted with respect to the ratification of the appointment of Forvis Mazars, LLP will be voted FOR the ratification.</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Forvis Mazars, LLP are expected to be in attendance at the annual meeting, will be afforded the opportunity to make a statement, and will be available to respond to appropriate questions.</w:t>
      </w:r>
    </w:p>
    <w:p>
      <w:pPr>
        <w:spacing w:after="0" w:line="90"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PROPOSAL TO RATIFY THE APPOINTMENT OF FORVIS MAZARS, LLP AS THE COMPANY’S INDEPENDENT REGISTERED PUBLIC ACCOUNTING FIRM FOR THE YEAR ENDING DECEMBER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OF THE COMPANY’S COMPENSATION FOR NAMED EXECUTIVE OFFICERS – ADVISORY (NON-BINDING) VOTE</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(the “Exchange Act”), we are providing our shareholders with the opportunity to vote to approve, on a non-binding, advisory basis, the compensation of our named executive officers at the annual meeting.</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described in greater detail in our Compensation Discussion and Analysis below, we believe that our executive officer compensation program is structured in a manner that most effectively supports the Company and our business objectives. Our executive officer compensation program is designed to reward long-term and strategic performance, and is substantially tied to our key business objectives and the success of our shareholders. We monitor the various short-term and long-term aspects of our executive officer compensation program, including base salary, annual cash bonus and equity incentives, in comparison to similar programs and practices at comparable companies, so that we may ensure that our executive officer compensation program is within the competitive range of market practices.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board invites our shareholders to review carefully the Compensation Discussion and Analysis and the tabular and other disclosures on compensation below, and cast a vote to approve the Company’s compensation programs for named executive officers through the following resolution:</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“RESOLVED, that the shareholders approve the compensation paid to the Company’s named executive officers, as disclosed in this proxy statement pursuant to the compensation disclosure rules of the SEC, including the Compensation Discussion and Analysis, the compensation tables and related narrative discussion.”</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vote will not be binding on or overrule any decisions by the board, and will not create or imply any additional fiduciary duty on the part of the board. However, the compensation committee of the board of directors (the “Compensation Committee”) will take into account the outcome of the vote when considering future named executive officer compensation arrangements.</w:t>
      </w:r>
    </w:p>
    <w:p>
      <w:pPr>
        <w:spacing w:after="0" w:line="108" w:lineRule="exact"/>
        <w:rPr>
          <w:sz w:val="20"/>
          <w:szCs w:val="20"/>
          <w:color w:val="auto"/>
        </w:rPr>
      </w:pPr>
    </w:p>
    <w:p>
      <w:pPr>
        <w:jc w:val="right"/>
        <w:ind w:left="64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BOARD RECOMMENDS A VOTE “FOR” THE PROPOSAL TO APPROVE THE COMPANY’S COMPENSATION FOR NAMED EXECUTIVE OFFICERS – ADVISORY (NON-BINDING) VOTE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met nineteen (19) times during the 2025 fiscal year (including regularly scheduled and special meetings). During the 2025 fiscal year,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While the Company does not have a formal policy requiring the directors’ attendance, the board encourages all directors to attend the annual meeting of shareholders. All of our directors attended the 2025 annual meeting of shareholders.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proxy statement, the size of our board is currently set at seven (7) members and the board is divided into three (3) classes. In accordance with the Company’s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bylaws, a director appointed to fill a vacancy will be appointed to serve until such director’s successor shall have been duly elected and qualified.</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Effective April 1, 2026, in connection with and effective upon the completion of the merger of BOH Holdings, Inc. (“BOH”) with and into the Company, in accordance with the Agreement and Plan of Reorganization by and between BOH and the Company dated December 1, 2025, the board appointed James D. Stein as a Class II director to serve for a term expiring at the 2027 annual meeting of shareholders of the Company.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board has seven (7) members, divided into three (3) classes, Class I, Class II and Class III as follows:</w:t>
      </w:r>
    </w:p>
    <w:p>
      <w:pPr>
        <w:spacing w:after="0" w:line="54" w:lineRule="exact"/>
        <w:rPr>
          <w:sz w:val="20"/>
          <w:szCs w:val="20"/>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Richard D. Campbell and LaDana R. Washburn, and their term will expire at the annual meeting of shareholders to be held in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Cory T. Newsom, James D. Stein and Noe G. Valles, and their term will expire at the annual meeting of shareholders to be held in 2027;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Curtis C. Griffith and Kyle R. Wargo, and their term will expire at the annual meeting of shareholders to be held in 2028.</w:t>
      </w:r>
    </w:p>
    <w:p>
      <w:pPr>
        <w:spacing w:after="0" w:line="5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As discussed in greater detail below, the board has affirmatively determined that each of Richard D. Campbell, Noe G. Valles, Kyle R. Wargo, and LaDana R. Washburn is an independent director, as defined under the applicable rules. The board determined that each of Curtis C. Griffith, Cory T. Newsom, and James D. Stein do not qualify as an independent director because Mr. Griffith and Mr. Newsom are executive officers of the Company and Mr. Stein is an officer of the Bank.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the directors. The board is divided into three (3) classes, the terms of which expire at our annual shareholders’ meetings in 2026, 2027, and 2028. Ages are as of December 31, 2025.</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0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12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 with the Bank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Director</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Until / Class</w:t>
            </w: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III</w:t>
            </w:r>
          </w:p>
        </w:tc>
        <w:tc>
          <w:tcPr>
            <w:tcW w:w="0" w:type="dxa"/>
            <w:vAlign w:val="bottom"/>
          </w:tcPr>
          <w:p>
            <w:pPr>
              <w:spacing w:after="0"/>
              <w:rPr>
                <w:sz w:val="1"/>
                <w:szCs w:val="1"/>
                <w:color w:val="auto"/>
              </w:rPr>
            </w:pPr>
          </w:p>
        </w:tc>
      </w:tr>
      <w:tr>
        <w:trPr>
          <w:trHeight w:val="248"/>
        </w:trPr>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w:t>
            </w: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Chief</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2027</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4"/>
              </w:rPr>
              <w:t>2011</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w:t>
            </w:r>
          </w:p>
        </w:tc>
        <w:tc>
          <w:tcPr>
            <w:tcW w:w="0" w:type="dxa"/>
            <w:vAlign w:val="bottom"/>
          </w:tcPr>
          <w:p>
            <w:pPr>
              <w:spacing w:after="0"/>
              <w:rPr>
                <w:sz w:val="1"/>
                <w:szCs w:val="1"/>
                <w:color w:val="auto"/>
              </w:rPr>
            </w:pPr>
          </w:p>
        </w:tc>
      </w:tr>
      <w:tr>
        <w:trPr>
          <w:trHeight w:val="211"/>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James D. Stein</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Director; Houston Market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2027</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President - BOH</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2027</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2028</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III</w:t>
            </w: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w:t>
            </w:r>
          </w:p>
        </w:tc>
        <w:tc>
          <w:tcPr>
            <w:tcW w:w="0" w:type="dxa"/>
            <w:vAlign w:val="bottom"/>
          </w:tcPr>
          <w:p>
            <w:pPr>
              <w:spacing w:after="0"/>
              <w:rPr>
                <w:sz w:val="1"/>
                <w:szCs w:val="1"/>
                <w:color w:val="auto"/>
              </w:rPr>
            </w:pPr>
          </w:p>
        </w:tc>
      </w:tr>
      <w:tr>
        <w:trPr>
          <w:trHeight w:val="54"/>
        </w:trPr>
        <w:tc>
          <w:tcPr>
            <w:tcW w:w="1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brief discussion of the business and banking background and experience of our directors.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Directors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Curtis C. Griffith – Chairman and Chief Executive Officer</w:t>
      </w:r>
      <w:r>
        <w:rPr>
          <w:rFonts w:ascii="Times New Roman" w:cs="Times New Roman" w:eastAsia="Times New Roman" w:hAnsi="Times New Roman"/>
          <w:sz w:val="18"/>
          <w:szCs w:val="18"/>
          <w:color w:val="auto"/>
        </w:rPr>
        <w:t>. Mr. Griffith has been with the Company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boards of several civic and charitable organizations, including Lubbock Economic Development Alliance, University Medical Center, Texas Tech University Foundation, Lubbock Symphony Orchestra, and the Texas Tech Cotton Economics Advisory Committee. He currently serves as a director for the Agriculture Heritage Museum, the Texas Tech Research Park, Inc., and the Lubbock Cultural Arts Foundation.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Cory T. Newsom – Director and President</w:t>
      </w:r>
      <w:r>
        <w:rPr>
          <w:rFonts w:ascii="Times New Roman" w:cs="Times New Roman" w:eastAsia="Times New Roman" w:hAnsi="Times New Roman"/>
          <w:sz w:val="18"/>
          <w:szCs w:val="18"/>
          <w:color w:val="auto"/>
        </w:rPr>
        <w:t>. Mr. Newsom was named President of the Company in 2019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James D. Stein – Director and Houston Market President - BOH</w:t>
      </w:r>
      <w:r>
        <w:rPr>
          <w:rFonts w:ascii="Times New Roman" w:cs="Times New Roman" w:eastAsia="Times New Roman" w:hAnsi="Times New Roman"/>
          <w:sz w:val="18"/>
          <w:szCs w:val="18"/>
          <w:color w:val="auto"/>
        </w:rPr>
        <w:t>. Mr. Stein joined the boards of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Bank in April 2026 following the Company’s acquisition of BOH. Mr. Stein began his banking career in 1981. He formed BOH in 2017 and then acquired The Dublin National Bank. The bank headquarters were relocated to Houston while renaming the bank to Bank of Houston. Mr. Stein has previously served on the boards of other banks and bank holding companies. Additionally, Mr. Stein has served four terms on the Board of the Texas Bankers Association and many community, church and civic boards including the Houston Symphony and Chapelwood United Methodist Church. Mr. Stein attended the University of Texas in Austin, Texas.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Richard “Danny” Campbell</w:t>
      </w:r>
      <w:r>
        <w:rPr>
          <w:rFonts w:ascii="Times New Roman" w:cs="Times New Roman" w:eastAsia="Times New Roman" w:hAnsi="Times New Roman"/>
          <w:sz w:val="18"/>
          <w:szCs w:val="18"/>
          <w:color w:val="auto"/>
        </w:rPr>
        <w:t>. Mr. Campbell serves as the Lead Independent Director on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and has served on the board of directors of each of the Company and the Bank since 2011. He currently serves as Chief Executive Officer and Co-Manager of Henry TAW LP, Henry Resources LLC,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of directors. Henry TAW’s investment in 2011 provided for the appointment of one board member. Mr. Campbell was chosen as the appointed board member. All of the shares of the Company owned by Henry TAW LP are subject to a voting agreement and irrevocable proxy pursuant to which Mr. Campbell exercises voting authority.</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Noe G. Valles</w:t>
      </w:r>
      <w:r>
        <w:rPr>
          <w:rFonts w:ascii="Times New Roman" w:cs="Times New Roman" w:eastAsia="Times New Roman" w:hAnsi="Times New Roman"/>
          <w:sz w:val="18"/>
          <w:szCs w:val="18"/>
          <w:color w:val="auto"/>
        </w:rPr>
        <w:t>. Mr. Valles joined the board of directors of the Company in 2019 and has served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30 years. He is licensed to practice law in Texas and New Mexico state courts as well as the U.S. District Court for the Northern and Eastern Districts of Texas. Mr. Valles served on the Board of Managers of University Medical Center in Lubbock for 11 years.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Kyle R. Wargo</w:t>
      </w:r>
      <w:r>
        <w:rPr>
          <w:rFonts w:ascii="Times New Roman" w:cs="Times New Roman" w:eastAsia="Times New Roman" w:hAnsi="Times New Roman"/>
          <w:sz w:val="18"/>
          <w:szCs w:val="18"/>
          <w:color w:val="auto"/>
        </w:rPr>
        <w:t>. Dr. Wargo has served on the board of directors of the Company since 2016 and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2013. He also served as an advisory director to the Bank from 2002 until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of the Science Spectrum Museum in Lubbock, while serving as treasurer from 2008 until 2024. He also served as a member of the board of directors of Workforce Solutions South Plains. He earned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 of directors.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LaDana R. Washburn</w:t>
      </w:r>
      <w:r>
        <w:rPr>
          <w:rFonts w:ascii="Times New Roman" w:cs="Times New Roman" w:eastAsia="Times New Roman" w:hAnsi="Times New Roman"/>
          <w:sz w:val="18"/>
          <w:szCs w:val="18"/>
          <w:color w:val="auto"/>
        </w:rPr>
        <w:t>. Ms. Washburn joined the board of directors of the Company in 2023. She enjoyed a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career with EY, serving as lead audit partner for public and private companies of varying sizes, primarily within the financial services industry, including both commercial and community banks. Ms. Washburn assisted numerous clients in mergers and acquisitions and capital raising initiatives, along with providing advice to support private companies in transitioning to a public company. Ms. Washburn spent four years within EY’s Professional Practice Quality and Regulatory Matters national assurance practice. During that time, she provided oversight of inspections of public and private clients of varying sizes within banking and capital markets and other industries. She was also selected to coach and provide ongoing training to audit professionals in EY’s Latin America Chile banking practice, focusing on risk and audit. Ms. Washburn earned both a Bachelor of Business degree in finance and a Master of Professional Accounting degree from the University of Texas at Arlington in 1991 and 1993, respectively. She is a Certified Public Accountant and a member of the AICPA. Ms. Washburn serves on the board of New Horizons of North Texas.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has evaluated the independence of each director based upon the rules of the Nasdaq Stock Market and the SEC and has considered the relationships that each director has with the Company, including the transactions described under the section titled “Certain Relationships and Related Person Transactions” in this proxy statement. Applying these standards, our board has affirmatively determined that each of Richard D. Campbell, Noe G. Valles, Kyle R. Wargo, and LaDana R. Washburn is an independent director, as defined under the applicable rules. The board determined that each of Curtis C. Griffith, Cory T. Newsom, and James D. Stein does not qualify as an independent director because Mr. Griffith and Mr. Newsom are executive officers of the Company and Mr. Stein is an officer of the Bank.</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Chairman</w:t>
      </w:r>
      <w:r>
        <w:rPr>
          <w:rFonts w:ascii="Times New Roman" w:cs="Times New Roman" w:eastAsia="Times New Roman" w:hAnsi="Times New Roman"/>
          <w:sz w:val="18"/>
          <w:szCs w:val="18"/>
          <w:color w:val="auto"/>
        </w:rPr>
        <w:t>. Curtis C. Griffith currently serves as our Chairman and Chief Executive Officer. Mr. Griffith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with the Company since its inception and has worked with the Bank and its predecessor institutions for over 50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of the board of directors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w:t>
      </w:r>
    </w:p>
    <w:p>
      <w:pPr>
        <w:spacing w:after="0" w:line="8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Lead Independent Director</w:t>
      </w:r>
      <w:r>
        <w:rPr>
          <w:rFonts w:ascii="Times New Roman" w:cs="Times New Roman" w:eastAsia="Times New Roman" w:hAnsi="Times New Roman"/>
          <w:sz w:val="18"/>
          <w:szCs w:val="18"/>
          <w:color w:val="auto"/>
        </w:rPr>
        <w:t>. At any time that the Chairman is not independent, the independent directors elect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and Oversight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2027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for Director Nominees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certificate of formation and our bylaws.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nine (9) times during the year 2025.</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responsibilities of the Audit Committee include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regulatory and financial accounting, financial statements, financial reporting processes and systems of internal accounting and financial controls;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disagreements regarding financial reporting between management and the independent auditor;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evaluating the performance of the internal audit function and review;</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effectiveness of the system for monitoring compliance with laws and regulations and the results of any investigation by management;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and overseeing any special investigations;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earnings releases and reports filed with the SEC;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report;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recommendations provided by senior management or third-party consultants retained by the committee related to the Company’s financial, operational, credit, strategic, market, investment, liquidity, reputational and compliance risks;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aggregate risk concentrations and other escalations, and approving significant corrective actions recommended by senior management;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Committee by our board from time to time.</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members of the Audit Committee are Kyle R. Wargo (Committee Chairman), Richard D. Campbell, Noe G. Valles, and LaDana R. Washburn.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 board has determined that each of Richard D. Campbell and LaDana R. Washburn qualifies as an “audit committee financial expert,” as defined by the SEC.</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four (4) times during the year 2025.</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has the following responsibilities:</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determining, and recommending to the board for its confirmation, the annual compensation, annual incentive opportunities and any other matter relating to the compensation of the Company’s executive officers;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the risks related to the Company’s compensation programs and practices;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comparing, in its discretion, compensation practices of any relevant peer group in order to assist in the committee’s evaluation of the appropriateness of the Company’s compensation practices and programs;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executive officers for each fiscal year;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Compensation Committee Report on executive compensation if required for inclusion in the Company’s annual meeting proxy statement in compliance with the rules and regulations promulgated by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or responsibilities the board may expressly delegate to the committee from time to time on matters relating to the Company’s compensation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members of the Compensation Committee are Richard D. Campbell (Committee Chairman), Noe G. Valles, Kyle R. Wargo, and LaDana R. Washburn. Our board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met one (1) time during the year of 2025.</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has the following responsibilities:</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on the size and composition of our board;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criteria to be considered in identifying and selecting nominees for director;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possible candidates for election to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for election or re-election to our board of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committee structure, composition and assignments;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changes to the Company’s corporate governance documents;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committee’s performance and the adequacy of the Charter of the Nominating and Corporate Governance Committee on an annual basis.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Richard D. Campbell (Committee Chairman), Noe G. Valles, Kyle R. Wargo, and LaDana R. Washburn.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shareholder recommendations for nominees, provided that such shareholder complies with the procedures described in the section titled “—Date For Submission Of Shareholder Proposals For 2027 Annual Meeting.”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Amendments to the Code of Business Conduct and Ethics, or any waivers of their respective requirements, have been, and we expect that any future amendments will be disclosed on our website, as well as any other means required by Nasdaq Global Select Market rules or the SEC.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Community Impact Practices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is committed to being a responsible corporate citizen in each of the unique communities in which we operate, and we strive to provide unrivaled customer service while fulfilling and exceeding our customers’ financial needs in each community we serve. Oversight of the Company’s community impact initiatives starts with the Company’s board of directors. The Nominating and Corporate Governance Committee is responsible for oversight of risks associated with the Company’s overall corporate governance practices, including community impact practices. The Company issued a community impact report in the first quarter of 2026 that detailed its community impact initiatives, highlighted contributions to the communities that we serve, our responsible business practices and the Company’s four primary pillars under its sustainability framework: social responsibility, people, environmental management, and governance and risk management. The sustainability report may be found on our website with additional information on community outreach at www.spfi.bank, under “Community Impact.”</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“Community Impact Practices” section of this proxy statement and in our sustainability report shall not be considered “filed” with the SEC, and such information contained in this “Community Impact Practices” section of this proxy statement and in our sustainability report shall not be incorporated by reference into this filing or any future filing under the Securities Act of 1933, as amended, or the Securities Exchange Act of 1934, as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EXECUTIVE OFFICERS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with the Company of each of our executive officers.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business address for all of these individuals is 5219 City Bank Parkway, Lubbock, Texas 79407.</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Officers</w:t>
            </w:r>
          </w:p>
        </w:tc>
        <w:tc>
          <w:tcPr>
            <w:tcW w:w="220" w:type="dxa"/>
            <w:vAlign w:val="bottom"/>
          </w:tcPr>
          <w:p>
            <w:pPr>
              <w:spacing w:after="0"/>
              <w:rPr>
                <w:sz w:val="16"/>
                <w:szCs w:val="16"/>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220" w:type="dxa"/>
            <w:vAlign w:val="bottom"/>
          </w:tcPr>
          <w:p>
            <w:pPr>
              <w:spacing w:after="0"/>
              <w:rPr>
                <w:sz w:val="16"/>
                <w:szCs w:val="16"/>
                <w:color w:val="auto"/>
              </w:rPr>
            </w:pPr>
          </w:p>
        </w:tc>
        <w:tc>
          <w:tcPr>
            <w:tcW w:w="2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Position with the Bank</w:t>
            </w:r>
          </w:p>
        </w:tc>
        <w:tc>
          <w:tcPr>
            <w:tcW w:w="2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2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8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73</w:t>
            </w:r>
          </w:p>
        </w:tc>
      </w:tr>
      <w:tr>
        <w:trPr>
          <w:trHeight w:val="248"/>
        </w:trPr>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President</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Chief</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r>
      <w:tr>
        <w:trPr>
          <w:trHeight w:val="241"/>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54</w:t>
            </w:r>
          </w:p>
        </w:tc>
      </w:tr>
      <w:tr>
        <w:trPr>
          <w:trHeight w:val="248"/>
        </w:trPr>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Treasurer</w:t>
            </w: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51</w:t>
            </w:r>
          </w:p>
        </w:tc>
      </w:tr>
      <w:tr>
        <w:trPr>
          <w:trHeight w:val="241"/>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Credit Officer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55</w:t>
            </w:r>
          </w:p>
        </w:tc>
      </w:tr>
      <w:tr>
        <w:trPr>
          <w:trHeight w:val="248"/>
        </w:trPr>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Officer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Mikella D. Newsom</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Chief Risk Officer; Secretary</w:t>
            </w: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and Chief</w:t>
            </w:r>
          </w:p>
        </w:tc>
        <w:tc>
          <w:tcPr>
            <w:tcW w:w="8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34"/>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Risk Officer</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Background of our Executive Officers who are not also Directors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B. Crockett. </w:t>
      </w:r>
      <w:r>
        <w:rPr>
          <w:rFonts w:ascii="Times New Roman" w:cs="Times New Roman" w:eastAsia="Times New Roman" w:hAnsi="Times New Roman"/>
          <w:sz w:val="18"/>
          <w:szCs w:val="18"/>
          <w:color w:val="auto"/>
        </w:rPr>
        <w:t>Mr. Crockett has served as Chief Financial Officer and Treasurer of the Company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Brent A. Bates. </w:t>
      </w:r>
      <w:r>
        <w:rPr>
          <w:rFonts w:ascii="Times New Roman" w:cs="Times New Roman" w:eastAsia="Times New Roman" w:hAnsi="Times New Roman"/>
          <w:sz w:val="18"/>
          <w:szCs w:val="18"/>
          <w:color w:val="auto"/>
        </w:rPr>
        <w:t>Mr. Bates joined the Bank as Senior Vice President and Chief Credit Officer in 2020.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Division Credit Officer for Simmons First National Corporation (Nasdaq: SFNC) from 2017 through 2019 after their acquisition of Southwest Bancorp, Inc (Nasdaq:OKSB), where Mr. Bates served as Executive Vice President and Chief Credit Officer from 2011 to 2017. Prior to OKSB, Mr. Bates served in various progressive credit management roles with Arvest Bank from 2003 to 2011. He began the first five years of his banking career in 1998 as a bank examiner with the Texas Department of Banking followed by the same role with the 10th District Federal Reserve Bank branch in Oklahoma City. In 2010, Mr. Bates graduated with honors from the Graduate School of Banking in Colorado. He earned his degree in business finance from the University of Oklahoma in 1998.</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Paul A. Ehlers. </w:t>
      </w:r>
      <w:r>
        <w:rPr>
          <w:rFonts w:ascii="Times New Roman" w:cs="Times New Roman" w:eastAsia="Times New Roman" w:hAnsi="Times New Roman"/>
          <w:sz w:val="18"/>
          <w:szCs w:val="18"/>
          <w:color w:val="auto"/>
        </w:rPr>
        <w:t>Mr. Ehlers was named Chief Operations Officer of the Bank in 2008. He joined the Bank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1991 and served as Vice President of Operations and Security Officer from 1997 to 2007. He currently serves on the Board of Trustees for the Lubbock Cooper Independent School District. Mr. Ehlers is a graduate of the Texas Tech School of Banking and the Bank Operations Institute. Mr. Ehlers earned a Bachelor of Science degree in agricultural economics from Texas Tech University in 1992.</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Mikella D. Newsom. </w:t>
      </w:r>
      <w:r>
        <w:rPr>
          <w:rFonts w:ascii="Times New Roman" w:cs="Times New Roman" w:eastAsia="Times New Roman" w:hAnsi="Times New Roman"/>
          <w:sz w:val="18"/>
          <w:szCs w:val="18"/>
          <w:color w:val="auto"/>
        </w:rPr>
        <w:t>Ms. Newsom was named Chief Risk Officer of the Company in 2019 and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the Company since 2013. She has worked more than 25 years with the Bank and its predecessors and has served as Chief Risk Officer of the Company and the Bank since 2015. Ms. Newsom currently serves on the board of the Texas Bankers Association and on the Board of Managers of University Medical Center in Lubbock. She previously served on the Board of Trustees for the Frenship Independent School District. Ms. Newsom earned a Bachelor of Science degree in agricultural economics from Texas Tech University in 1996.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executive compensation program for 2025. It also describes how and why the Compensation Committee made its decisions regarding 2025 compensation. Set forth below is information concerning our “named executive officers” (“NEOs”) and their respective titles as of December 31, 2025.</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NEOs, consisting of our principal executive officer (“PEO”), our principal financial officer (“PFO”) and the three other most highly compensated executive officers, are:</w:t>
      </w:r>
    </w:p>
    <w:p>
      <w:pPr>
        <w:spacing w:after="0" w:line="50"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Curtis C. Griffith </w:t>
      </w:r>
      <w:r>
        <w:rPr>
          <w:rFonts w:ascii="Times New Roman" w:cs="Times New Roman" w:eastAsia="Times New Roman" w:hAnsi="Times New Roman"/>
          <w:sz w:val="18"/>
          <w:szCs w:val="18"/>
          <w:color w:val="auto"/>
        </w:rPr>
        <w:t>— Chairman and Chief Executive Officer of the Company and Chairman of City Bank</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Cory T. Newsom (PEO) </w:t>
      </w:r>
      <w:r>
        <w:rPr>
          <w:rFonts w:ascii="Times New Roman" w:cs="Times New Roman" w:eastAsia="Times New Roman" w:hAnsi="Times New Roman"/>
          <w:sz w:val="18"/>
          <w:szCs w:val="18"/>
          <w:color w:val="auto"/>
        </w:rPr>
        <w:t>— President of the Company and Chief Executive Officer and President of 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w:t>
      </w:r>
    </w:p>
    <w:p>
      <w:pPr>
        <w:spacing w:after="0" w:line="46" w:lineRule="exact"/>
        <w:rPr>
          <w:rFonts w:ascii="Times New Roman" w:cs="Times New Roman" w:eastAsia="Times New Roman" w:hAnsi="Times New Roman"/>
          <w:sz w:val="18"/>
          <w:szCs w:val="18"/>
          <w:color w:val="auto"/>
        </w:rPr>
      </w:pPr>
    </w:p>
    <w:p>
      <w:pPr>
        <w:ind w:left="1000" w:right="299" w:hanging="348"/>
        <w:spacing w:after="0" w:line="28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Steven B. Crockett (PFO) </w:t>
      </w:r>
      <w:r>
        <w:rPr>
          <w:rFonts w:ascii="Times New Roman" w:cs="Times New Roman" w:eastAsia="Times New Roman" w:hAnsi="Times New Roman"/>
          <w:sz w:val="18"/>
          <w:szCs w:val="18"/>
          <w:color w:val="auto"/>
        </w:rPr>
        <w:t>— Chief Financial Officer and Treasurer of the Company and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Senior Vice-President of City Bank</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Brent A. Bates </w:t>
      </w:r>
      <w:r>
        <w:rPr>
          <w:rFonts w:ascii="Times New Roman" w:cs="Times New Roman" w:eastAsia="Times New Roman" w:hAnsi="Times New Roman"/>
          <w:sz w:val="18"/>
          <w:szCs w:val="18"/>
          <w:color w:val="auto"/>
        </w:rPr>
        <w:t>— Senior Vice-President and Chief Credit Officer of City Bank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Paul A. Elhers </w:t>
      </w:r>
      <w:r>
        <w:rPr>
          <w:rFonts w:ascii="Times New Roman" w:cs="Times New Roman" w:eastAsia="Times New Roman" w:hAnsi="Times New Roman"/>
          <w:sz w:val="18"/>
          <w:szCs w:val="18"/>
          <w:color w:val="auto"/>
        </w:rPr>
        <w:t>— Senior Vice-President and Chief Operations Officer of City Bank</w:t>
      </w: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 Best Practices</w:t>
            </w:r>
          </w:p>
        </w:tc>
        <w:tc>
          <w:tcPr>
            <w:tcW w:w="42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10"/>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6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Align our executive pay with performance</w:t>
            </w:r>
          </w:p>
        </w:tc>
        <w:tc>
          <w:tcPr>
            <w:tcW w:w="4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9"/>
              </w:rPr>
              <w:t>• </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Include caps on individual payouts in incentive plan</w:t>
            </w:r>
          </w:p>
        </w:tc>
      </w:tr>
      <w:tr>
        <w:trPr>
          <w:trHeight w:val="225"/>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Use appropriate peer groups when establishing</w:t>
            </w:r>
          </w:p>
        </w:tc>
        <w:tc>
          <w:tcPr>
            <w:tcW w:w="4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9"/>
              </w:rPr>
              <w:t>• </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Provide an appropriate mix of short-term and long-</w:t>
            </w:r>
          </w:p>
        </w:tc>
      </w:tr>
      <w:tr>
        <w:trPr>
          <w:trHeight w:val="234"/>
        </w:trPr>
        <w:tc>
          <w:tcPr>
            <w:tcW w:w="160" w:type="dxa"/>
            <w:vAlign w:val="bottom"/>
          </w:tcPr>
          <w:p>
            <w:pPr>
              <w:spacing w:after="0"/>
              <w:rPr>
                <w:sz w:val="20"/>
                <w:szCs w:val="20"/>
                <w:color w:val="auto"/>
              </w:rPr>
            </w:pP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compensation</w:t>
            </w:r>
          </w:p>
        </w:tc>
        <w:tc>
          <w:tcPr>
            <w:tcW w:w="420" w:type="dxa"/>
            <w:vAlign w:val="bottom"/>
          </w:tcPr>
          <w:p>
            <w:pPr>
              <w:spacing w:after="0"/>
              <w:rPr>
                <w:sz w:val="20"/>
                <w:szCs w:val="20"/>
                <w:color w:val="auto"/>
              </w:rPr>
            </w:pP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goals</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Maintain clawback policies</w:t>
            </w:r>
          </w:p>
        </w:tc>
        <w:tc>
          <w:tcPr>
            <w:tcW w:w="42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567"/>
        </w:trPr>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66"/>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hedging of Company shares</w:t>
            </w:r>
          </w:p>
        </w:tc>
        <w:tc>
          <w:tcPr>
            <w:tcW w:w="42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79"/>
              </w:rPr>
              <w:t>• </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excessive executive perquisites</w:t>
            </w:r>
          </w:p>
        </w:tc>
      </w:tr>
      <w:tr>
        <w:trPr>
          <w:trHeight w:val="225"/>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79"/>
              </w:rPr>
              <w:t>• </w:t>
            </w: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repricing of stock options without stockholder</w:t>
            </w:r>
          </w:p>
        </w:tc>
        <w:tc>
          <w:tcPr>
            <w:tcW w:w="42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34"/>
        </w:trPr>
        <w:tc>
          <w:tcPr>
            <w:tcW w:w="160" w:type="dxa"/>
            <w:vAlign w:val="bottom"/>
          </w:tcPr>
          <w:p>
            <w:pPr>
              <w:spacing w:after="0"/>
              <w:rPr>
                <w:sz w:val="20"/>
                <w:szCs w:val="20"/>
                <w:color w:val="auto"/>
              </w:rPr>
            </w:pP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approval</w:t>
            </w:r>
          </w:p>
        </w:tc>
        <w:tc>
          <w:tcPr>
            <w:tcW w:w="42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review, evaluate and modify our compensation framework in an effort to maintain a competitive total compensation package to attract and retain highly qualified executives.</w:t>
      </w:r>
    </w:p>
    <w:p>
      <w:pPr>
        <w:spacing w:after="0" w:line="5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Generally, our compensation program includes (i) a base salary component, (ii) an annual cash incentive compensation potential, and (iii) a long-term equity incentive potential. Our annual incentive compensation is intended to reward annual performance based upon profitability, the efficiency ratio, and level of nonperforming assets, and our long-term equity incentive program is intended to also reward long-term performance being time based.</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believe our current mix and value of the above compensation elements provide our NEOs with total annual compensation that is both reasonable and competitive within our markets, appropriately reflects our performance and the executive’s particular contributions to that performance, and takes into account applicable regulatory guidelines and requirements.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Review Process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the Compensation Committee and Management</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evaluates Company and individual performance when making compensation recommendations to the Company’s board of directors with respect to our NEOs. In making decisions regarding NEO remuneration, the Compensation Committee may consider recommendations from our CEO with respect to the performance and contributions of the other NEOs but the Compensation Committee ultimately acts in its sole and absolute discretion.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 Data and Peer Groups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peer group data for purposes of helping it make compensation decisions for our NEOs, however, such is only a data point because, in making its decisions, the Compensation Committee also reviews known industry standards, non-descript data, local market pay factors, and the merits of each NEO.</w:t>
      </w:r>
    </w:p>
    <w:p>
      <w:pPr>
        <w:spacing w:after="0" w:line="320" w:lineRule="exact"/>
        <w:rPr>
          <w:sz w:val="20"/>
          <w:szCs w:val="20"/>
          <w:color w:val="auto"/>
        </w:rPr>
      </w:pPr>
    </w:p>
    <w:p>
      <w:pPr>
        <w:ind w:left="300" w:right="347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Structure and Components of the Executive Compensation Program </w:t>
      </w:r>
      <w:r>
        <w:rPr>
          <w:rFonts w:ascii="Times New Roman" w:cs="Times New Roman" w:eastAsia="Times New Roman" w:hAnsi="Times New Roman"/>
          <w:sz w:val="18"/>
          <w:szCs w:val="18"/>
          <w:b w:val="1"/>
          <w:bCs w:val="1"/>
          <w:i w:val="1"/>
          <w:iCs w:val="1"/>
          <w:color w:val="auto"/>
        </w:rPr>
        <w:t>Base Salary</w:t>
      </w:r>
    </w:p>
    <w:p>
      <w:pPr>
        <w:spacing w:after="0" w:line="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Compensation</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2025,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Bank’s asset quality, measured in relation to other peer group financial institutions (weighted at 20%); and (iv) the individual performance, as determined in the discretion of the Compensation Committee (weighted at 40%). For fiscal year end December 31, 2025,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Additionally, Mr. Newsom was eligible for an additional performance-based cash bonus determined in the discretion of the Compensation Committee with an award opportunity of twenty-five percent (25%) of his salary. For fiscal year end December 31, 2025,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 For fiscal year end December 31, 2025, Mr. Bates was eligible for a performance-based annual cash bonus targeted at 30% of his salary and a maximum not exceeding 45%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 For fiscal year end December 31, 2025, Mr. Ehlers was eligible for a performance-based annual cash bonus targeted at 30% of his salary and a maximum not exceeding 45% of his salary. The performance-based annual cash bonus was determined based on the following performance metrics: (i) the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w:t>
      </w:r>
    </w:p>
    <w:p>
      <w:pPr>
        <w:spacing w:after="0" w:line="1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results of the 2025 annual cash incentive plan.</w:t>
      </w:r>
    </w:p>
    <w:p>
      <w:pPr>
        <w:spacing w:after="0" w:line="370"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Curtis C. Griffith</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6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$49,823</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$58,471</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117.36%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51</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
        </w:trPr>
        <w:tc>
          <w:tcPr>
            <w:tcW w:w="1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40</w:t>
            </w:r>
          </w:p>
        </w:tc>
        <w:tc>
          <w:tcPr>
            <w:tcW w:w="26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spacing w:after="0"/>
              <w:rPr>
                <w:sz w:val="23"/>
                <w:szCs w:val="23"/>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 $425,000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Cory T. Newsom</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6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$49,823</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$58,471</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117.36%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51</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1"/>
        </w:trPr>
        <w:tc>
          <w:tcPr>
            <w:tcW w:w="1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100</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Discretionary Bonus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2"/>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$720,000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Steven B. Crockett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6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$49,823</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$58,471</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117.36%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51</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 $225,000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28" w:name="page29"/>
    <w:bookmarkEnd w:id="2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60" w:type="dxa"/>
            <w:vAlign w:val="bottom"/>
          </w:tcPr>
          <w:p>
            <w:pPr>
              <w:spacing w:after="0"/>
              <w:rPr>
                <w:sz w:val="24"/>
                <w:szCs w:val="24"/>
                <w:color w:val="auto"/>
              </w:rPr>
            </w:pP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Brent A. Bates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6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$49,823</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$58,471</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117.36%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51</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Bank   63.33%   60.14%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
        </w:trPr>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0"/>
        </w:trPr>
        <w:tc>
          <w:tcPr>
            <w:tcW w:w="1540" w:type="dxa"/>
            <w:vAlign w:val="bottom"/>
            <w:gridSpan w:val="2"/>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8"/>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Compensation: $141,136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Paul A. Ehlers</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Specific</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Pr>
          <w:p>
            <w:pPr>
              <w:spacing w:after="0"/>
              <w:rPr>
                <w:sz w:val="24"/>
                <w:szCs w:val="24"/>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6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80" w:type="dxa"/>
            <w:vAlign w:val="bottom"/>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8"/>
                <w:szCs w:val="8"/>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80" w:type="dxa"/>
            <w:vAlign w:val="bottom"/>
          </w:tcPr>
          <w:p>
            <w:pPr>
              <w:spacing w:after="0"/>
              <w:rPr>
                <w:sz w:val="8"/>
                <w:szCs w:val="8"/>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w:t>
            </w: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8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7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0"/>
              </w:rPr>
              <w:t>Factor</w:t>
            </w:r>
          </w:p>
        </w:tc>
        <w:tc>
          <w:tcPr>
            <w:tcW w:w="8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SPFI</w:t>
            </w: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$49,823</w:t>
            </w:r>
          </w:p>
        </w:tc>
        <w:tc>
          <w:tcPr>
            <w:tcW w:w="8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$58,471</w:t>
            </w:r>
          </w:p>
        </w:tc>
        <w:tc>
          <w:tcPr>
            <w:tcW w:w="7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117.36%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54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51</w:t>
            </w:r>
          </w:p>
        </w:tc>
        <w:tc>
          <w:tcPr>
            <w:tcW w:w="2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Bank   63.33%   60.14%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1"/>
        </w:trPr>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Bank</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tcBorders>
              <w:bottom w:val="single" w:sz="8" w:color="CCEEFF"/>
            </w:tcBorders>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13</w:t>
            </w: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73</w:t>
            </w:r>
          </w:p>
        </w:tc>
        <w:tc>
          <w:tcPr>
            <w:tcW w:w="26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5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50"/>
        </w:trPr>
        <w:tc>
          <w:tcPr>
            <w:tcW w:w="24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Individual Performance</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5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Compensation: $141,136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may, from time to time pursuant to the 2019 Equity Incentive Plan, grant our NEOs certain equity-based awards. These awards are designed to align the interests of our NEOs with those of our stockholders by allowing our NEOs to share in the creation of value for our stockholders through capital appreciation and dividends. These equity awards are generally subject to vesting requirements, and are designed to promote the retention of management and to achieve strong performance for our company.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Effect of Regulatory Requirements on Our Executive Compensation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Internal Revenue Code (“IRC”) Sections 280G and 4999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IRC Section 280G limits our ability to take a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deduction for certain “excess parachute payments” (as defined in Section 280G) and IRC Section 4999 imposes excise taxes on each executive that receives “excess parachute payments” paid by the Company in connection with a change in control. The Compensation Committee does not anticipate that the Company would be required to pay non-deductible compensation upon any change in control of the Company.</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Accounting Rules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rules under generally accepted accounting principles determine the manner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Company accounts for grants of equity-based compensation to our employees in our financial statements. The Compensation Committee takes into consideration the accounting treatment of alternative grant proposals under Financial Accounting Standards Board (“FASB”) Accounting Standards Codification (“ASC”) Topic 718, “Stock Compensation” (formerly, FASB Statement 123R), or FASB ASC Topic 718, when determining the form and timing of equity compensation grants to employees, including our NEOs. The accounting treatment of such grants, however, is not determinative of the type, timing, or amount of any particular grant of equity-based compensation to our employees.</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The board of directors adopted and implemented an Incentive Award Recoupment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as of October 2, 2023, in accordance with Rule 10D-1 promulgated by the SEC under the Exchange Act and Nasdaq Listing Rule 5608. The Incentive Award Recoupment Policy allows for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Insider Trading Policy. </w:t>
      </w:r>
      <w:r>
        <w:rPr>
          <w:rFonts w:ascii="Times New Roman" w:cs="Times New Roman" w:eastAsia="Times New Roman" w:hAnsi="Times New Roman"/>
          <w:sz w:val="18"/>
          <w:szCs w:val="18"/>
          <w:color w:val="auto"/>
        </w:rPr>
        <w:t>The Company has adopted an Insider Trading Policy which sets forth the procedure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trading by insiders in securities of the Company. The Company believes that its Insider Trading Policy is reasonably designed to promote compliance with insider trading laws, rules and regulations and listing standards applicable to the Company. A copy of the Company’s Insider Trading Policy was filed as an exhibit to the Company’s Annual Report on Form 10-K for the year ended December 31, 2025, as filed with the SEC on March 5, 2026.</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Hedging Policy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Insider Trading Policy strongly discourages our directors, officers and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with the affiliates and family members of each) from engaging in certain hedging and derivative transactions with respect to the Company’s securities. In addition, the Insider Trading Policy requires preclearance of any such transactions. Similarly, our Insider Trading Policy prohibits ownership of Company securities in a margin account and prohibits pledging Company securities by the Company’s directors and officers (together with the affiliates and family members of each), subject to certain exceptions for pledges approved prior to the effectiveness of the Insider Trading Policy.</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Management and Compensation Consultants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During 2025, the Compensation Committee did not retain an independent compensation consultant, though the Compensation Committee has the authority to retain, and terminate, any compensation consultant to assist in the evaluation of employee compensation and to approve the consultant’s fees and the other terms and conditions of the consultant’s retention.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Pursuant to rules and regulations of the SEC, the following Compensation Committee Report shall not be deemed incorporated by reference by any general statement incorporating by reference this Proxy Statement into any filing under the Securities Act of 1933, as amended, or the Securities Exchange Act of 1934, as amended, except to the extent that the Company specifically incorporates this information by reference.</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among other things, discharging the board of directors’ responsibilities relating to compensation of the Company’s executives, including recommending to the board of directors for approval and evaluating the compensation plans, policies and programs of the Company. The Compensation Committee has reviewed the Compensation Discussion and Analysis herein and discussed it with management. Based on the review and the discussions with management, the Compensation Committee recommended to the board of directors that the Compensation Discussion and Analysis be included in the proxy statement for the annual meeting and its incorporation by reference into the Company’s Annual Report on Form 10-K for the year ended December 31, 2025.</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Report shall not be deemed incorporated by reference in any document previously or subsequently filed with the SEC that incorporates by reference all or any portion of this proxy statement.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of the Board of Directors: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Campbell, Chairman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Noe G. Valles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Kyle R. Wargo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LaDana R. Washburn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paid, awarded to, or earned by each of our NEOs for the fiscal years indicated.</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6"/>
                <w:szCs w:val="16"/>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48"/>
              <w:spacing w:after="0" w:line="21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(5)</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Curtis C. Griffith</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425,000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124,972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153,717</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255,000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104,090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1,232,779</w:t>
            </w: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Chairman of the Board</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124,991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139,999</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240,000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92,261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1,157,251</w:t>
            </w:r>
          </w:p>
        </w:tc>
        <w:tc>
          <w:tcPr>
            <w:tcW w:w="0" w:type="dxa"/>
            <w:vAlign w:val="bottom"/>
          </w:tcPr>
          <w:p>
            <w:pPr>
              <w:spacing w:after="0"/>
              <w:rPr>
                <w:sz w:val="1"/>
                <w:szCs w:val="1"/>
                <w:color w:val="auto"/>
              </w:rPr>
            </w:pPr>
          </w:p>
        </w:tc>
      </w:tr>
      <w:tr>
        <w:trPr>
          <w:trHeight w:val="290"/>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CEO</w:t>
            </w:r>
          </w:p>
        </w:tc>
        <w:tc>
          <w:tcPr>
            <w:tcW w:w="8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139,993</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240,000</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88,333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1,153,312</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Cory T. Newsom</w:t>
            </w:r>
          </w:p>
        </w:tc>
        <w:tc>
          <w:tcPr>
            <w:tcW w:w="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720,000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249,983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260,398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540,000</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178,939</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144,279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2,273,599</w:t>
            </w:r>
          </w:p>
        </w:tc>
        <w:tc>
          <w:tcPr>
            <w:tcW w:w="0" w:type="dxa"/>
            <w:vAlign w:val="bottom"/>
          </w:tcPr>
          <w:p>
            <w:pPr>
              <w:spacing w:after="0"/>
              <w:rPr>
                <w:sz w:val="1"/>
                <w:szCs w:val="1"/>
                <w:color w:val="auto"/>
              </w:rPr>
            </w:pPr>
          </w:p>
        </w:tc>
      </w:tr>
      <w:tr>
        <w:trPr>
          <w:trHeight w:val="246"/>
        </w:trPr>
        <w:tc>
          <w:tcPr>
            <w:tcW w:w="1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 (PEO)</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249,982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220,492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472,500</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209,573</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130,076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2,070,123</w:t>
            </w: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220,500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472,500</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196,408</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126,536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2,053,444</w:t>
            </w:r>
          </w:p>
        </w:tc>
        <w:tc>
          <w:tcPr>
            <w:tcW w:w="0" w:type="dxa"/>
            <w:vAlign w:val="bottom"/>
          </w:tcPr>
          <w:p>
            <w:pPr>
              <w:spacing w:after="0"/>
              <w:rPr>
                <w:sz w:val="1"/>
                <w:szCs w:val="1"/>
                <w:color w:val="auto"/>
              </w:rPr>
            </w:pPr>
          </w:p>
        </w:tc>
      </w:tr>
      <w:tr>
        <w:trPr>
          <w:trHeight w:val="205"/>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Steven B. Crockett</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375,000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225,187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180,000</w:t>
            </w: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59,740</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60,976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945,903</w:t>
            </w:r>
          </w:p>
        </w:tc>
        <w:tc>
          <w:tcPr>
            <w:tcW w:w="0" w:type="dxa"/>
            <w:vAlign w:val="bottom"/>
          </w:tcPr>
          <w:p>
            <w:pPr>
              <w:spacing w:after="0"/>
              <w:rPr>
                <w:sz w:val="1"/>
                <w:szCs w:val="1"/>
                <w:color w:val="auto"/>
              </w:rPr>
            </w:pPr>
          </w:p>
        </w:tc>
      </w:tr>
      <w:tr>
        <w:trPr>
          <w:trHeight w:val="246"/>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CFO – (PFO)</w:t>
            </w:r>
          </w:p>
        </w:tc>
        <w:tc>
          <w:tcPr>
            <w:tcW w:w="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341,250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204,465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163,800</w:t>
            </w: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56,738</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58,061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865,264</w:t>
            </w:r>
          </w:p>
        </w:tc>
        <w:tc>
          <w:tcPr>
            <w:tcW w:w="0" w:type="dxa"/>
            <w:vAlign w:val="bottom"/>
          </w:tcPr>
          <w:p>
            <w:pPr>
              <w:spacing w:after="0"/>
              <w:rPr>
                <w:sz w:val="1"/>
                <w:szCs w:val="1"/>
                <w:color w:val="auto"/>
              </w:rPr>
            </w:pPr>
          </w:p>
        </w:tc>
      </w:tr>
      <w:tr>
        <w:trPr>
          <w:trHeight w:val="247"/>
        </w:trPr>
        <w:tc>
          <w:tcPr>
            <w:tcW w:w="180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341,250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129,999</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163,800</w:t>
            </w: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20,089</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56,462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920,534</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Brent A. Bates</w:t>
            </w:r>
          </w:p>
        </w:tc>
        <w:tc>
          <w:tcPr>
            <w:tcW w:w="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313,635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28,227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96,891</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112,909</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17,716</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34,869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604,247</w:t>
            </w:r>
          </w:p>
        </w:tc>
        <w:tc>
          <w:tcPr>
            <w:tcW w:w="0" w:type="dxa"/>
            <w:vAlign w:val="bottom"/>
          </w:tcPr>
          <w:p>
            <w:pPr>
              <w:spacing w:after="0"/>
              <w:rPr>
                <w:sz w:val="1"/>
                <w:szCs w:val="1"/>
                <w:color w:val="auto"/>
              </w:rPr>
            </w:pPr>
          </w:p>
        </w:tc>
      </w:tr>
      <w:tr>
        <w:trPr>
          <w:trHeight w:val="254"/>
        </w:trPr>
        <w:tc>
          <w:tcPr>
            <w:tcW w:w="1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Bank CCO</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304,500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27,405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91,333</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109,620</w:t>
            </w:r>
          </w:p>
        </w:tc>
        <w:tc>
          <w:tcPr>
            <w:tcW w:w="940" w:type="dxa"/>
            <w:vAlign w:val="bottom"/>
            <w:gridSpan w:val="2"/>
          </w:tcPr>
          <w:p>
            <w:pPr>
              <w:jc w:val="right"/>
              <w:ind w:right="83"/>
              <w:spacing w:after="0"/>
              <w:rPr>
                <w:sz w:val="20"/>
                <w:szCs w:val="20"/>
                <w:color w:val="auto"/>
              </w:rPr>
            </w:pPr>
            <w:r>
              <w:rPr>
                <w:rFonts w:ascii="Times New Roman" w:cs="Times New Roman" w:eastAsia="Times New Roman" w:hAnsi="Times New Roman"/>
                <w:sz w:val="17"/>
                <w:szCs w:val="17"/>
                <w:color w:val="auto"/>
              </w:rPr>
              <w:t>16,141</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36,131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585,130</w:t>
            </w:r>
          </w:p>
        </w:tc>
        <w:tc>
          <w:tcPr>
            <w:tcW w:w="0" w:type="dxa"/>
            <w:vAlign w:val="bottom"/>
          </w:tcPr>
          <w:p>
            <w:pPr>
              <w:spacing w:after="0"/>
              <w:rPr>
                <w:sz w:val="1"/>
                <w:szCs w:val="1"/>
                <w:color w:val="auto"/>
              </w:rPr>
            </w:pPr>
          </w:p>
        </w:tc>
      </w:tr>
      <w:tr>
        <w:trPr>
          <w:trHeight w:val="205"/>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Paul A. Ehlers</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313,635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96,891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112,909</w:t>
            </w: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20,170</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56,963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628,795</w:t>
            </w:r>
          </w:p>
        </w:tc>
        <w:tc>
          <w:tcPr>
            <w:tcW w:w="0" w:type="dxa"/>
            <w:vAlign w:val="bottom"/>
          </w:tcPr>
          <w:p>
            <w:pPr>
              <w:spacing w:after="0"/>
              <w:rPr>
                <w:sz w:val="1"/>
                <w:szCs w:val="1"/>
                <w:color w:val="auto"/>
              </w:rPr>
            </w:pPr>
          </w:p>
        </w:tc>
      </w:tr>
      <w:tr>
        <w:trPr>
          <w:trHeight w:val="250"/>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Bank COO</w:t>
            </w:r>
          </w:p>
        </w:tc>
        <w:tc>
          <w:tcPr>
            <w:tcW w:w="8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shd w:val="clear" w:color="auto" w:fill="CCEEFF"/>
              </w:rPr>
              <w:t>2024</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304,500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91,333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109,620</w:t>
            </w:r>
          </w:p>
        </w:tc>
        <w:tc>
          <w:tcPr>
            <w:tcW w:w="9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18,824</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rPr>
              <w:t>55,958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607,640</w:t>
            </w:r>
          </w:p>
        </w:tc>
        <w:tc>
          <w:tcPr>
            <w:tcW w:w="0" w:type="dxa"/>
            <w:vAlign w:val="bottom"/>
          </w:tcPr>
          <w:p>
            <w:pPr>
              <w:spacing w:after="0"/>
              <w:rPr>
                <w:sz w:val="1"/>
                <w:szCs w:val="1"/>
                <w:color w:val="auto"/>
              </w:rPr>
            </w:pPr>
          </w:p>
        </w:tc>
      </w:tr>
      <w:tr>
        <w:trPr>
          <w:trHeight w:val="54"/>
        </w:trPr>
        <w:tc>
          <w:tcPr>
            <w:tcW w:w="1800" w:type="dxa"/>
            <w:vAlign w:val="bottom"/>
            <w:shd w:val="clear" w:color="auto" w:fill="CCEEFF"/>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-33655</wp:posOffset>
            </wp:positionV>
            <wp:extent cx="2540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Note: Messrs. Bates and Ehlers were not NEOs for 2023.</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portion of the annual incentive bonuses that were earned based upon the NEOs individual performance, as determined in the discretion of the Compensation Committee. For a description of annual incentive bonuses for 2025, see “Annual Cash Incentive Compensation” above. For Mr. Crockett, the amounts in this column also include a $100,000 bonus in relation to the work performed on the sale of the Company’s subsidiary Windmark Insurance Agency, Inc. in 2023.</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determined in accordance with applicable FASB ASC Topic 718, of equity-based awards made during the 2025 fiscal year. The discussion of the assumptions used in calculating the aggregate grant date fair value of the equity-based awards can be found in Footnote 13 of the Notes to Consolidated Financial Statements included in the Company’s Annual Report on Form 10-K for the year ended December 31, 2025.</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incentive bonuses that were earned in 2025. For a description of annual incentive bonuses for 2025, see “Annual Cash Incentive Compensation” above.</w:t>
      </w: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Company contributions under our Salary Continuation Plan. See “Nonqualified Deferred Compensation,” below.</w:t>
      </w: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our NEOs with other benefits that we believe are reasonable, competitive and consistent with our overall executive compensation structure. The amounts in this column for fiscal year 2025 include:</w:t>
      </w:r>
    </w:p>
    <w:p>
      <w:pPr>
        <w:spacing w:after="0" w:line="54" w:lineRule="exact"/>
        <w:rPr>
          <w:rFonts w:ascii="Times New Roman" w:cs="Times New Roman" w:eastAsia="Times New Roman" w:hAnsi="Times New Roman"/>
          <w:sz w:val="14"/>
          <w:szCs w:val="14"/>
          <w:color w:val="auto"/>
        </w:rPr>
      </w:pPr>
    </w:p>
    <w:p>
      <w:pPr>
        <w:jc w:val="both"/>
        <w:ind w:left="1000" w:right="319" w:hanging="348"/>
        <w:spacing w:after="0" w:line="236"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Griffith: unused sick and vacation pay of $27,788 per his employment agreement, a holiday gift in respect of service as a director valued at $14,700 and related tax gross-up of $4,146, vehicle expenses and related tax gross-up of $29,636 per his employment agreement, a matching contribution for our 401(k) of $17,500 and excess contributions of $3,750 paid in cash, and Company-paid premiums for group insurance of $6,570.</w:t>
      </w:r>
    </w:p>
    <w:p>
      <w:pPr>
        <w:spacing w:after="0" w:line="68" w:lineRule="exact"/>
        <w:rPr>
          <w:rFonts w:ascii="Times New Roman" w:cs="Times New Roman" w:eastAsia="Times New Roman" w:hAnsi="Times New Roman"/>
          <w:sz w:val="14"/>
          <w:szCs w:val="14"/>
          <w:color w:val="auto"/>
        </w:rPr>
      </w:pPr>
    </w:p>
    <w:p>
      <w:pPr>
        <w:jc w:val="both"/>
        <w:ind w:left="1000" w:right="299" w:hanging="348"/>
        <w:spacing w:after="0" w:line="233"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Newsom: unused sick and vacation pay of $47,077 per his employment agreement, referral commissions of $4,988, a holiday gift in respect of service as a director valued at $14,899 and related tax gross-up of $4,146, vehicle expenses and related tax gross-up of $10,736 per his employment agreement, a matching contribution for our 401(k) of $17,500 and excess contributions of $18,500 paid in cash, Company-paid premiums for group insurance of $1,680 and home security and country-club dues of $24,753 per his employment agreement.</w:t>
      </w:r>
    </w:p>
    <w:p>
      <w:pPr>
        <w:spacing w:after="0" w:line="69" w:lineRule="exact"/>
        <w:rPr>
          <w:rFonts w:ascii="Times New Roman" w:cs="Times New Roman" w:eastAsia="Times New Roman" w:hAnsi="Times New Roman"/>
          <w:sz w:val="14"/>
          <w:szCs w:val="14"/>
          <w:color w:val="auto"/>
        </w:rPr>
      </w:pPr>
    </w:p>
    <w:p>
      <w:pPr>
        <w:jc w:val="both"/>
        <w:ind w:left="1000" w:right="319" w:hanging="348"/>
        <w:spacing w:after="0" w:line="241"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Crockett: unused sick and vacation pay of $24,519 per the Company’s personnel policy, vehicle expenses of $16,903, a matching contribution for our 401(k) of $17,500 and excess contributions of $1,250 paid in cash, and Company-paid premiums for group insurance of $804.</w:t>
      </w:r>
    </w:p>
    <w:p>
      <w:pPr>
        <w:spacing w:after="0" w:line="68"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Bates: vehicle expenses of $6,219, a matching contribution for our 401(k) of $15,682, phone reimbursement of $1,200, Company-paid premiums for group insurance of $804, and country-club dues of $10,964.</w:t>
      </w:r>
    </w:p>
    <w:p>
      <w:pPr>
        <w:spacing w:after="0" w:line="54" w:lineRule="exact"/>
        <w:rPr>
          <w:rFonts w:ascii="Times New Roman" w:cs="Times New Roman" w:eastAsia="Times New Roman" w:hAnsi="Times New Roman"/>
          <w:sz w:val="14"/>
          <w:szCs w:val="14"/>
          <w:color w:val="auto"/>
        </w:rPr>
      </w:pPr>
    </w:p>
    <w:p>
      <w:pPr>
        <w:jc w:val="both"/>
        <w:ind w:left="1000" w:right="299" w:hanging="348"/>
        <w:spacing w:after="0" w:line="241" w:lineRule="auto"/>
        <w:tabs>
          <w:tab w:leader="none" w:pos="10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Ehlers: unused sick and vacation pay of $20,507 per the Company’s personnel policy, referral commissions of $32, vehicle expenses of $8,614, a matching contribution for our 401(k) of $15,682, Company-paid premiums for group insurance of $1,164, and country-club dues of $10,964.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121" w:lineRule="exact"/>
        <w:rPr>
          <w:sz w:val="20"/>
          <w:szCs w:val="20"/>
          <w:color w:val="auto"/>
        </w:rPr>
      </w:pPr>
    </w:p>
    <w:p>
      <w:pPr>
        <w:ind w:left="540" w:right="5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equity awards granted to each of our NEOs during the fiscal year ended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40" w:type="dxa"/>
            <w:vAlign w:val="bottom"/>
          </w:tcPr>
          <w:p>
            <w:pPr>
              <w:spacing w:after="0"/>
              <w:rPr>
                <w:sz w:val="12"/>
                <w:szCs w:val="12"/>
                <w:color w:val="auto"/>
              </w:rPr>
            </w:pPr>
          </w:p>
        </w:tc>
        <w:tc>
          <w:tcPr>
            <w:tcW w:w="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2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Borders>
              <w:bottom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p>
        </w:tc>
        <w:tc>
          <w:tcPr>
            <w:tcW w:w="120" w:type="dxa"/>
            <w:vAlign w:val="bottom"/>
          </w:tcPr>
          <w:p>
            <w:pPr>
              <w:spacing w:after="0"/>
              <w:rPr>
                <w:sz w:val="11"/>
                <w:szCs w:val="11"/>
                <w:color w:val="auto"/>
              </w:rPr>
            </w:pPr>
          </w:p>
        </w:tc>
        <w:tc>
          <w:tcPr>
            <w:tcW w:w="1960" w:type="dxa"/>
            <w:vAlign w:val="bottom"/>
            <w:tcBorders>
              <w:bottom w:val="single" w:sz="8" w:color="auto"/>
            </w:tcBorders>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4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14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1"/>
                <w:szCs w:val="11"/>
                <w:color w:val="auto"/>
              </w:rPr>
            </w:pPr>
          </w:p>
        </w:tc>
        <w:tc>
          <w:tcPr>
            <w:tcW w:w="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63"/>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40" w:type="dxa"/>
            <w:vAlign w:val="bottom"/>
          </w:tcPr>
          <w:p>
            <w:pPr>
              <w:spacing w:after="0"/>
              <w:rPr>
                <w:sz w:val="14"/>
                <w:szCs w:val="14"/>
                <w:color w:val="auto"/>
              </w:rPr>
            </w:pPr>
          </w:p>
        </w:tc>
        <w:tc>
          <w:tcPr>
            <w:tcW w:w="68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4"/>
                <w:szCs w:val="14"/>
                <w:color w:val="auto"/>
              </w:rPr>
            </w:pPr>
          </w:p>
        </w:tc>
        <w:tc>
          <w:tcPr>
            <w:tcW w:w="760" w:type="dxa"/>
            <w:vAlign w:val="bottom"/>
          </w:tcPr>
          <w:p>
            <w:pPr>
              <w:jc w:val="center"/>
              <w:spacing w:after="0" w:line="164"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0"/>
        </w:trPr>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w:t>
            </w:r>
          </w:p>
        </w:tc>
        <w:tc>
          <w:tcPr>
            <w:tcW w:w="90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Griffith</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1/3/2025</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3,675</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124,987</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1/3/2025</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11,144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148,739</w:t>
            </w:r>
          </w:p>
        </w:tc>
        <w:tc>
          <w:tcPr>
            <w:tcW w:w="0" w:type="dxa"/>
            <w:vAlign w:val="bottom"/>
          </w:tcPr>
          <w:p>
            <w:pPr>
              <w:spacing w:after="0"/>
              <w:rPr>
                <w:sz w:val="1"/>
                <w:szCs w:val="1"/>
                <w:color w:val="auto"/>
              </w:rPr>
            </w:pPr>
          </w:p>
        </w:tc>
      </w:tr>
      <w:tr>
        <w:trPr>
          <w:trHeight w:val="21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Cory 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20" w:type="dxa"/>
            <w:vAlign w:val="bottom"/>
          </w:tcPr>
          <w:p>
            <w:pPr>
              <w:spacing w:after="0"/>
              <w:rPr>
                <w:sz w:val="18"/>
                <w:szCs w:val="18"/>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Newsom</w:t>
            </w:r>
          </w:p>
        </w:tc>
        <w:tc>
          <w:tcPr>
            <w:tcW w:w="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1/3/2025</w:t>
            </w:r>
          </w:p>
        </w:tc>
        <w:tc>
          <w:tcPr>
            <w:tcW w:w="140" w:type="dxa"/>
            <w:vAlign w:val="bottom"/>
          </w:tcPr>
          <w:p>
            <w:pPr>
              <w:spacing w:after="0"/>
              <w:rPr>
                <w:sz w:val="22"/>
                <w:szCs w:val="22"/>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8"/>
              </w:rPr>
              <w:t>7,350</w:t>
            </w:r>
          </w:p>
        </w:tc>
        <w:tc>
          <w:tcPr>
            <w:tcW w:w="140" w:type="dxa"/>
            <w:vAlign w:val="bottom"/>
          </w:tcPr>
          <w:p>
            <w:pPr>
              <w:spacing w:after="0"/>
              <w:rPr>
                <w:sz w:val="22"/>
                <w:szCs w:val="22"/>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249,974</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1/3/2025</w:t>
            </w:r>
          </w:p>
        </w:tc>
        <w:tc>
          <w:tcPr>
            <w:tcW w:w="140" w:type="dxa"/>
            <w:vAlign w:val="bottom"/>
          </w:tcPr>
          <w:p>
            <w:pPr>
              <w:spacing w:after="0"/>
              <w:rPr>
                <w:sz w:val="21"/>
                <w:szCs w:val="21"/>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18,880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251,991</w:t>
            </w:r>
          </w:p>
        </w:tc>
        <w:tc>
          <w:tcPr>
            <w:tcW w:w="0" w:type="dxa"/>
            <w:vAlign w:val="bottom"/>
          </w:tcPr>
          <w:p>
            <w:pPr>
              <w:spacing w:after="0"/>
              <w:rPr>
                <w:sz w:val="1"/>
                <w:szCs w:val="1"/>
                <w:color w:val="auto"/>
              </w:rPr>
            </w:pPr>
          </w:p>
        </w:tc>
      </w:tr>
      <w:tr>
        <w:trPr>
          <w:trHeight w:val="218"/>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1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Crockett</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2/19/2025</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6,197</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217,948</w:t>
            </w:r>
          </w:p>
        </w:tc>
        <w:tc>
          <w:tcPr>
            <w:tcW w:w="0" w:type="dxa"/>
            <w:vAlign w:val="bottom"/>
          </w:tcPr>
          <w:p>
            <w:pPr>
              <w:spacing w:after="0"/>
              <w:rPr>
                <w:sz w:val="1"/>
                <w:szCs w:val="1"/>
                <w:color w:val="auto"/>
              </w:rPr>
            </w:pP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Brent A. Bates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rPr>
              <w:t>75,273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112,909</w:t>
            </w:r>
          </w:p>
        </w:tc>
        <w:tc>
          <w:tcPr>
            <w:tcW w:w="12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2/19/2025</w:t>
            </w:r>
          </w:p>
        </w:tc>
        <w:tc>
          <w:tcPr>
            <w:tcW w:w="140" w:type="dxa"/>
            <w:vAlign w:val="bottom"/>
          </w:tcPr>
          <w:p>
            <w:pPr>
              <w:spacing w:after="0"/>
              <w:rPr>
                <w:sz w:val="21"/>
                <w:szCs w:val="21"/>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8"/>
              </w:rPr>
              <w:t>2,675</w:t>
            </w:r>
          </w:p>
        </w:tc>
        <w:tc>
          <w:tcPr>
            <w:tcW w:w="14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94,080</w:t>
            </w:r>
          </w:p>
        </w:tc>
        <w:tc>
          <w:tcPr>
            <w:tcW w:w="0" w:type="dxa"/>
            <w:vAlign w:val="bottom"/>
          </w:tcPr>
          <w:p>
            <w:pPr>
              <w:spacing w:after="0"/>
              <w:rPr>
                <w:sz w:val="1"/>
                <w:szCs w:val="1"/>
                <w:color w:val="auto"/>
              </w:rPr>
            </w:pPr>
          </w:p>
        </w:tc>
      </w:tr>
      <w:tr>
        <w:trPr>
          <w:trHeight w:val="218"/>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75,273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5"/>
        </w:trPr>
        <w:tc>
          <w:tcPr>
            <w:tcW w:w="1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Ehlers</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2/19/2025</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8"/>
              </w:rPr>
              <w:t>2,675</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rPr>
              <w:t>94,080</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80" w:hanging="348"/>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one-fourth on January 1, 2026 and pro rata on a monthly basis over the next 36 months.</w:t>
      </w:r>
    </w:p>
    <w:p>
      <w:pPr>
        <w:spacing w:after="0" w:line="41" w:lineRule="exact"/>
        <w:rPr>
          <w:rFonts w:ascii="Times New Roman" w:cs="Times New Roman" w:eastAsia="Times New Roman" w:hAnsi="Times New Roman"/>
          <w:sz w:val="14"/>
          <w:szCs w:val="14"/>
          <w:color w:val="auto"/>
        </w:rPr>
      </w:pPr>
    </w:p>
    <w:p>
      <w:pPr>
        <w:jc w:val="both"/>
        <w:ind w:left="880" w:right="540" w:hanging="348"/>
        <w:spacing w:after="0" w:line="236" w:lineRule="auto"/>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each option award and restricted stock unit award granted during the fiscal year, computed in accordance with FASB ASC Topic 718. The valuation assumptions used in determining such amounts are described in Footnote 13 of the Notes to Consolidated Financial Statements included in the Company’s Annual Report on Form 10-K for the year ended December 31,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for each of our NEOs regarding outstanding equity awards held by the NEOs at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$19.05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21,955</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12/18/2029</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22,411</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18,562</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13,062</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278</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$29.46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1/19/2032</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9,887</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3,673</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$27.53</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1/3/2033</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6,041</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6,567</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$29.32</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1/2/2034</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11,144</w:t>
            </w:r>
            <w:r>
              <w:rPr>
                <w:rFonts w:ascii="Times New Roman" w:cs="Times New Roman" w:eastAsia="Times New Roman" w:hAnsi="Times New Roman"/>
                <w:sz w:val="29"/>
                <w:szCs w:val="29"/>
                <w:color w:val="auto"/>
                <w:vertAlign w:val="superscript"/>
              </w:rPr>
              <w:t>(5)</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$34.01</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1/3/2035</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520"/>
              <w:spacing w:after="0" w:line="284" w:lineRule="exact"/>
              <w:rPr>
                <w:sz w:val="20"/>
                <w:szCs w:val="20"/>
                <w:color w:val="auto"/>
              </w:rPr>
            </w:pPr>
            <w:r>
              <w:rPr>
                <w:rFonts w:ascii="Times New Roman" w:cs="Times New Roman" w:eastAsia="Times New Roman" w:hAnsi="Times New Roman"/>
                <w:sz w:val="18"/>
                <w:szCs w:val="18"/>
                <w:color w:val="auto"/>
              </w:rPr>
              <w:t>3,675</w:t>
            </w:r>
            <w:r>
              <w:rPr>
                <w:rFonts w:ascii="Times New Roman" w:cs="Times New Roman" w:eastAsia="Times New Roman" w:hAnsi="Times New Roman"/>
                <w:sz w:val="29"/>
                <w:szCs w:val="29"/>
                <w:color w:val="auto"/>
                <w:vertAlign w:val="superscript"/>
              </w:rPr>
              <w:t>(6)</w:t>
            </w:r>
          </w:p>
        </w:tc>
        <w:tc>
          <w:tcPr>
            <w:tcW w:w="12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142,590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12/31/2026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10,342</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3/20/2029</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25,505</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39,220</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32,484</w:t>
            </w:r>
          </w:p>
        </w:tc>
        <w:tc>
          <w:tcPr>
            <w:tcW w:w="22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20,574</w:t>
            </w:r>
          </w:p>
        </w:tc>
        <w:tc>
          <w:tcPr>
            <w:tcW w:w="1080" w:type="dxa"/>
            <w:vAlign w:val="bottom"/>
            <w:gridSpan w:val="2"/>
          </w:tcPr>
          <w:p>
            <w:pPr>
              <w:jc w:val="right"/>
              <w:spacing w:after="0" w:line="295" w:lineRule="exact"/>
              <w:rPr>
                <w:sz w:val="20"/>
                <w:szCs w:val="20"/>
                <w:color w:val="auto"/>
              </w:rPr>
            </w:pPr>
            <w:r>
              <w:rPr>
                <w:rFonts w:ascii="Times New Roman" w:cs="Times New Roman" w:eastAsia="Times New Roman" w:hAnsi="Times New Roman"/>
                <w:sz w:val="18"/>
                <w:szCs w:val="18"/>
                <w:color w:val="auto"/>
              </w:rPr>
              <w:t>438</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1/19/2032</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15,573</w:t>
            </w:r>
          </w:p>
        </w:tc>
        <w:tc>
          <w:tcPr>
            <w:tcW w:w="108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5,785</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1/3/2033</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9,514</w:t>
            </w:r>
          </w:p>
        </w:tc>
        <w:tc>
          <w:tcPr>
            <w:tcW w:w="108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10,343</w:t>
            </w:r>
            <w:r>
              <w:rPr>
                <w:rFonts w:ascii="Times New Roman" w:cs="Times New Roman" w:eastAsia="Times New Roman" w:hAnsi="Times New Roman"/>
                <w:sz w:val="29"/>
                <w:szCs w:val="29"/>
                <w:color w:val="auto"/>
                <w:vertAlign w:val="superscript"/>
              </w:rPr>
              <w:t>(4)</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1/2/2034</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18,880</w:t>
            </w:r>
            <w:r>
              <w:rPr>
                <w:rFonts w:ascii="Times New Roman" w:cs="Times New Roman" w:eastAsia="Times New Roman" w:hAnsi="Times New Roman"/>
                <w:sz w:val="29"/>
                <w:szCs w:val="29"/>
                <w:color w:val="auto"/>
                <w:vertAlign w:val="superscript"/>
              </w:rPr>
              <w:t>(5)</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1/3/2035</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ind w:left="520"/>
              <w:spacing w:after="0" w:line="284" w:lineRule="exact"/>
              <w:rPr>
                <w:sz w:val="20"/>
                <w:szCs w:val="20"/>
                <w:color w:val="auto"/>
              </w:rPr>
            </w:pPr>
            <w:r>
              <w:rPr>
                <w:rFonts w:ascii="Times New Roman" w:cs="Times New Roman" w:eastAsia="Times New Roman" w:hAnsi="Times New Roman"/>
                <w:sz w:val="18"/>
                <w:szCs w:val="18"/>
                <w:color w:val="auto"/>
              </w:rPr>
              <w:t>7,350</w:t>
            </w:r>
            <w:r>
              <w:rPr>
                <w:rFonts w:ascii="Times New Roman" w:cs="Times New Roman" w:eastAsia="Times New Roman" w:hAnsi="Times New Roman"/>
                <w:sz w:val="29"/>
                <w:szCs w:val="29"/>
                <w:color w:val="auto"/>
                <w:vertAlign w:val="superscript"/>
              </w:rPr>
              <w:t>(6)</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285,180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$19.05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26,014</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20,372</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16,210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8,138</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2,713</w:t>
            </w:r>
            <w:r>
              <w:rPr>
                <w:rFonts w:ascii="Times New Roman" w:cs="Times New Roman" w:eastAsia="Times New Roman" w:hAnsi="Times New Roman"/>
                <w:sz w:val="29"/>
                <w:szCs w:val="29"/>
                <w:color w:val="auto"/>
                <w:vertAlign w:val="superscript"/>
              </w:rPr>
              <w:t>(7)</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2/16/2032</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6,449</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6,449</w:t>
            </w:r>
            <w:r>
              <w:rPr>
                <w:rFonts w:ascii="Times New Roman" w:cs="Times New Roman" w:eastAsia="Times New Roman" w:hAnsi="Times New Roman"/>
                <w:sz w:val="29"/>
                <w:szCs w:val="29"/>
                <w:color w:val="auto"/>
                <w:vertAlign w:val="superscript"/>
              </w:rPr>
              <w:t>(8)</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$27.27</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2/16/2033</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520"/>
              <w:spacing w:after="0" w:line="284" w:lineRule="exact"/>
              <w:rPr>
                <w:sz w:val="20"/>
                <w:szCs w:val="20"/>
                <w:color w:val="auto"/>
              </w:rPr>
            </w:pPr>
            <w:r>
              <w:rPr>
                <w:rFonts w:ascii="Times New Roman" w:cs="Times New Roman" w:eastAsia="Times New Roman" w:hAnsi="Times New Roman"/>
                <w:sz w:val="18"/>
                <w:szCs w:val="18"/>
                <w:color w:val="auto"/>
              </w:rPr>
              <w:t>3,907</w:t>
            </w:r>
            <w:r>
              <w:rPr>
                <w:rFonts w:ascii="Times New Roman" w:cs="Times New Roman" w:eastAsia="Times New Roman" w:hAnsi="Times New Roman"/>
                <w:sz w:val="29"/>
                <w:szCs w:val="29"/>
                <w:color w:val="auto"/>
                <w:vertAlign w:val="superscript"/>
              </w:rPr>
              <w:t>(9)</w:t>
            </w:r>
          </w:p>
        </w:tc>
        <w:tc>
          <w:tcPr>
            <w:tcW w:w="12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151,592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520"/>
              <w:spacing w:after="0" w:line="284" w:lineRule="exact"/>
              <w:rPr>
                <w:sz w:val="20"/>
                <w:szCs w:val="20"/>
                <w:color w:val="auto"/>
              </w:rPr>
            </w:pPr>
            <w:r>
              <w:rPr>
                <w:rFonts w:ascii="Times New Roman" w:cs="Times New Roman" w:eastAsia="Times New Roman" w:hAnsi="Times New Roman"/>
                <w:sz w:val="18"/>
                <w:szCs w:val="18"/>
                <w:color w:val="auto"/>
                <w:w w:val="93"/>
              </w:rPr>
              <w:t>1,933</w:t>
            </w:r>
            <w:r>
              <w:rPr>
                <w:rFonts w:ascii="Times New Roman" w:cs="Times New Roman" w:eastAsia="Times New Roman" w:hAnsi="Times New Roman"/>
                <w:sz w:val="29"/>
                <w:szCs w:val="29"/>
                <w:color w:val="auto"/>
                <w:w w:val="93"/>
                <w:vertAlign w:val="superscript"/>
              </w:rPr>
              <w:t>(10)</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ind w:left="300"/>
              <w:spacing w:after="0" w:line="270" w:lineRule="exact"/>
              <w:rPr>
                <w:sz w:val="20"/>
                <w:szCs w:val="20"/>
                <w:color w:val="auto"/>
              </w:rPr>
            </w:pPr>
            <w:r>
              <w:rPr>
                <w:rFonts w:ascii="Times New Roman" w:cs="Times New Roman" w:eastAsia="Times New Roman" w:hAnsi="Times New Roman"/>
                <w:sz w:val="18"/>
                <w:szCs w:val="18"/>
                <w:color w:val="auto"/>
                <w:w w:val="93"/>
              </w:rPr>
              <w:t>4,264</w:t>
            </w:r>
            <w:r>
              <w:rPr>
                <w:rFonts w:ascii="Times New Roman" w:cs="Times New Roman" w:eastAsia="Times New Roman" w:hAnsi="Times New Roman"/>
                <w:sz w:val="29"/>
                <w:szCs w:val="29"/>
                <w:color w:val="auto"/>
                <w:w w:val="93"/>
                <w:vertAlign w:val="superscript"/>
              </w:rPr>
              <w:t>(11)</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165,443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3" w:name="page34"/>
    <w:bookmarkEnd w:id="3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1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vMerge w:val="restart"/>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37"/>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14,488</w:t>
            </w:r>
          </w:p>
        </w:tc>
        <w:tc>
          <w:tcPr>
            <w:tcW w:w="220" w:type="dxa"/>
            <w:vAlign w:val="bottom"/>
          </w:tcPr>
          <w:p>
            <w:pPr>
              <w:spacing w:after="0"/>
              <w:rPr>
                <w:sz w:val="20"/>
                <w:szCs w:val="20"/>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$20.93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11,528</w:t>
            </w:r>
          </w:p>
        </w:tc>
        <w:tc>
          <w:tcPr>
            <w:tcW w:w="220" w:type="dxa"/>
            <w:vAlign w:val="bottom"/>
          </w:tcPr>
          <w:p>
            <w:pPr>
              <w:spacing w:after="0"/>
              <w:rPr>
                <w:sz w:val="21"/>
                <w:szCs w:val="21"/>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$19.62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bscript"/>
              </w:rPr>
              <w:t>707</w:t>
            </w:r>
            <w:r>
              <w:rPr>
                <w:rFonts w:ascii="Times New Roman" w:cs="Times New Roman" w:eastAsia="Times New Roman" w:hAnsi="Times New Roman"/>
                <w:sz w:val="15"/>
                <w:szCs w:val="15"/>
                <w:color w:val="auto"/>
              </w:rPr>
              <w:t>(12)</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27,432</w:t>
            </w: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1,595</w:t>
            </w:r>
            <w:r>
              <w:rPr>
                <w:rFonts w:ascii="Times New Roman" w:cs="Times New Roman" w:eastAsia="Times New Roman" w:hAnsi="Times New Roman"/>
                <w:sz w:val="29"/>
                <w:szCs w:val="29"/>
                <w:color w:val="auto"/>
                <w:vertAlign w:val="superscript"/>
              </w:rPr>
              <w:t>(13)</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61,886</w:t>
            </w: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ind w:right="48"/>
              <w:spacing w:after="0" w:line="284" w:lineRule="exact"/>
              <w:rPr>
                <w:sz w:val="20"/>
                <w:szCs w:val="20"/>
                <w:color w:val="auto"/>
              </w:rPr>
            </w:pPr>
            <w:r>
              <w:rPr>
                <w:rFonts w:ascii="Times New Roman" w:cs="Times New Roman" w:eastAsia="Times New Roman" w:hAnsi="Times New Roman"/>
                <w:sz w:val="18"/>
                <w:szCs w:val="18"/>
                <w:color w:val="auto"/>
              </w:rPr>
              <w:t>2,615</w:t>
            </w:r>
            <w:r>
              <w:rPr>
                <w:rFonts w:ascii="Times New Roman" w:cs="Times New Roman" w:eastAsia="Times New Roman" w:hAnsi="Times New Roman"/>
                <w:sz w:val="29"/>
                <w:szCs w:val="29"/>
                <w:color w:val="auto"/>
                <w:vertAlign w:val="superscript"/>
              </w:rPr>
              <w:t>(9)</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101,462</w:t>
            </w:r>
          </w:p>
        </w:tc>
        <w:tc>
          <w:tcPr>
            <w:tcW w:w="0" w:type="dxa"/>
            <w:vAlign w:val="bottom"/>
          </w:tcPr>
          <w:p>
            <w:pPr>
              <w:spacing w:after="0"/>
              <w:rPr>
                <w:sz w:val="1"/>
                <w:szCs w:val="1"/>
                <w:color w:val="auto"/>
              </w:rPr>
            </w:pPr>
          </w:p>
        </w:tc>
      </w:tr>
      <w:tr>
        <w:trPr>
          <w:trHeight w:val="285"/>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spacing w:after="0" w:line="284" w:lineRule="exact"/>
              <w:rPr>
                <w:sz w:val="20"/>
                <w:szCs w:val="20"/>
                <w:color w:val="auto"/>
              </w:rPr>
            </w:pPr>
            <w:r>
              <w:rPr>
                <w:rFonts w:ascii="Times New Roman" w:cs="Times New Roman" w:eastAsia="Times New Roman" w:hAnsi="Times New Roman"/>
                <w:sz w:val="18"/>
                <w:szCs w:val="18"/>
                <w:color w:val="auto"/>
              </w:rPr>
              <w:t>2,675</w:t>
            </w:r>
            <w:r>
              <w:rPr>
                <w:rFonts w:ascii="Times New Roman" w:cs="Times New Roman" w:eastAsia="Times New Roman" w:hAnsi="Times New Roman"/>
                <w:sz w:val="29"/>
                <w:szCs w:val="29"/>
                <w:color w:val="auto"/>
                <w:vertAlign w:val="superscript"/>
              </w:rPr>
              <w:t>(11)</w:t>
            </w:r>
          </w:p>
        </w:tc>
        <w:tc>
          <w:tcPr>
            <w:tcW w:w="1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103,790</w:t>
            </w:r>
          </w:p>
        </w:tc>
        <w:tc>
          <w:tcPr>
            <w:tcW w:w="0" w:type="dxa"/>
            <w:vAlign w:val="bottom"/>
          </w:tcPr>
          <w:p>
            <w:pPr>
              <w:spacing w:after="0"/>
              <w:rPr>
                <w:sz w:val="1"/>
                <w:szCs w:val="1"/>
                <w:color w:val="auto"/>
              </w:rPr>
            </w:pPr>
          </w:p>
        </w:tc>
      </w:tr>
      <w:tr>
        <w:trPr>
          <w:trHeight w:val="23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$12.24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$13.88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$16.93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$19.05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19,511</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$16.00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15,279</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$20.93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12,157</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$19.62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34"/>
                <w:szCs w:val="34"/>
                <w:color w:val="auto"/>
                <w:vertAlign w:val="subscript"/>
              </w:rPr>
              <w:t>745</w:t>
            </w:r>
            <w:r>
              <w:rPr>
                <w:rFonts w:ascii="Times New Roman" w:cs="Times New Roman" w:eastAsia="Times New Roman" w:hAnsi="Times New Roman"/>
                <w:sz w:val="15"/>
                <w:szCs w:val="15"/>
                <w:color w:val="auto"/>
              </w:rPr>
              <w:t>(12)</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28,906</w:t>
            </w:r>
          </w:p>
        </w:tc>
        <w:tc>
          <w:tcPr>
            <w:tcW w:w="0" w:type="dxa"/>
            <w:vAlign w:val="bottom"/>
          </w:tcPr>
          <w:p>
            <w:pPr>
              <w:spacing w:after="0"/>
              <w:rPr>
                <w:sz w:val="1"/>
                <w:szCs w:val="1"/>
                <w:color w:val="auto"/>
              </w:rPr>
            </w:pPr>
          </w:p>
        </w:tc>
      </w:tr>
      <w:tr>
        <w:trPr>
          <w:trHeight w:val="283"/>
        </w:trPr>
        <w:tc>
          <w:tcPr>
            <w:tcW w:w="1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1,595</w:t>
            </w:r>
            <w:r>
              <w:rPr>
                <w:rFonts w:ascii="Times New Roman" w:cs="Times New Roman" w:eastAsia="Times New Roman" w:hAnsi="Times New Roman"/>
                <w:sz w:val="29"/>
                <w:szCs w:val="29"/>
                <w:color w:val="auto"/>
                <w:vertAlign w:val="superscript"/>
              </w:rPr>
              <w:t>(13)</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61,886</w:t>
            </w:r>
          </w:p>
        </w:tc>
        <w:tc>
          <w:tcPr>
            <w:tcW w:w="0" w:type="dxa"/>
            <w:vAlign w:val="bottom"/>
          </w:tcPr>
          <w:p>
            <w:pPr>
              <w:spacing w:after="0"/>
              <w:rPr>
                <w:sz w:val="1"/>
                <w:szCs w:val="1"/>
                <w:color w:val="auto"/>
              </w:rPr>
            </w:pPr>
          </w:p>
        </w:tc>
      </w:tr>
      <w:tr>
        <w:trPr>
          <w:trHeight w:val="283"/>
        </w:trPr>
        <w:tc>
          <w:tcPr>
            <w:tcW w:w="1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48"/>
              <w:spacing w:after="0" w:line="284" w:lineRule="exact"/>
              <w:rPr>
                <w:sz w:val="20"/>
                <w:szCs w:val="20"/>
                <w:color w:val="auto"/>
              </w:rPr>
            </w:pPr>
            <w:r>
              <w:rPr>
                <w:rFonts w:ascii="Times New Roman" w:cs="Times New Roman" w:eastAsia="Times New Roman" w:hAnsi="Times New Roman"/>
                <w:sz w:val="18"/>
                <w:szCs w:val="18"/>
                <w:color w:val="auto"/>
              </w:rPr>
              <w:t>2,615</w:t>
            </w:r>
            <w:r>
              <w:rPr>
                <w:rFonts w:ascii="Times New Roman" w:cs="Times New Roman" w:eastAsia="Times New Roman" w:hAnsi="Times New Roman"/>
                <w:sz w:val="29"/>
                <w:szCs w:val="29"/>
                <w:color w:val="auto"/>
                <w:vertAlign w:val="superscript"/>
              </w:rPr>
              <w:t>(9)</w:t>
            </w:r>
          </w:p>
        </w:tc>
        <w:tc>
          <w:tcPr>
            <w:tcW w:w="12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101,462</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2,675</w:t>
            </w:r>
            <w:r>
              <w:rPr>
                <w:rFonts w:ascii="Times New Roman" w:cs="Times New Roman" w:eastAsia="Times New Roman" w:hAnsi="Times New Roman"/>
                <w:sz w:val="29"/>
                <w:szCs w:val="29"/>
                <w:color w:val="auto"/>
                <w:vertAlign w:val="superscript"/>
              </w:rPr>
              <w:t>(11)</w:t>
            </w:r>
          </w:p>
        </w:tc>
        <w:tc>
          <w:tcPr>
            <w:tcW w:w="12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103,790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right="29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computed by multiplying the number of restricted stock units that have not vested by $38.80, which was the closing price of a share of the Company’s common stock on December 31, 2025.</w:t>
      </w: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 January 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pro rata on a monthly basis over the 13 months beginning on January 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pro rata on a monthly basis over the 25 months beginning on January 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one-fourth on January 1, 2027 and then pro rata on a monthly basis over the next 36 months.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 January 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 February 16,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one-half on each of February 16, 2026 and February 16, 2027.</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one-third on each February 21st in 2026, 2027, and 2028.</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 February 19,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one-fourth on each February 19th in 2026, 2027, 2028, and 2029.</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 February 16,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one-half on each February 16th in 2026 and 2027.</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each of our NEOs regarding amounts paid to or received by our NEOs during the fiscal year ending December 31, 2025 as a result of the exercise of stock options or the release of vested stock awards.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3"/>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Pr>
          <w:p>
            <w:pPr>
              <w:spacing w:after="0"/>
              <w:rPr>
                <w:sz w:val="16"/>
                <w:szCs w:val="16"/>
                <w:color w:val="auto"/>
              </w:rPr>
            </w:pPr>
          </w:p>
        </w:tc>
        <w:tc>
          <w:tcPr>
            <w:tcW w:w="2320" w:type="dxa"/>
            <w:vAlign w:val="bottom"/>
            <w:gridSpan w:val="3"/>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6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Acquired Upon</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60" w:type="dxa"/>
            <w:vAlign w:val="bottom"/>
          </w:tcPr>
          <w:p>
            <w:pPr>
              <w:spacing w:after="0"/>
              <w:rPr>
                <w:sz w:val="13"/>
                <w:szCs w:val="13"/>
                <w:color w:val="auto"/>
              </w:rPr>
            </w:pPr>
          </w:p>
        </w:tc>
        <w:tc>
          <w:tcPr>
            <w:tcW w:w="11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3"/>
                <w:szCs w:val="13"/>
                <w:color w:val="auto"/>
              </w:rPr>
            </w:pP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6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Upon Vesting</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90"/>
        </w:trPr>
        <w:tc>
          <w:tcPr>
            <w:tcW w:w="328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2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2,348</w:t>
            </w:r>
          </w:p>
        </w:tc>
        <w:tc>
          <w:tcPr>
            <w:tcW w:w="13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93,004</w:t>
            </w:r>
          </w:p>
        </w:tc>
        <w:tc>
          <w:tcPr>
            <w:tcW w:w="13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4,263</w:t>
            </w:r>
          </w:p>
        </w:tc>
        <w:tc>
          <w:tcPr>
            <w:tcW w:w="11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148,480</w:t>
            </w:r>
          </w:p>
        </w:tc>
        <w:tc>
          <w:tcPr>
            <w:tcW w:w="0" w:type="dxa"/>
            <w:vAlign w:val="bottom"/>
          </w:tcPr>
          <w:p>
            <w:pPr>
              <w:spacing w:after="0"/>
              <w:rPr>
                <w:sz w:val="1"/>
                <w:szCs w:val="1"/>
                <w:color w:val="auto"/>
              </w:rPr>
            </w:pPr>
          </w:p>
        </w:tc>
      </w:tr>
      <w:tr>
        <w:trPr>
          <w:trHeight w:val="23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7,045</w:t>
            </w:r>
          </w:p>
        </w:tc>
        <w:tc>
          <w:tcPr>
            <w:tcW w:w="130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279,052</w:t>
            </w:r>
          </w:p>
        </w:tc>
        <w:tc>
          <w:tcPr>
            <w:tcW w:w="132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rPr>
              <w:t>8,526</w:t>
            </w:r>
          </w:p>
        </w:tc>
        <w:tc>
          <w:tcPr>
            <w:tcW w:w="116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296,961</w:t>
            </w:r>
          </w:p>
        </w:tc>
        <w:tc>
          <w:tcPr>
            <w:tcW w:w="0" w:type="dxa"/>
            <w:vAlign w:val="bottom"/>
          </w:tcPr>
          <w:p>
            <w:pPr>
              <w:spacing w:after="0"/>
              <w:rPr>
                <w:sz w:val="1"/>
                <w:szCs w:val="1"/>
                <w:color w:val="auto"/>
              </w:rPr>
            </w:pPr>
          </w:p>
        </w:tc>
      </w:tr>
      <w:tr>
        <w:trPr>
          <w:trHeight w:val="24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4,697</w:t>
            </w:r>
          </w:p>
        </w:tc>
        <w:tc>
          <w:tcPr>
            <w:tcW w:w="13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186,048</w:t>
            </w:r>
          </w:p>
        </w:tc>
        <w:tc>
          <w:tcPr>
            <w:tcW w:w="132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2,595</w:t>
            </w:r>
          </w:p>
        </w:tc>
        <w:tc>
          <w:tcPr>
            <w:tcW w:w="11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91,266</w:t>
            </w:r>
          </w:p>
        </w:tc>
        <w:tc>
          <w:tcPr>
            <w:tcW w:w="0" w:type="dxa"/>
            <w:vAlign w:val="bottom"/>
          </w:tcPr>
          <w:p>
            <w:pPr>
              <w:spacing w:after="0"/>
              <w:rPr>
                <w:sz w:val="1"/>
                <w:szCs w:val="1"/>
                <w:color w:val="auto"/>
              </w:rPr>
            </w:pPr>
          </w:p>
        </w:tc>
      </w:tr>
      <w:tr>
        <w:trPr>
          <w:trHeight w:val="23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4,697</w:t>
            </w:r>
          </w:p>
        </w:tc>
        <w:tc>
          <w:tcPr>
            <w:tcW w:w="13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186,048</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319" w:hanging="348"/>
        <w:spacing w:after="0" w:line="242"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restricted stock units that vested and released during 2025. The value of restricted unit awards was determined by multiplying the number of shares that were vested and released by the closing price of the Company’s common stock on the applicable vesting date.</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(Salary Continuation Plan)</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Non-qualified Deferred Compensation Plan</w:t>
      </w:r>
      <w:r>
        <w:rPr>
          <w:rFonts w:ascii="Times New Roman" w:cs="Times New Roman" w:eastAsia="Times New Roman" w:hAnsi="Times New Roman"/>
          <w:sz w:val="18"/>
          <w:szCs w:val="18"/>
          <w:color w:val="auto"/>
        </w:rPr>
        <w:t>. We sponsor a non-qualified, non-contributory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 or the 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and is slightly different in approach and design depending upon whether the agreement was entered into while the Company was privately held or entered into after the Company’s initial public offering. The Deferred Compensation Plan is unfunded.</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Effective January 1, 2008 and entered into prior to our initial public offering, the Company entered into an agreement under the Deferred Compensation Plan with Mr. Newsom. Mr. Newsom is 100% vested in his benefit and his benefit will be paid in cash only. Mr. Newsom’s agreement provides that he will receive a lifetime lump sum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Effective January 1, 2008 and entered into prior to our initial public offering, the Company entered into a restated agreement under the Deferred Compensation Plan with Mr. Crockett, most recently amended on March 15, 2024. Mr. Crockett is currently 100% vested in his benefits. His benefit will be paid in cash only. Mr. Crockett’s agreement provides that he will receive a lump sum lifetime annual benefit of $100,000 on the earlier to occur of (i) 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 be entitled to a lump sum benefit equal to his benefit liability balance as set forth in the Deferred Compensation Plan. In the event Mr. Crockett is terminated for cause (as defined in the Deferred Compensation Plan), dies after a separation from service, or violates any restrictive covenants set forth in the Deferred Compensation Plan, he will forfeit any and all benefits to which he would otherwise be entitled to receive under the Deferred Compensation Plan. In the event Mr. Crockett dies prior to a separation from service, Mr. Crockett’s beneficiary will receive (i) the lump sum amount of the separation from service benefit or disability benefit, subject to certain conditions, or (ii) the annual payments of the separation from service benefit following a change in control.</w:t>
      </w:r>
    </w:p>
    <w:p>
      <w:pPr>
        <w:spacing w:after="0" w:line="8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Effective October 1, 2022 and entered into after our initial public offering, the Company entered into a restated agreement under the Deferred Compensation Plan with Mr. Bates. Mr. Bates is currently 20% vested in his benefits. His benefit will be paid in cash only. Mr. Bates’s agreement provides that he will receive a lump sum annual benefit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$50,000 on achievement of retirement age (defined as age 65). The annual benefit will continue for a total of fifteen payments. If Mr. Bates experiences a separation from service or dies while employed, in each case prior to reaching retirement age, he or his beneficiary will be entitled to a lump sum benefit equal to his benefit liability balance as set forth in the Deferred Compensation Plan. In the event Mr. Bates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 In the event Mr. Bates dies after a separation from service, Mr. Bates’s beneficiary will receive any remaining annual benefit payments that Mr. Bates was entitled to receive.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Effective January 1, 2008 and entered into prior to our initial public offering, the Company entered into a restated agreement under the Deferred Compensation Plan with Mr. Ehlers. Mr. Ehlers is currently 100% vested in his benefits. His benefit will be paid in cash only. Mr. Ehlers’s agreement provides that he will receive a lump sum lifetime annual benefit of $40,320 on the earlier to occur of (i) achievement of retirement age (defined as age 65) and (ii) separation from service within two years following a change in control (as defined in the Deferred Compensation Plan). If Mr. Ehlers experiences a separation from service or becomes disabled while employed, in each case prior to reaching retirement age, he will be entitled to a lump sum benefit equal to his benefit liability balance as set forth in the Deferred Compensation Plan. In the event Mr. Ehlers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DEFERRED COMPENSATION</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2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Fiscal Year-End</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Last Fiscal</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Fiscal Year</w:t>
            </w: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Last Fiscal Year</w:t>
            </w:r>
          </w:p>
        </w:tc>
        <w:tc>
          <w:tcPr>
            <w:tcW w:w="1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 Year</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90"/>
        </w:trPr>
        <w:tc>
          <w:tcPr>
            <w:tcW w:w="2180" w:type="dxa"/>
            <w:vAlign w:val="bottom"/>
            <w:vMerge w:val="continue"/>
          </w:tcPr>
          <w:p>
            <w:pPr>
              <w:spacing w:after="0"/>
              <w:rPr>
                <w:sz w:val="16"/>
                <w:szCs w:val="16"/>
                <w:color w:val="auto"/>
              </w:rPr>
            </w:pPr>
          </w:p>
        </w:tc>
        <w:tc>
          <w:tcPr>
            <w:tcW w:w="1400" w:type="dxa"/>
            <w:vAlign w:val="bottom"/>
            <w:gridSpan w:val="2"/>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2,005,936</w:t>
            </w:r>
          </w:p>
        </w:tc>
        <w:tc>
          <w:tcPr>
            <w:tcW w:w="12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178,939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2,034,875</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229,786</w:t>
            </w:r>
          </w:p>
        </w:tc>
        <w:tc>
          <w:tcPr>
            <w:tcW w:w="12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59,740</w:t>
            </w:r>
          </w:p>
        </w:tc>
        <w:tc>
          <w:tcPr>
            <w:tcW w:w="120" w:type="dxa"/>
            <w:vAlign w:val="bottom"/>
          </w:tcPr>
          <w:p>
            <w:pPr>
              <w:spacing w:after="0"/>
              <w:rPr>
                <w:sz w:val="20"/>
                <w:szCs w:val="20"/>
                <w:color w:val="auto"/>
              </w:rPr>
            </w:pPr>
          </w:p>
        </w:tc>
        <w:tc>
          <w:tcPr>
            <w:tcW w:w="12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289,526</w:t>
            </w:r>
          </w:p>
        </w:tc>
        <w:tc>
          <w:tcPr>
            <w:tcW w:w="0" w:type="dxa"/>
            <w:vAlign w:val="bottom"/>
          </w:tcPr>
          <w:p>
            <w:pPr>
              <w:spacing w:after="0"/>
              <w:rPr>
                <w:sz w:val="1"/>
                <w:szCs w:val="1"/>
                <w:color w:val="auto"/>
              </w:rPr>
            </w:pPr>
          </w:p>
        </w:tc>
      </w:tr>
      <w:tr>
        <w:trPr>
          <w:trHeight w:val="247"/>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4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30,820</w:t>
            </w:r>
          </w:p>
        </w:tc>
        <w:tc>
          <w:tcPr>
            <w:tcW w:w="12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17,717</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48,537</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4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181,364</w:t>
            </w:r>
          </w:p>
        </w:tc>
        <w:tc>
          <w:tcPr>
            <w:tcW w:w="12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20,170</w:t>
            </w:r>
          </w:p>
        </w:tc>
        <w:tc>
          <w:tcPr>
            <w:tcW w:w="120" w:type="dxa"/>
            <w:vAlign w:val="bottom"/>
          </w:tcPr>
          <w:p>
            <w:pPr>
              <w:spacing w:after="0"/>
              <w:rPr>
                <w:sz w:val="20"/>
                <w:szCs w:val="20"/>
                <w:color w:val="auto"/>
              </w:rPr>
            </w:pPr>
          </w:p>
        </w:tc>
        <w:tc>
          <w:tcPr>
            <w:tcW w:w="12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201,534</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and Change in Control Severance Agreements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Mr. Cory T. Newsom and Mr. Curtis C. Griffith. Mr. Steven B. Crockett, Mr. Brent A. Bates, and Mr. Paul A. Ehlers are participants in the South Plains Financial, Inc. Executive Change in Control Severance Plan. The following is a summary of the material terms of each such agreement.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Cory T. Newsom</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Effective March 6, 2019, the Company and the Bank entered into an employment agreement with Mr. Newsom, which was amended on December 15, 2021, and again on November 5, 2024. Please refer to Exhibit 10.4 to our Registration Statement on Form S-1/A, filed with the SEC on April 29, 2019, Exhibit 10.2 to our Current Report on Form 8-K, filed with the SEC on December 21, 2021, and Exhibit 10.2 to our Quarterly Report on Form 10-Q, filed with the SEC on November 5, 2024, for copies of Mr. Newson’s employment agreement and the amendments to Mr. Newsom’s employment agreement. The key terms of Mr. Newsom’s employment agreement, as amended, are set forth below.</w:t>
      </w:r>
    </w:p>
    <w:p>
      <w:pPr>
        <w:spacing w:after="0" w:line="7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employment agreement has an initial three-year term and will automatically renew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unless we or Mr. Newsom provide 90-days’ advance notice of non-renewal.</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Service on the Board</w:t>
      </w:r>
      <w:r>
        <w:rPr>
          <w:rFonts w:ascii="Times New Roman" w:cs="Times New Roman" w:eastAsia="Times New Roman" w:hAnsi="Times New Roman"/>
          <w:sz w:val="18"/>
          <w:szCs w:val="18"/>
          <w:color w:val="auto"/>
        </w:rPr>
        <w:t>. Pursuant to the employment agreement, our board will nominate Mr. Newsom for re-election as a member of our board at the expiration of each then-current term and the board of the Bank will nominate Mr. Newsom for re-election as a member of its board at the expiration of each then-current term.</w:t>
      </w:r>
    </w:p>
    <w:p>
      <w:pPr>
        <w:spacing w:after="0" w:line="6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For fiscal year 2025, Mr. Newsom’s base salary was $720,000. Starting January 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cost-of-living adjustment of $24,000 shall be added to the base salary. He is eligible for an annual cash incentive bonus with a target amount equal to 50% of his base salary, and a maximum not to exceed 75% of his base salary. Mr. Newsom is also eligible for an additional performance-based cash bonus with an award opportunity of 25% of his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base salary. This performance-based annual cash bonus will be measured against certain criteria set forth in Attachment 1 to the amendment to Mr. Newsom’s employment agreement related to Mr. Newsom’s leadership and the growth of the Company and the Bank. The Compensation Committee will have full discretion to view the totality of the performance metrics when determining the extent to which a bonus should be earned by Mr. Newsom, and at the time of such determination the Compensation Committee has full discretion to decide the weighting of a metric vis-à-vis the other metrics.</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Mr. Newsom is eligible to receive benefits that are substantially similar to those of our other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to the extent Mr. Newsom is not able to fully participate in contributions of the Company to the 401(k) Plan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7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Equity Grants - RSU Award</w:t>
      </w:r>
      <w:r>
        <w:rPr>
          <w:rFonts w:ascii="Times New Roman" w:cs="Times New Roman" w:eastAsia="Times New Roman" w:hAnsi="Times New Roman"/>
          <w:sz w:val="18"/>
          <w:szCs w:val="18"/>
          <w:color w:val="auto"/>
        </w:rPr>
        <w:t>. Under the terms of the amendment to Mr. Newsom’s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Newsom will receive an annual grant of restricted stock units in an amount equal to $250,000 divided by the fair market value of the underlying stock as of the date of grant. The annual grant of restricted stock units will occur in January of each fiscal year and will contain a vesting schedule of one (1) year. No tax gross-up applies to the annual grant.</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Equity Grants - Stock Option Award</w:t>
      </w:r>
      <w:r>
        <w:rPr>
          <w:rFonts w:ascii="Times New Roman" w:cs="Times New Roman" w:eastAsia="Times New Roman" w:hAnsi="Times New Roman"/>
          <w:sz w:val="18"/>
          <w:szCs w:val="18"/>
          <w:color w:val="auto"/>
        </w:rPr>
        <w:t>. Pursuant to Mr. Newsom’s employment agreement, Mr. Newsom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received annual grants of incentive stock options to purchase Company common stock and Mr. Newsom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the grant, and the remainder vesting pro rata on a monthly basis over the next three years. The initial grants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Mr. Newsom’s employment agreement provides that, in the event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Upon a termination of Mr. Newsom’s employment due to “disability” (as defined in the employment agreement), he will be entitled to receive: (i) an amount equal to 2 times the sum of (x) his annual base salary and</w:t>
      </w:r>
    </w:p>
    <w:p>
      <w:pPr>
        <w:jc w:val="both"/>
        <w:ind w:left="300" w:right="299" w:hanging="8"/>
        <w:spacing w:after="0" w:line="251" w:lineRule="auto"/>
        <w:tabs>
          <w:tab w:leader="none" w:pos="5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Curtis C. Griffith</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December 18, 2019, the Company and the Bank entered into an employment agreement with Mr. Griffith, which was amended on December 15, 2021, and again on November 6, 2024. Please refer to Exhibit 10.1 to our Current Report on Form 8-K, filed with the SEC on December 19, 2019, Exhibit 10.1 to our Current Report on Form 8-K, filed with the SEC on December 21, 2021, and Exhibit 10.1 to our Quarterly Report on Form 10-Q, filed with the SEC on November 6, 2024, for copies of Mr. Griffith’s employment agreement and the amendments to Mr. Griffith’s employment agreement. The key terms of Mr. Griffith’s employment agreement, as amended, are set forth below.</w:t>
      </w:r>
    </w:p>
    <w:p>
      <w:pPr>
        <w:spacing w:after="0" w:line="7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employment agreement has an initial three-year term and will automatically renew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unless we or Mr. Griffith provide 90-days’ advance notice of non-renewal.</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Service on the Board</w:t>
      </w:r>
      <w:r>
        <w:rPr>
          <w:rFonts w:ascii="Times New Roman" w:cs="Times New Roman" w:eastAsia="Times New Roman" w:hAnsi="Times New Roman"/>
          <w:sz w:val="18"/>
          <w:szCs w:val="18"/>
          <w:color w:val="auto"/>
        </w:rPr>
        <w:t>. Pursuant to the employment agreement, our board will nominate Mr. Griffith for re-election as a member of our board at the expiration of each then-current term and the board of the Bank will nominate Mr. Griffith for re-election as a member of its board at the expiration of each then-current term.</w:t>
      </w:r>
    </w:p>
    <w:p>
      <w:pPr>
        <w:spacing w:after="0" w:line="6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For fiscal year 2025, Mr. Griffith’s base salary was $425,000. Starting January 1, 2026,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cost-of-living adjustment of $14,200 shall be added to the base salary. He is eligible for an annual cash incentive bonus with a target amount equal to 50% of his base salary, and a maximum not to exceed 100% of his base salary.</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Mr. Griffith is eligible to receive benefits that are substantially similar to those of our other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to the extent Mr. Griffith is not able to fully participate in contributions of the Company to the 401(k) Plan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 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w:t>
      </w:r>
    </w:p>
    <w:p>
      <w:pPr>
        <w:spacing w:after="0" w:line="7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Equity Grants - RSU Award</w:t>
      </w:r>
      <w:r>
        <w:rPr>
          <w:rFonts w:ascii="Times New Roman" w:cs="Times New Roman" w:eastAsia="Times New Roman" w:hAnsi="Times New Roman"/>
          <w:sz w:val="18"/>
          <w:szCs w:val="18"/>
          <w:color w:val="auto"/>
        </w:rPr>
        <w:t>. Under the terms of the amendment to Mr. Griffith’s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Griffith will receive an annual grant of restricted stock units in an amount equal to $125,000 divided by the fair market value of the underlying stock as of the date of grant. The annual grant of restricted stock units will occur in January of each fiscal year and will contain a vesting schedule of one (1) year.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Equity Grants - Stock Option Award</w:t>
      </w:r>
      <w:r>
        <w:rPr>
          <w:rFonts w:ascii="Times New Roman" w:cs="Times New Roman" w:eastAsia="Times New Roman" w:hAnsi="Times New Roman"/>
          <w:sz w:val="18"/>
          <w:szCs w:val="18"/>
          <w:color w:val="auto"/>
        </w:rPr>
        <w:t>. Pursuant to Mr. Griffith’s employment agreement, Mr. Griffith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annual grants of incentive stock options to purchase Company common stock and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grant, and the remainder vesting pro rata on a monthly basis over the next three years. The initial grants of stock options will vest in full upon the earlier of: (i) Mr. Griffith’s “disability” (as defined in the employment agreement), (ii) Mr. Griffith’s death, (iii) immediately prior to a “change in control” (as defined in the 2019 Plan),</w:t>
      </w:r>
    </w:p>
    <w:p>
      <w:pPr>
        <w:spacing w:after="0" w:line="3" w:lineRule="exact"/>
        <w:rPr>
          <w:sz w:val="20"/>
          <w:szCs w:val="20"/>
          <w:color w:val="auto"/>
        </w:rPr>
      </w:pPr>
    </w:p>
    <w:p>
      <w:pPr>
        <w:ind w:left="300" w:right="299" w:hanging="8"/>
        <w:spacing w:after="0" w:line="260" w:lineRule="auto"/>
        <w:tabs>
          <w:tab w:leader="none" w:pos="6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Griffith terminating his service with the Bank for “good reason” (as defined in the employment agreement), or (v) the Company terminating Mr. Griffith’s employment with “cause” (as defined in the employment agreement).</w:t>
      </w:r>
    </w:p>
    <w:p>
      <w:pPr>
        <w:spacing w:after="0" w:line="71"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Mr. Griffith’s employment agreement provides that, in the event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by us without “cause” (as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w:t>
      </w:r>
    </w:p>
    <w:p>
      <w:pPr>
        <w:spacing w:after="0" w:line="8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Severance Plan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Effective July 15, 2020, the board approved the South Plains Financial, Inc. Executive Change in Control Severance Plan (the “Severance Plan”), which provides benefits to eligible employees in the event of certain terminations of employment in connection with a “change in control” (as defined in the Severance Plan). The Compensation Committee of the board selected Mr. Steven B. Crockett, Mr. Brent A. Bates, and Mr. Paul A. Ehlers to participate in the Severance Plan.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Crockett provide that if an involuntary termination of Mr. Crockett’s employment (other than for death, disability or “cause” (as defined in the Severance Plan)) or a resignation by Mr. Crockett for “good reason” (as defined in the Severance Plan) occurs during the twenty-four (24)-month period immediately following a change in control, then Mr. Crockett will be entitled to: (a) a single lump sum payment equal the sum of: (i) 1.5x his annual base salary; (ii) a pro-rata target annual bonus for the year in which the termination occurs; and (iii) 1.5x the annual total premium cost to cover Mr. Crockett and his eligible dependents, to the extent they were covered as of the termination date, under the Company’s health plan, plus (b) the acceleration of Mr. Crockett’s “equity awards” (as defined in the Severance Plan), with the performance goals relating to performance-based equity awards deemed achieved at target levels.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Crockett under the Severance Plan together with any other payments the eligible employee has the right to receive would constitute a “parachute payment” under Section 280G of the Code, Mr. Crockett’s payments and benefits under the Severance Plan will be either (a) reduced (but not below zero) so that the present value of such total amounts and benefits will be $1.00 less than three (3) times the Mr. Crockett’s “base amount” (as defined in Section 280G(b)(3) of the Code) and so that no portion of such amounts will be subject to the excise tax imposed by Section 4999 of the Code, or (b) paid in full, whichever produces the better “net after-tax position” to Mr. Crockett.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Bates provide that if an involuntary termination of Mr. Bates’s employment (other than for death, disability or “cause” (as defined in the Severance Plan)) or a resignation by Mr. Bates for “good reason” (as defined in the Severance Plan) occurs during the twenty-four (24)-month period immediately following a change in control, then Mr. Bates will be entitled to: (a) a single lump sum payment equal the sum of: (i) 1.5x his annual base salary; (ii) a pro-rata target annual bonus for the year in which the termination occurs; and (iii) 1.5x the annual total premium cost to cover Mr. Bates and his eligible dependents, to the extent they were covered as of the termination date, under the Company’s health plan, plus (b)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acceleration of Mr. Bates’s “equity awards” (as defined in the Severance Plan), with the performance goals relating to performance-based equity awards deemed achieved at target levels.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Bates under the Severance Plan together with any other payments the eligible employee has the right to receive would constitute a “parachute payment” under Section 280G of the Code, Mr. Bates’s payments and benefits under the Severance Plan will be either (a) reduced (but not below zero) so that the present value of such total amounts and benefits will be $1.00 less than three (3) times the Mr. Bates’s “base amount” (as defined in Section 280G(b)(3) of the Code) and so that no portion of such amounts will be subject to the excise tax imposed by Section 4999 of the Code, or (b) paid in full, whichever produces the better “net after-tax position” to Mr. Bates.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Ehlers provide that if an involuntary termination of Mr. Ehlers’s employment (other than for death, disability or “cause” (as defined in the Severance Plan)) or a resignation by Mr. Ehlers for “good reason” (as defined in the Severance Plan) occurs during the twenty-four (24)-month period immediately following a change in control, then Mr. Ehlers will be entitled to: (a) a single lump sum payment equal the sum of: (i) 1.5x his annual base salary; (ii) a pro-rata target annual bonus for the year in which the termination occurs; and (iii) 1.5x the annual total premium cost to cover Mr. Ehlers and his eligible dependents, to the extent they were covered as of the termination date, under the Company’s health plan, plus (b) the acceleration of Mr. Ehlers’s “equity awards” (as defined in the Severance Plan), with the performance goals relating to performance-based equity awards deemed achieved at target levels.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Ehlers under the Severance Plan together with any other payments the eligible employee has the right to receive would constitute a “parachute payment” under Section 280G of the Code, Mr. Ehlers’s payments and benefits under the Severance Plan will be either (a) reduced (but not below zero) so that the present value of such total amounts and benefits will be $1.00 less than three (3) times the Mr. Ehlers’s “base amount” (as defined in Section 280G(b)(3) of the Code) and so that no portion of such amounts will be subject to the excise tax imposed by Section 4999 of the Code, or (b) paid in full, whichever produces the better “net after-tax position” to Mr. Ehlers.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 upon Termination or Change in Control</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Without Cause or Resignation With Good Reason</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NEO’s employment was terminated by the Company without cause or by the NEO upon a resignation with good reason as of December 31, 2025:</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Times New Roman" w:cs="Times New Roman" w:eastAsia="Times New Roman" w:hAnsi="Times New Roman"/>
                <w:sz w:val="13"/>
                <w:szCs w:val="13"/>
                <w:b w:val="1"/>
                <w:bCs w:val="1"/>
                <w:color w:val="auto"/>
              </w:rPr>
              <w:t>Cash Severance</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Acceleration</w:t>
            </w:r>
            <w:r>
              <w:rPr>
                <w:rFonts w:ascii="Times New Roman" w:cs="Times New Roman" w:eastAsia="Times New Roman" w:hAnsi="Times New Roman"/>
                <w:sz w:val="20"/>
                <w:szCs w:val="20"/>
                <w:b w:val="1"/>
                <w:bCs w:val="1"/>
                <w:color w:val="auto"/>
                <w:vertAlign w:val="superscript"/>
              </w:rPr>
              <w:t>(2)</w:t>
            </w:r>
          </w:p>
        </w:tc>
        <w:tc>
          <w:tcPr>
            <w:tcW w:w="160" w:type="dxa"/>
            <w:vAlign w:val="bottom"/>
          </w:tcPr>
          <w:p>
            <w:pPr>
              <w:spacing w:after="0"/>
              <w:rPr>
                <w:sz w:val="15"/>
                <w:szCs w:val="15"/>
                <w:color w:val="auto"/>
              </w:rPr>
            </w:pPr>
          </w:p>
        </w:tc>
        <w:tc>
          <w:tcPr>
            <w:tcW w:w="13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Continuation Plan</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Plan Coverage</w:t>
            </w:r>
            <w:r>
              <w:rPr>
                <w:rFonts w:ascii="Times New Roman" w:cs="Times New Roman" w:eastAsia="Times New Roman" w:hAnsi="Times New Roman"/>
                <w:sz w:val="20"/>
                <w:szCs w:val="20"/>
                <w:b w:val="1"/>
                <w:bCs w:val="1"/>
                <w:color w:val="auto"/>
                <w:vertAlign w:val="superscript"/>
              </w:rPr>
              <w:t>(4)</w:t>
            </w:r>
          </w:p>
        </w:tc>
        <w:tc>
          <w:tcPr>
            <w:tcW w:w="1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132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1,275,000</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302,216</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1,647,157</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3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2,160,000</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542,955</w:t>
            </w:r>
          </w:p>
        </w:tc>
        <w:tc>
          <w:tcPr>
            <w:tcW w:w="146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4,050,000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110,904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6,863,859</w:t>
            </w:r>
          </w:p>
        </w:tc>
        <w:tc>
          <w:tcPr>
            <w:tcW w:w="0" w:type="dxa"/>
            <w:vAlign w:val="bottom"/>
          </w:tcPr>
          <w:p>
            <w:pPr>
              <w:spacing w:after="0"/>
              <w:rPr>
                <w:sz w:val="1"/>
                <w:szCs w:val="1"/>
                <w:color w:val="auto"/>
              </w:rPr>
            </w:pPr>
          </w:p>
        </w:tc>
      </w:tr>
      <w:tr>
        <w:trPr>
          <w:trHeight w:val="24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492,464</w:t>
            </w:r>
          </w:p>
        </w:tc>
        <w:tc>
          <w:tcPr>
            <w:tcW w:w="146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445,261</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937,725</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60" w:type="dxa"/>
            <w:vAlign w:val="bottom"/>
          </w:tcPr>
          <w:p>
            <w:pPr>
              <w:spacing w:after="0"/>
              <w:rPr>
                <w:sz w:val="20"/>
                <w:szCs w:val="20"/>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294,570</w:t>
            </w:r>
          </w:p>
        </w:tc>
        <w:tc>
          <w:tcPr>
            <w:tcW w:w="146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7,160</w:t>
            </w:r>
          </w:p>
        </w:tc>
        <w:tc>
          <w:tcPr>
            <w:tcW w:w="160" w:type="dxa"/>
            <w:vAlign w:val="bottom"/>
          </w:tcPr>
          <w:p>
            <w:pPr>
              <w:spacing w:after="0"/>
              <w:rPr>
                <w:sz w:val="20"/>
                <w:szCs w:val="20"/>
                <w:color w:val="auto"/>
              </w:rPr>
            </w:pP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301,730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296,044</w:t>
            </w:r>
          </w:p>
        </w:tc>
        <w:tc>
          <w:tcPr>
            <w:tcW w:w="146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136,989</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433,033</w:t>
            </w:r>
          </w:p>
        </w:tc>
        <w:tc>
          <w:tcPr>
            <w:tcW w:w="0" w:type="dxa"/>
            <w:vAlign w:val="bottom"/>
          </w:tcPr>
          <w:p>
            <w:pPr>
              <w:spacing w:after="0"/>
              <w:rPr>
                <w:sz w:val="1"/>
                <w:szCs w:val="1"/>
                <w:color w:val="auto"/>
              </w:rPr>
            </w:pPr>
          </w:p>
        </w:tc>
      </w:tr>
      <w:tr>
        <w:trPr>
          <w:trHeight w:val="54"/>
        </w:trPr>
        <w:tc>
          <w:tcPr>
            <w:tcW w:w="2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current base salaries and target bonus amounts for 2025.</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for unvested or unreleased restricted stock units calculated based on restricted stock unit awards outstanding as of December 31, 2025 and share price as of December 31, 2025. Equity acceleration for unvested stock options calculated based on stock option awards outstanding as of December 31, 2025 and the share price as of December 31, 2025 less the exercise price of the options.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2025, is shown above under the heading “Deferred Compensation (Salary Continuation Plan)” and “Nonqualified Deferred Compensation”. The enhanced benefit amount shown in this table is the total amount of the annual payments that would be payable to each executive, if they have achieved the retirement age defined in their agreement, based upon an assumed mortality of age 85. For Mr. Newsom, the annual payment of $150,000 would be made for 27 more years. For the other NEOs, the disclosed amount is the lump sum benefit equal to the benefit liability balance as set forth in the respective agreement.</w:t>
      </w:r>
    </w:p>
    <w:p>
      <w:pPr>
        <w:spacing w:after="0" w:line="14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monthly premium to continue existing healthcare coverage under COBRA at December 31,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Disability</w:t>
      </w:r>
    </w:p>
    <w:p>
      <w:pPr>
        <w:spacing w:after="0" w:line="11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 had become disabled as of December 31, 2025:</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Times New Roman" w:cs="Times New Roman" w:eastAsia="Times New Roman" w:hAnsi="Times New Roman"/>
                <w:sz w:val="13"/>
                <w:szCs w:val="13"/>
                <w:b w:val="1"/>
                <w:bCs w:val="1"/>
                <w:color w:val="auto"/>
              </w:rPr>
              <w:t>Cash Severance</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Acceleration</w:t>
            </w:r>
            <w:r>
              <w:rPr>
                <w:rFonts w:ascii="Times New Roman" w:cs="Times New Roman" w:eastAsia="Times New Roman" w:hAnsi="Times New Roman"/>
                <w:sz w:val="20"/>
                <w:szCs w:val="20"/>
                <w:b w:val="1"/>
                <w:bCs w:val="1"/>
                <w:color w:val="auto"/>
                <w:vertAlign w:val="superscript"/>
              </w:rPr>
              <w:t>(2)</w:t>
            </w:r>
          </w:p>
        </w:tc>
        <w:tc>
          <w:tcPr>
            <w:tcW w:w="160" w:type="dxa"/>
            <w:vAlign w:val="bottom"/>
          </w:tcPr>
          <w:p>
            <w:pPr>
              <w:spacing w:after="0"/>
              <w:rPr>
                <w:sz w:val="15"/>
                <w:szCs w:val="15"/>
                <w:color w:val="auto"/>
              </w:rPr>
            </w:pPr>
          </w:p>
        </w:tc>
        <w:tc>
          <w:tcPr>
            <w:tcW w:w="13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Continuation Plan</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Plan Coverage</w:t>
            </w:r>
            <w:r>
              <w:rPr>
                <w:rFonts w:ascii="Times New Roman" w:cs="Times New Roman" w:eastAsia="Times New Roman" w:hAnsi="Times New Roman"/>
                <w:sz w:val="20"/>
                <w:szCs w:val="20"/>
                <w:b w:val="1"/>
                <w:bCs w:val="1"/>
                <w:color w:val="auto"/>
                <w:vertAlign w:val="superscript"/>
              </w:rPr>
              <w:t>(4)</w:t>
            </w:r>
          </w:p>
        </w:tc>
        <w:tc>
          <w:tcPr>
            <w:tcW w:w="1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132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1,275,000</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302,216</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1,647,157</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3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2,160,000</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542,955</w:t>
            </w: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4,050,000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110,904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6,863,859</w:t>
            </w:r>
          </w:p>
        </w:tc>
        <w:tc>
          <w:tcPr>
            <w:tcW w:w="0" w:type="dxa"/>
            <w:vAlign w:val="bottom"/>
          </w:tcPr>
          <w:p>
            <w:pPr>
              <w:spacing w:after="0"/>
              <w:rPr>
                <w:sz w:val="1"/>
                <w:szCs w:val="1"/>
                <w:color w:val="auto"/>
              </w:rPr>
            </w:pPr>
          </w:p>
        </w:tc>
      </w:tr>
      <w:tr>
        <w:trPr>
          <w:trHeight w:val="24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492,464</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445,261</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937,725</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60" w:type="dxa"/>
            <w:vAlign w:val="bottom"/>
          </w:tcPr>
          <w:p>
            <w:pPr>
              <w:spacing w:after="0"/>
              <w:rPr>
                <w:sz w:val="20"/>
                <w:szCs w:val="20"/>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294,570</w:t>
            </w:r>
          </w:p>
        </w:tc>
        <w:tc>
          <w:tcPr>
            <w:tcW w:w="160" w:type="dxa"/>
            <w:vAlign w:val="bottom"/>
          </w:tcPr>
          <w:p>
            <w:pPr>
              <w:spacing w:after="0"/>
              <w:rPr>
                <w:sz w:val="20"/>
                <w:szCs w:val="20"/>
                <w:color w:val="auto"/>
              </w:rPr>
            </w:pPr>
          </w:p>
        </w:tc>
        <w:tc>
          <w:tcPr>
            <w:tcW w:w="130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294,570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296,044</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136,989</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433,033</w:t>
            </w:r>
          </w:p>
        </w:tc>
        <w:tc>
          <w:tcPr>
            <w:tcW w:w="0" w:type="dxa"/>
            <w:vAlign w:val="bottom"/>
          </w:tcPr>
          <w:p>
            <w:pPr>
              <w:spacing w:after="0"/>
              <w:rPr>
                <w:sz w:val="1"/>
                <w:szCs w:val="1"/>
                <w:color w:val="auto"/>
              </w:rPr>
            </w:pPr>
          </w:p>
        </w:tc>
      </w:tr>
      <w:tr>
        <w:trPr>
          <w:trHeight w:val="54"/>
        </w:trPr>
        <w:tc>
          <w:tcPr>
            <w:tcW w:w="2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current base salaries and target bonus amounts for 2025.</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for unvested or unreleased restricted stock units calculated based on restricted stock unit awards outstanding as of December 31, 2025 and share price as of December 31, 2025. Equity acceleration for unvested stock options calculated based on stock option awards outstanding as of December 31, 2025 and the share price as of December 31, 2025 less the exercise price of the options.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2025, is shown above under the heading “Deferred Compensation (Salary Continuation Plan)” and “Nonqualified Deferred Compensation”. The enhanced benefit amount shown in this table is the total amount of the annual payments that would be payable to each executive, if they have achieved the retirement age defined in their agreement, based upon an assumed mortality of age 85. For Mr. Newsom, the annual payment of $150,000 would be made for 27 more years. For the other NEOs, the disclosed amount is the lump sum benefit equal to the benefit liability balance as set forth in the respective agreement.</w:t>
      </w:r>
    </w:p>
    <w:p>
      <w:pPr>
        <w:spacing w:after="0" w:line="14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monthly premium to continue existing healthcare coverage under COBRA at December 31, 2025.</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Death</w:t>
      </w:r>
    </w:p>
    <w:p>
      <w:pPr>
        <w:spacing w:after="0" w:line="11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 had died as of December 31,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Acceleration</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Coverage</w:t>
            </w: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rPr>
              <w:t>Continuation Plan</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4"/>
                <w:szCs w:val="14"/>
                <w:b w:val="1"/>
                <w:bCs w:val="1"/>
                <w:color w:val="auto"/>
              </w:rPr>
              <w:t xml:space="preserve"> ($)</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302,216</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302,216</w:t>
            </w: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542,955</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542,955</w:t>
            </w:r>
          </w:p>
        </w:tc>
        <w:tc>
          <w:tcPr>
            <w:tcW w:w="0" w:type="dxa"/>
            <w:vAlign w:val="bottom"/>
          </w:tcPr>
          <w:p>
            <w:pPr>
              <w:spacing w:after="0"/>
              <w:rPr>
                <w:sz w:val="1"/>
                <w:szCs w:val="1"/>
                <w:color w:val="auto"/>
              </w:rPr>
            </w:pPr>
          </w:p>
        </w:tc>
      </w:tr>
      <w:tr>
        <w:trPr>
          <w:trHeight w:val="24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492,464</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492,464</w:t>
            </w: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294,570</w:t>
            </w:r>
          </w:p>
        </w:tc>
        <w:tc>
          <w:tcPr>
            <w:tcW w:w="2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294,570</w:t>
            </w: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296,044</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296,044</w:t>
            </w:r>
          </w:p>
        </w:tc>
        <w:tc>
          <w:tcPr>
            <w:tcW w:w="0" w:type="dxa"/>
            <w:vAlign w:val="bottom"/>
          </w:tcPr>
          <w:p>
            <w:pPr>
              <w:spacing w:after="0"/>
              <w:rPr>
                <w:sz w:val="1"/>
                <w:szCs w:val="1"/>
                <w:color w:val="auto"/>
              </w:rPr>
            </w:pPr>
          </w:p>
        </w:tc>
      </w:tr>
      <w:tr>
        <w:trPr>
          <w:trHeight w:val="54"/>
        </w:trPr>
        <w:tc>
          <w:tcPr>
            <w:tcW w:w="2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for unvested or unreleased restricted stock units calculated based on restricted stock unit awards outstanding as of December 31, 2025 and share price as of December 31, 2025. Equity acceleration for unvested stock options calculated based on stock option awards outstanding as of December 31, 2025 and the share price as of December 31, 2025 less the exercise price of the options.</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2025, is shown above under the heading “Deferred Compensation (Salary Continuation Plan)” and “Nonqualified Deferred Compensation”.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in connection with a change in control:</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200" w:type="dxa"/>
            <w:vAlign w:val="bottom"/>
          </w:tcPr>
          <w:p>
            <w:pPr>
              <w:spacing w:after="0"/>
              <w:rPr>
                <w:sz w:val="12"/>
                <w:szCs w:val="12"/>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Acceleration</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spacing w:after="0"/>
              <w:rPr>
                <w:sz w:val="13"/>
                <w:szCs w:val="13"/>
                <w:color w:val="auto"/>
              </w:rPr>
            </w:pPr>
          </w:p>
        </w:tc>
        <w:tc>
          <w:tcPr>
            <w:tcW w:w="130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Continuation Plan</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Plan Coverage</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12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8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302,216</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302,216</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542,955</w:t>
            </w:r>
          </w:p>
        </w:tc>
        <w:tc>
          <w:tcPr>
            <w:tcW w:w="1520" w:type="dxa"/>
            <w:vAlign w:val="bottom"/>
            <w:gridSpan w:val="2"/>
          </w:tcPr>
          <w:p>
            <w:pPr>
              <w:jc w:val="right"/>
              <w:ind w:right="243"/>
              <w:spacing w:after="0"/>
              <w:rPr>
                <w:sz w:val="20"/>
                <w:szCs w:val="20"/>
                <w:color w:val="auto"/>
              </w:rPr>
            </w:pPr>
            <w:r>
              <w:rPr>
                <w:rFonts w:ascii="Times New Roman" w:cs="Times New Roman" w:eastAsia="Times New Roman" w:hAnsi="Times New Roman"/>
                <w:sz w:val="18"/>
                <w:szCs w:val="18"/>
                <w:color w:val="auto"/>
              </w:rPr>
              <w:t>4,050,000</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4,592,955</w:t>
            </w:r>
          </w:p>
        </w:tc>
        <w:tc>
          <w:tcPr>
            <w:tcW w:w="0" w:type="dxa"/>
            <w:vAlign w:val="bottom"/>
          </w:tcPr>
          <w:p>
            <w:pPr>
              <w:spacing w:after="0"/>
              <w:rPr>
                <w:sz w:val="1"/>
                <w:szCs w:val="1"/>
                <w:color w:val="auto"/>
              </w:rPr>
            </w:pPr>
          </w:p>
        </w:tc>
      </w:tr>
      <w:tr>
        <w:trPr>
          <w:trHeight w:val="24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492,464</w:t>
            </w:r>
          </w:p>
        </w:tc>
        <w:tc>
          <w:tcPr>
            <w:tcW w:w="152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2,100,000</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2,592,464</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294,570</w:t>
            </w:r>
          </w:p>
        </w:tc>
        <w:tc>
          <w:tcPr>
            <w:tcW w:w="220" w:type="dxa"/>
            <w:vAlign w:val="bottom"/>
          </w:tcPr>
          <w:p>
            <w:pPr>
              <w:spacing w:after="0"/>
              <w:rPr>
                <w:sz w:val="20"/>
                <w:szCs w:val="20"/>
                <w:color w:val="auto"/>
              </w:rPr>
            </w:pPr>
          </w:p>
        </w:tc>
        <w:tc>
          <w:tcPr>
            <w:tcW w:w="1300" w:type="dxa"/>
            <w:vAlign w:val="bottom"/>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294,570</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296,044</w:t>
            </w:r>
          </w:p>
        </w:tc>
        <w:tc>
          <w:tcPr>
            <w:tcW w:w="152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846,720</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1,142,764</w:t>
            </w:r>
          </w:p>
        </w:tc>
        <w:tc>
          <w:tcPr>
            <w:tcW w:w="0" w:type="dxa"/>
            <w:vAlign w:val="bottom"/>
          </w:tcPr>
          <w:p>
            <w:pPr>
              <w:spacing w:after="0"/>
              <w:rPr>
                <w:sz w:val="1"/>
                <w:szCs w:val="1"/>
                <w:color w:val="auto"/>
              </w:rPr>
            </w:pPr>
          </w:p>
        </w:tc>
      </w:tr>
      <w:tr>
        <w:trPr>
          <w:trHeight w:val="54"/>
        </w:trPr>
        <w:tc>
          <w:tcPr>
            <w:tcW w:w="23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for unvested or unreleased restricted stock units calculated based on restricted stock unit awards outstanding as of December 31, 2025 and share price as of December 31, 2025. Equity acceleration for unvested stock options calculated based on stock option awards outstanding as of December 31, 2025 and the share price as of December 31, 2025 less the exercise price of the options.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2025, is shown above under the heading “Deferred Compensation (Salary Continuation Plan)” and “Nonqualified Deferred Compensation”. The enhanced benefit amount shown in this table is the total amount of the annual payments that would be payable to each executive, based upon an assumed mortality of age 85. For Mr. Newsom, the annual payment of $150,000 would be made for 27 more years; for Mr. Crockett, the annual payment of $100,000 would be made for 21 years once he reaches age 65; and for Mr. Ehlers, the annual payment of $40,320 would be made for 21 years once he reaches age 65.</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Without Cause or Resignation With Good Reason in connection with a Change in Control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cost that the Company would have incurred and the payments the NEOs would have received if the NEO’s employment was terminated by the Company without cause or by the NEO upon a resignation with good reason as of December 31, 2025 in connection with a change in control:</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1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 Health</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Times New Roman" w:cs="Times New Roman" w:eastAsia="Times New Roman" w:hAnsi="Times New Roman"/>
                <w:sz w:val="13"/>
                <w:szCs w:val="13"/>
                <w:b w:val="1"/>
                <w:bCs w:val="1"/>
                <w:color w:val="auto"/>
              </w:rPr>
              <w:t>Cash Severance</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96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Acceleration</w:t>
            </w:r>
            <w:r>
              <w:rPr>
                <w:rFonts w:ascii="Times New Roman" w:cs="Times New Roman" w:eastAsia="Times New Roman" w:hAnsi="Times New Roman"/>
                <w:sz w:val="20"/>
                <w:szCs w:val="20"/>
                <w:b w:val="1"/>
                <w:bCs w:val="1"/>
                <w:color w:val="auto"/>
                <w:vertAlign w:val="superscript"/>
              </w:rPr>
              <w:t>(2)</w:t>
            </w:r>
          </w:p>
        </w:tc>
        <w:tc>
          <w:tcPr>
            <w:tcW w:w="160" w:type="dxa"/>
            <w:vAlign w:val="bottom"/>
          </w:tcPr>
          <w:p>
            <w:pPr>
              <w:spacing w:after="0"/>
              <w:rPr>
                <w:sz w:val="15"/>
                <w:szCs w:val="15"/>
                <w:color w:val="auto"/>
              </w:rPr>
            </w:pPr>
          </w:p>
        </w:tc>
        <w:tc>
          <w:tcPr>
            <w:tcW w:w="130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Continuation Plan</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Plan Coverage</w:t>
            </w:r>
            <w:r>
              <w:rPr>
                <w:rFonts w:ascii="Times New Roman" w:cs="Times New Roman" w:eastAsia="Times New Roman" w:hAnsi="Times New Roman"/>
                <w:sz w:val="20"/>
                <w:szCs w:val="20"/>
                <w:b w:val="1"/>
                <w:bCs w:val="1"/>
                <w:color w:val="auto"/>
                <w:vertAlign w:val="superscript"/>
              </w:rPr>
              <w:t>(4)</w:t>
            </w:r>
          </w:p>
        </w:tc>
        <w:tc>
          <w:tcPr>
            <w:tcW w:w="1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132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1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1,912,500</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302,216</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104,912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2,319,628</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13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3,240,000</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542,955</w:t>
            </w: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4,050,000</w:t>
            </w:r>
          </w:p>
        </w:tc>
        <w:tc>
          <w:tcPr>
            <w:tcW w:w="12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166,357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7,999,311</w:t>
            </w:r>
          </w:p>
        </w:tc>
        <w:tc>
          <w:tcPr>
            <w:tcW w:w="0" w:type="dxa"/>
            <w:vAlign w:val="bottom"/>
          </w:tcPr>
          <w:p>
            <w:pPr>
              <w:spacing w:after="0"/>
              <w:rPr>
                <w:sz w:val="1"/>
                <w:szCs w:val="1"/>
                <w:color w:val="auto"/>
              </w:rPr>
            </w:pPr>
          </w:p>
        </w:tc>
      </w:tr>
      <w:tr>
        <w:trPr>
          <w:trHeight w:val="24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1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712,500</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492,464</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2,000,000</w:t>
            </w:r>
          </w:p>
        </w:tc>
        <w:tc>
          <w:tcPr>
            <w:tcW w:w="12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32,716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3,337,679</w:t>
            </w: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Brent A. Bates</w:t>
            </w:r>
          </w:p>
        </w:tc>
        <w:tc>
          <w:tcPr>
            <w:tcW w:w="13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564,543</w:t>
            </w:r>
          </w:p>
        </w:tc>
        <w:tc>
          <w:tcPr>
            <w:tcW w:w="112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294,570</w:t>
            </w:r>
          </w:p>
        </w:tc>
        <w:tc>
          <w:tcPr>
            <w:tcW w:w="160" w:type="dxa"/>
            <w:vAlign w:val="bottom"/>
          </w:tcPr>
          <w:p>
            <w:pPr>
              <w:spacing w:after="0"/>
              <w:rPr>
                <w:sz w:val="20"/>
                <w:szCs w:val="20"/>
                <w:color w:val="auto"/>
              </w:rPr>
            </w:pPr>
          </w:p>
        </w:tc>
        <w:tc>
          <w:tcPr>
            <w:tcW w:w="130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46,608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905,721</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A. Ehlers</w:t>
            </w:r>
          </w:p>
        </w:tc>
        <w:tc>
          <w:tcPr>
            <w:tcW w:w="13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564,543</w:t>
            </w:r>
          </w:p>
        </w:tc>
        <w:tc>
          <w:tcPr>
            <w:tcW w:w="112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296,044</w:t>
            </w: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846,720</w:t>
            </w:r>
          </w:p>
        </w:tc>
        <w:tc>
          <w:tcPr>
            <w:tcW w:w="12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16,628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1,723,935</w:t>
            </w:r>
          </w:p>
        </w:tc>
        <w:tc>
          <w:tcPr>
            <w:tcW w:w="0" w:type="dxa"/>
            <w:vAlign w:val="bottom"/>
          </w:tcPr>
          <w:p>
            <w:pPr>
              <w:spacing w:after="0"/>
              <w:rPr>
                <w:sz w:val="1"/>
                <w:szCs w:val="1"/>
                <w:color w:val="auto"/>
              </w:rPr>
            </w:pPr>
          </w:p>
        </w:tc>
      </w:tr>
      <w:tr>
        <w:trPr>
          <w:trHeight w:val="54"/>
        </w:trPr>
        <w:tc>
          <w:tcPr>
            <w:tcW w:w="2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current base salaries and target bonus amounts for 2025.</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acceleration for unvested or unreleased restricted stock units calculated based on restricted stock unit awards outstanding as of December 31, 2025 and share price as of December 31, 2025. Equity acceleration for unvested stock options calculated based on stock option awards outstanding as of December 31, 2025 and the share price as of December 31, 2025 less the exercise price of the options.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balance under the Salary Continuation Plan, at December 31, 2025, is shown above under the heading “Deferred Compensation (Salary Continuation Plan)” and “Nonqualified Deferred Compensation.” The enhanced benefit amount shown in this table is the total amount of the annual payments that would be payable to each executive, based upon an assumed mortality of age 85. For Mr. Newsom, the annual payment of $150,000 would be made for 27 more years; for Mr. Crockett, the annual payment of $100,000 would be made for 21 years once he reaches age 65; and for Mr. Ehlers, the annual payment of $40,320 would be made for 21 years once he reaches age 65.</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monthly premium to continue existing healthcare coverage under COBRA at December 31,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table below is provided in accordance with Item 402(v) of Regulation S-K. This information is being provided for compliance purposes. Neither the Compensation Committee nor the executives of our Company use the information in this table when making compensation decisions.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On:</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0" w:type="dxa"/>
            <w:vAlign w:val="bottom"/>
          </w:tcPr>
          <w:p>
            <w:pPr>
              <w:spacing w:after="0"/>
              <w:rPr>
                <w:sz w:val="1"/>
                <w:szCs w:val="1"/>
                <w:color w:val="auto"/>
              </w:rPr>
            </w:pPr>
          </w:p>
        </w:tc>
      </w:tr>
      <w:tr>
        <w:trPr>
          <w:trHeight w:val="18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92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for PEO</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16"/>
                <w:szCs w:val="16"/>
                <w:color w:val="auto"/>
              </w:rPr>
            </w:pPr>
          </w:p>
        </w:tc>
        <w:tc>
          <w:tcPr>
            <w:tcW w:w="92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PEO</w:t>
            </w:r>
            <w:r>
              <w:rPr>
                <w:rFonts w:ascii="Times New Roman" w:cs="Times New Roman" w:eastAsia="Times New Roman" w:hAnsi="Times New Roman"/>
                <w:sz w:val="21"/>
                <w:szCs w:val="21"/>
                <w:b w:val="1"/>
                <w:bCs w:val="1"/>
                <w:color w:val="auto"/>
                <w:vertAlign w:val="superscript"/>
              </w:rPr>
              <w:t>(2)</w:t>
            </w:r>
          </w:p>
        </w:tc>
        <w:tc>
          <w:tcPr>
            <w:tcW w:w="100" w:type="dxa"/>
            <w:vAlign w:val="bottom"/>
          </w:tcPr>
          <w:p>
            <w:pPr>
              <w:spacing w:after="0"/>
              <w:rPr>
                <w:sz w:val="16"/>
                <w:szCs w:val="16"/>
                <w:color w:val="auto"/>
              </w:rPr>
            </w:pPr>
          </w:p>
        </w:tc>
        <w:tc>
          <w:tcPr>
            <w:tcW w:w="94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w w:val="98"/>
              </w:rPr>
              <w:t>NEO</w:t>
            </w:r>
            <w:r>
              <w:rPr>
                <w:rFonts w:ascii="Times New Roman" w:cs="Times New Roman" w:eastAsia="Times New Roman" w:hAnsi="Times New Roman"/>
                <w:sz w:val="21"/>
                <w:szCs w:val="21"/>
                <w:b w:val="1"/>
                <w:bCs w:val="1"/>
                <w:color w:val="auto"/>
                <w:w w:val="98"/>
                <w:vertAlign w:val="superscript"/>
              </w:rPr>
              <w:t>(3)</w:t>
            </w:r>
          </w:p>
        </w:tc>
        <w:tc>
          <w:tcPr>
            <w:tcW w:w="100" w:type="dxa"/>
            <w:vAlign w:val="bottom"/>
          </w:tcPr>
          <w:p>
            <w:pPr>
              <w:spacing w:after="0"/>
              <w:rPr>
                <w:sz w:val="16"/>
                <w:szCs w:val="16"/>
                <w:color w:val="auto"/>
              </w:rPr>
            </w:pPr>
          </w:p>
        </w:tc>
        <w:tc>
          <w:tcPr>
            <w:tcW w:w="1160" w:type="dxa"/>
            <w:vAlign w:val="bottom"/>
            <w:gridSpan w:val="2"/>
          </w:tcPr>
          <w:p>
            <w:pPr>
              <w:jc w:val="center"/>
              <w:ind w:right="140"/>
              <w:spacing w:after="0" w:line="187" w:lineRule="exact"/>
              <w:rPr>
                <w:sz w:val="20"/>
                <w:szCs w:val="20"/>
                <w:color w:val="auto"/>
              </w:rPr>
            </w:pPr>
            <w:r>
              <w:rPr>
                <w:rFonts w:ascii="Times New Roman" w:cs="Times New Roman" w:eastAsia="Times New Roman" w:hAnsi="Times New Roman"/>
                <w:sz w:val="13"/>
                <w:szCs w:val="13"/>
                <w:b w:val="1"/>
                <w:bCs w:val="1"/>
                <w:color w:val="auto"/>
              </w:rPr>
              <w:t>NEO</w:t>
            </w:r>
            <w:r>
              <w:rPr>
                <w:rFonts w:ascii="Times New Roman" w:cs="Times New Roman" w:eastAsia="Times New Roman" w:hAnsi="Times New Roman"/>
                <w:sz w:val="21"/>
                <w:szCs w:val="21"/>
                <w:b w:val="1"/>
                <w:bCs w:val="1"/>
                <w:color w:val="auto"/>
                <w:vertAlign w:val="superscript"/>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6"/>
                <w:szCs w:val="16"/>
                <w:color w:val="auto"/>
              </w:rPr>
            </w:pPr>
          </w:p>
        </w:tc>
        <w:tc>
          <w:tcPr>
            <w:tcW w:w="64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Income</w:t>
            </w:r>
            <w:r>
              <w:rPr>
                <w:rFonts w:ascii="Times New Roman" w:cs="Times New Roman" w:eastAsia="Times New Roman" w:hAnsi="Times New Roman"/>
                <w:sz w:val="21"/>
                <w:szCs w:val="21"/>
                <w:b w:val="1"/>
                <w:bCs w:val="1"/>
                <w:color w:val="auto"/>
                <w:vertAlign w:val="superscript"/>
              </w:rPr>
              <w:t>(7)</w:t>
            </w:r>
          </w:p>
        </w:tc>
        <w:tc>
          <w:tcPr>
            <w:tcW w:w="100" w:type="dxa"/>
            <w:vAlign w:val="bottom"/>
          </w:tcPr>
          <w:p>
            <w:pPr>
              <w:spacing w:after="0"/>
              <w:rPr>
                <w:sz w:val="16"/>
                <w:szCs w:val="16"/>
                <w:color w:val="auto"/>
              </w:rPr>
            </w:pPr>
          </w:p>
        </w:tc>
        <w:tc>
          <w:tcPr>
            <w:tcW w:w="62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 xml:space="preserve">Share </w:t>
            </w:r>
            <w:r>
              <w:rPr>
                <w:rFonts w:ascii="Times New Roman" w:cs="Times New Roman" w:eastAsia="Times New Roman" w:hAnsi="Times New Roman"/>
                <w:sz w:val="21"/>
                <w:szCs w:val="21"/>
                <w:b w:val="1"/>
                <w:bCs w:val="1"/>
                <w:color w:val="auto"/>
                <w:vertAlign w:val="superscript"/>
              </w:rPr>
              <w:t>(8)</w:t>
            </w:r>
          </w:p>
        </w:tc>
        <w:tc>
          <w:tcPr>
            <w:tcW w:w="0" w:type="dxa"/>
            <w:vAlign w:val="bottom"/>
          </w:tcPr>
          <w:p>
            <w:pPr>
              <w:spacing w:after="0"/>
              <w:rPr>
                <w:sz w:val="1"/>
                <w:szCs w:val="1"/>
                <w:color w:val="auto"/>
              </w:rPr>
            </w:pPr>
          </w:p>
        </w:tc>
      </w:tr>
      <w:tr>
        <w:trPr>
          <w:trHeight w:val="189"/>
        </w:trPr>
        <w:tc>
          <w:tcPr>
            <w:tcW w:w="880" w:type="dxa"/>
            <w:vAlign w:val="bottom"/>
            <w:vMerge w:val="continue"/>
          </w:tcPr>
          <w:p>
            <w:pPr>
              <w:spacing w:after="0"/>
              <w:rPr>
                <w:sz w:val="16"/>
                <w:szCs w:val="16"/>
                <w:color w:val="auto"/>
              </w:rPr>
            </w:pPr>
          </w:p>
        </w:tc>
        <w:tc>
          <w:tcPr>
            <w:tcW w:w="10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Return</w:t>
            </w:r>
            <w:r>
              <w:rPr>
                <w:rFonts w:ascii="Times New Roman" w:cs="Times New Roman" w:eastAsia="Times New Roman" w:hAnsi="Times New Roman"/>
                <w:sz w:val="21"/>
                <w:szCs w:val="21"/>
                <w:b w:val="1"/>
                <w:bCs w:val="1"/>
                <w:color w:val="auto"/>
                <w:vertAlign w:val="superscript"/>
              </w:rPr>
              <w:t>(5)</w:t>
            </w:r>
          </w:p>
        </w:tc>
        <w:tc>
          <w:tcPr>
            <w:tcW w:w="10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9"/>
              </w:rPr>
              <w:t>Return</w:t>
            </w:r>
            <w:r>
              <w:rPr>
                <w:rFonts w:ascii="Times New Roman" w:cs="Times New Roman" w:eastAsia="Times New Roman" w:hAnsi="Times New Roman"/>
                <w:sz w:val="21"/>
                <w:szCs w:val="21"/>
                <w:b w:val="1"/>
                <w:bCs w:val="1"/>
                <w:color w:val="auto"/>
                <w:w w:val="99"/>
                <w:vertAlign w:val="superscript"/>
              </w:rPr>
              <w:t>(6)</w:t>
            </w: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($ 000s)</w:t>
            </w:r>
          </w:p>
        </w:tc>
        <w:tc>
          <w:tcPr>
            <w:tcW w:w="72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2,273,599</w:t>
            </w:r>
          </w:p>
        </w:tc>
        <w:tc>
          <w:tcPr>
            <w:tcW w:w="12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2,330,912</w:t>
            </w:r>
          </w:p>
        </w:tc>
        <w:tc>
          <w:tcPr>
            <w:tcW w:w="10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852,931</w:t>
            </w:r>
          </w:p>
        </w:tc>
        <w:tc>
          <w:tcPr>
            <w:tcW w:w="10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888,006</w:t>
            </w:r>
          </w:p>
        </w:tc>
        <w:tc>
          <w:tcPr>
            <w:tcW w:w="12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155.53</w:t>
            </w:r>
          </w:p>
        </w:tc>
        <w:tc>
          <w:tcPr>
            <w:tcW w:w="10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58,471</w:t>
            </w:r>
          </w:p>
        </w:tc>
        <w:tc>
          <w:tcPr>
            <w:tcW w:w="100" w:type="dxa"/>
            <w:vAlign w:val="bottom"/>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3.44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2,070,123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2,273,275</w:t>
            </w:r>
          </w:p>
        </w:tc>
        <w:tc>
          <w:tcPr>
            <w:tcW w:w="104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803,821</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8"/>
                <w:szCs w:val="18"/>
                <w:color w:val="auto"/>
              </w:rPr>
              <w:t>894,901</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132.15</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121.14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49,717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2.92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2,053,444</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1,946,539</w:t>
            </w:r>
          </w:p>
        </w:tc>
        <w:tc>
          <w:tcPr>
            <w:tcW w:w="104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1,036,923</w:t>
            </w:r>
          </w:p>
        </w:tc>
        <w:tc>
          <w:tcPr>
            <w:tcW w:w="11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1,029,467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108.11</w:t>
            </w:r>
          </w:p>
        </w:tc>
        <w:tc>
          <w:tcPr>
            <w:tcW w:w="9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90.48</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62,745</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3.62</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2,082,386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2,056,606</w:t>
            </w:r>
          </w:p>
        </w:tc>
        <w:tc>
          <w:tcPr>
            <w:tcW w:w="104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976,528</w:t>
            </w:r>
          </w:p>
        </w:tc>
        <w:tc>
          <w:tcPr>
            <w:tcW w:w="1140" w:type="dxa"/>
            <w:vAlign w:val="bottom"/>
            <w:gridSpan w:val="2"/>
          </w:tcPr>
          <w:p>
            <w:pPr>
              <w:jc w:val="right"/>
              <w:ind w:right="106"/>
              <w:spacing w:after="0"/>
              <w:rPr>
                <w:sz w:val="20"/>
                <w:szCs w:val="20"/>
                <w:color w:val="auto"/>
              </w:rPr>
            </w:pPr>
            <w:r>
              <w:rPr>
                <w:rFonts w:ascii="Times New Roman" w:cs="Times New Roman" w:eastAsia="Times New Roman" w:hAnsi="Times New Roman"/>
                <w:sz w:val="18"/>
                <w:szCs w:val="18"/>
                <w:color w:val="auto"/>
              </w:rPr>
              <w:t>1,003,955</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100.66</w:t>
            </w:r>
          </w:p>
        </w:tc>
        <w:tc>
          <w:tcPr>
            <w:tcW w:w="900" w:type="dxa"/>
            <w:vAlign w:val="bottom"/>
            <w:gridSpan w:val="2"/>
          </w:tcPr>
          <w:p>
            <w:pPr>
              <w:jc w:val="right"/>
              <w:ind w:right="106"/>
              <w:spacing w:after="0"/>
              <w:rPr>
                <w:sz w:val="20"/>
                <w:szCs w:val="20"/>
                <w:color w:val="auto"/>
              </w:rPr>
            </w:pPr>
            <w:r>
              <w:rPr>
                <w:rFonts w:ascii="Times New Roman" w:cs="Times New Roman" w:eastAsia="Times New Roman" w:hAnsi="Times New Roman"/>
                <w:sz w:val="18"/>
                <w:szCs w:val="18"/>
                <w:color w:val="auto"/>
              </w:rPr>
              <w:t>82.94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58,240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168275</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0"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amounts of total compensation reported in the “Total” column of our Summary Compensation Table.</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NEO included for purposes of calculating the amounts for each applicable year is Cory T. Newsom. The dollar amounts reported represent the amount of “compensation actually paid,” as computed in accordance with SEC rules.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3"/>
                <w:szCs w:val="13"/>
                <w:color w:val="auto"/>
              </w:rPr>
            </w:pPr>
          </w:p>
        </w:tc>
        <w:tc>
          <w:tcPr>
            <w:tcW w:w="14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16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30"/>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1"/>
                <w:szCs w:val="11"/>
                <w:color w:val="auto"/>
              </w:rPr>
            </w:pP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16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Value of Equity Awards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Award Adjustments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87"/>
        </w:trPr>
        <w:tc>
          <w:tcPr>
            <w:tcW w:w="1460" w:type="dxa"/>
            <w:vAlign w:val="bottom"/>
            <w:vMerge w:val="continue"/>
          </w:tcPr>
          <w:p>
            <w:pPr>
              <w:spacing w:after="0"/>
              <w:rPr>
                <w:sz w:val="16"/>
                <w:szCs w:val="16"/>
                <w:color w:val="auto"/>
              </w:rPr>
            </w:pPr>
          </w:p>
        </w:tc>
        <w:tc>
          <w:tcPr>
            <w:tcW w:w="17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3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6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14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2,273,599</w:t>
            </w:r>
          </w:p>
        </w:tc>
        <w:tc>
          <w:tcPr>
            <w:tcW w:w="140" w:type="dxa"/>
            <w:vAlign w:val="bottom"/>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rPr>
              <w:t>510,381</w:t>
            </w: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ind w:left="48"/>
              <w:spacing w:after="0" w:line="155" w:lineRule="exact"/>
              <w:rPr>
                <w:sz w:val="20"/>
                <w:szCs w:val="20"/>
                <w:color w:val="auto"/>
              </w:rPr>
            </w:pPr>
            <w:r>
              <w:rPr>
                <w:rFonts w:ascii="Times New Roman" w:cs="Times New Roman" w:eastAsia="Times New Roman" w:hAnsi="Times New Roman"/>
                <w:sz w:val="14"/>
                <w:szCs w:val="14"/>
                <w:color w:val="auto"/>
              </w:rPr>
              <w:t>567,694</w:t>
            </w:r>
          </w:p>
        </w:tc>
        <w:tc>
          <w:tcPr>
            <w:tcW w:w="1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2,330,912</w:t>
            </w:r>
          </w:p>
        </w:tc>
        <w:tc>
          <w:tcPr>
            <w:tcW w:w="0" w:type="dxa"/>
            <w:vAlign w:val="bottom"/>
          </w:tcPr>
          <w:p>
            <w:pPr>
              <w:spacing w:after="0"/>
              <w:rPr>
                <w:sz w:val="1"/>
                <w:szCs w:val="1"/>
                <w:color w:val="auto"/>
              </w:rPr>
            </w:pPr>
          </w:p>
        </w:tc>
      </w:tr>
      <w:tr>
        <w:trPr>
          <w:trHeight w:val="148"/>
        </w:trPr>
        <w:tc>
          <w:tcPr>
            <w:tcW w:w="1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70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2,070,123</w:t>
            </w:r>
          </w:p>
        </w:tc>
        <w:tc>
          <w:tcPr>
            <w:tcW w:w="1600" w:type="dxa"/>
            <w:vAlign w:val="bottom"/>
            <w:gridSpan w:val="2"/>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470,474</w:t>
            </w:r>
          </w:p>
        </w:tc>
        <w:tc>
          <w:tcPr>
            <w:tcW w:w="160" w:type="dxa"/>
            <w:vAlign w:val="bottom"/>
          </w:tcPr>
          <w:p>
            <w:pPr>
              <w:spacing w:after="0"/>
              <w:rPr>
                <w:sz w:val="12"/>
                <w:szCs w:val="12"/>
                <w:color w:val="auto"/>
              </w:rPr>
            </w:pPr>
          </w:p>
        </w:tc>
        <w:tc>
          <w:tcPr>
            <w:tcW w:w="136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673,626</w:t>
            </w:r>
          </w:p>
        </w:tc>
        <w:tc>
          <w:tcPr>
            <w:tcW w:w="160" w:type="dxa"/>
            <w:vAlign w:val="bottom"/>
          </w:tcPr>
          <w:p>
            <w:pPr>
              <w:spacing w:after="0"/>
              <w:rPr>
                <w:sz w:val="12"/>
                <w:szCs w:val="12"/>
                <w:color w:val="auto"/>
              </w:rPr>
            </w:pPr>
          </w:p>
        </w:tc>
        <w:tc>
          <w:tcPr>
            <w:tcW w:w="162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2,273,275</w:t>
            </w: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70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2,053,444</w:t>
            </w:r>
          </w:p>
        </w:tc>
        <w:tc>
          <w:tcPr>
            <w:tcW w:w="1600" w:type="dxa"/>
            <w:vAlign w:val="bottom"/>
            <w:gridSpan w:val="2"/>
            <w:shd w:val="clear" w:color="auto" w:fill="CCEEFF"/>
          </w:tcPr>
          <w:p>
            <w:pPr>
              <w:jc w:val="center"/>
              <w:ind w:left="188"/>
              <w:spacing w:after="0" w:line="149" w:lineRule="exact"/>
              <w:rPr>
                <w:sz w:val="20"/>
                <w:szCs w:val="20"/>
                <w:color w:val="auto"/>
              </w:rPr>
            </w:pPr>
            <w:r>
              <w:rPr>
                <w:rFonts w:ascii="Times New Roman" w:cs="Times New Roman" w:eastAsia="Times New Roman" w:hAnsi="Times New Roman"/>
                <w:sz w:val="14"/>
                <w:szCs w:val="14"/>
                <w:color w:val="auto"/>
              </w:rPr>
              <w:t>470,500</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363,595</w:t>
            </w:r>
          </w:p>
        </w:tc>
        <w:tc>
          <w:tcPr>
            <w:tcW w:w="1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1,946,539</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7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2,082,386</w:t>
            </w:r>
          </w:p>
        </w:tc>
        <w:tc>
          <w:tcPr>
            <w:tcW w:w="16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470,498</w:t>
            </w:r>
          </w:p>
        </w:tc>
        <w:tc>
          <w:tcPr>
            <w:tcW w:w="160" w:type="dxa"/>
            <w:vAlign w:val="bottom"/>
          </w:tcPr>
          <w:p>
            <w:pPr>
              <w:spacing w:after="0"/>
              <w:rPr>
                <w:sz w:val="16"/>
                <w:szCs w:val="16"/>
                <w:color w:val="auto"/>
              </w:rPr>
            </w:pPr>
          </w:p>
        </w:tc>
        <w:tc>
          <w:tcPr>
            <w:tcW w:w="136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444,718</w:t>
            </w:r>
          </w:p>
        </w:tc>
        <w:tc>
          <w:tcPr>
            <w:tcW w:w="160" w:type="dxa"/>
            <w:vAlign w:val="bottom"/>
          </w:tcPr>
          <w:p>
            <w:pPr>
              <w:spacing w:after="0"/>
              <w:rPr>
                <w:sz w:val="16"/>
                <w:szCs w:val="16"/>
                <w:color w:val="auto"/>
              </w:rPr>
            </w:pPr>
          </w:p>
        </w:tc>
        <w:tc>
          <w:tcPr>
            <w:tcW w:w="16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2,056,606</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000" w:right="319" w:hanging="348"/>
        <w:spacing w:after="0" w:line="261" w:lineRule="auto"/>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“Stock Awards” and “Option Awards” columns in our Summary Compensation Table for the applicable year.</w:t>
      </w:r>
    </w:p>
    <w:p>
      <w:pPr>
        <w:jc w:val="both"/>
        <w:ind w:left="1000" w:right="319" w:hanging="348"/>
        <w:spacing w:after="0"/>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2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the Prior</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Vesting</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Change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49"/>
        </w:trPr>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87"/>
        </w:trPr>
        <w:tc>
          <w:tcPr>
            <w:tcW w:w="600" w:type="dxa"/>
            <w:vAlign w:val="bottom"/>
            <w:vMerge w:val="continue"/>
          </w:tcPr>
          <w:p>
            <w:pPr>
              <w:spacing w:after="0"/>
              <w:rPr>
                <w:sz w:val="16"/>
                <w:szCs w:val="16"/>
                <w:color w:val="auto"/>
              </w:rPr>
            </w:pPr>
          </w:p>
        </w:tc>
        <w:tc>
          <w:tcPr>
            <w:tcW w:w="8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55"/>
        </w:trPr>
        <w:tc>
          <w:tcPr>
            <w:tcW w:w="60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587,915</w:t>
            </w:r>
          </w:p>
        </w:tc>
        <w:tc>
          <w:tcPr>
            <w:tcW w:w="180" w:type="dxa"/>
            <w:vAlign w:val="bottom"/>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(6,811)</w:t>
            </w:r>
          </w:p>
        </w:tc>
        <w:tc>
          <w:tcPr>
            <w:tcW w:w="18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(13,410)</w:t>
            </w:r>
          </w:p>
        </w:tc>
        <w:tc>
          <w:tcPr>
            <w:tcW w:w="22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rPr>
              <w:t>567,694</w:t>
            </w:r>
          </w:p>
        </w:tc>
        <w:tc>
          <w:tcPr>
            <w:tcW w:w="0" w:type="dxa"/>
            <w:vAlign w:val="bottom"/>
          </w:tcPr>
          <w:p>
            <w:pPr>
              <w:spacing w:after="0"/>
              <w:rPr>
                <w:sz w:val="1"/>
                <w:szCs w:val="1"/>
                <w:color w:val="auto"/>
              </w:rPr>
            </w:pPr>
          </w:p>
        </w:tc>
      </w:tr>
      <w:tr>
        <w:trPr>
          <w:trHeight w:val="148"/>
        </w:trPr>
        <w:tc>
          <w:tcPr>
            <w:tcW w:w="6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8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639,249</w:t>
            </w:r>
          </w:p>
        </w:tc>
        <w:tc>
          <w:tcPr>
            <w:tcW w:w="116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31,287</w:t>
            </w:r>
          </w:p>
        </w:tc>
        <w:tc>
          <w:tcPr>
            <w:tcW w:w="180" w:type="dxa"/>
            <w:vAlign w:val="bottom"/>
          </w:tcPr>
          <w:p>
            <w:pPr>
              <w:spacing w:after="0"/>
              <w:rPr>
                <w:sz w:val="12"/>
                <w:szCs w:val="12"/>
                <w:color w:val="auto"/>
              </w:rPr>
            </w:pPr>
          </w:p>
        </w:tc>
        <w:tc>
          <w:tcPr>
            <w:tcW w:w="8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3,090</w:t>
            </w:r>
          </w:p>
        </w:tc>
        <w:tc>
          <w:tcPr>
            <w:tcW w:w="220" w:type="dxa"/>
            <w:vAlign w:val="bottom"/>
          </w:tcPr>
          <w:p>
            <w:pPr>
              <w:spacing w:after="0"/>
              <w:rPr>
                <w:sz w:val="12"/>
                <w:szCs w:val="12"/>
                <w:color w:val="auto"/>
              </w:rPr>
            </w:pPr>
          </w:p>
        </w:tc>
        <w:tc>
          <w:tcPr>
            <w:tcW w:w="8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673,626</w:t>
            </w: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8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531,200</w:t>
            </w:r>
          </w:p>
        </w:tc>
        <w:tc>
          <w:tcPr>
            <w:tcW w:w="11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(34,323)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(133,282)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shd w:val="clear" w:color="auto" w:fill="CCEEFF"/>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rPr>
              <w:t>363,595</w:t>
            </w:r>
          </w:p>
        </w:tc>
        <w:tc>
          <w:tcPr>
            <w:tcW w:w="0" w:type="dxa"/>
            <w:vAlign w:val="bottom"/>
          </w:tcPr>
          <w:p>
            <w:pPr>
              <w:spacing w:after="0"/>
              <w:rPr>
                <w:sz w:val="1"/>
                <w:szCs w:val="1"/>
                <w:color w:val="auto"/>
              </w:rPr>
            </w:pPr>
          </w:p>
        </w:tc>
      </w:tr>
      <w:tr>
        <w:trPr>
          <w:trHeight w:val="188"/>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445,169</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(4,853)</w:t>
            </w:r>
          </w:p>
        </w:tc>
        <w:tc>
          <w:tcPr>
            <w:tcW w:w="18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4,402</w:t>
            </w:r>
          </w:p>
        </w:tc>
        <w:tc>
          <w:tcPr>
            <w:tcW w:w="2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444,718</w:t>
            </w:r>
          </w:p>
        </w:tc>
        <w:tc>
          <w:tcPr>
            <w:tcW w:w="0" w:type="dxa"/>
            <w:vAlign w:val="bottom"/>
          </w:tcPr>
          <w:p>
            <w:pPr>
              <w:spacing w:after="0"/>
              <w:rPr>
                <w:sz w:val="1"/>
                <w:szCs w:val="1"/>
                <w:color w:val="auto"/>
              </w:rPr>
            </w:pPr>
          </w:p>
        </w:tc>
      </w:tr>
    </w:tbl>
    <w:p>
      <w:pPr>
        <w:spacing w:after="0" w:line="46" w:lineRule="exact"/>
        <w:rPr>
          <w:sz w:val="20"/>
          <w:szCs w:val="20"/>
          <w:color w:val="auto"/>
        </w:rPr>
      </w:pPr>
    </w:p>
    <w:p>
      <w:pPr>
        <w:jc w:val="both"/>
        <w:ind w:left="640" w:right="299"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average of the amounts reported for our NEOs as a group (excluding our PEO) in the “Total” column of our Summary Compensation Table in each applicable year. The names of each of the NEOs (excluding our PEO) included for purposes of calculating the average amounts for each applicable year are Curtis C. Griffith, Steven B. Crockett, Brent A. Bates and Paul A. Ehlers.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299" w:hanging="348"/>
        <w:spacing w:after="0" w:line="233"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average amount of “compensation actually paid” to the NEOs as a group (excluding our PEO), as computed in accordance with SEC rules. The dollar amounts do not reflect the actual average amount of compensation earned by or paid to the NEOs as a group (excluding our PEO) during the applicable year. In accordance with the SEC rules, the following adjustments were made to average total compensation for the NEOs as a group (excluding our PEO) for each year to determine the compensation actually paid, using the same methodology described above in Note 2:</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Summary</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 Total</w:t>
            </w:r>
          </w:p>
        </w:tc>
        <w:tc>
          <w:tcPr>
            <w:tcW w:w="22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0" w:type="dxa"/>
            <w:vAlign w:val="bottom"/>
          </w:tcPr>
          <w:p>
            <w:pPr>
              <w:spacing w:after="0"/>
              <w:rPr>
                <w:sz w:val="1"/>
                <w:szCs w:val="1"/>
                <w:color w:val="auto"/>
              </w:rPr>
            </w:pPr>
          </w:p>
        </w:tc>
      </w:tr>
      <w:tr>
        <w:trPr>
          <w:trHeight w:val="151"/>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720" w:type="dxa"/>
            <w:vAlign w:val="bottom"/>
            <w:gridSpan w:val="2"/>
          </w:tcPr>
          <w:p>
            <w:pPr>
              <w:jc w:val="center"/>
              <w:ind w:left="108"/>
              <w:spacing w:after="0" w:line="151"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20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Award Adjustments</w:t>
            </w:r>
            <w:r>
              <w:rPr>
                <w:rFonts w:ascii="Times New Roman" w:cs="Times New Roman" w:eastAsia="Times New Roman" w:hAnsi="Times New Roman"/>
                <w:sz w:val="17"/>
                <w:szCs w:val="17"/>
                <w:b w:val="1"/>
                <w:bCs w:val="1"/>
                <w:color w:val="auto"/>
                <w:vertAlign w:val="superscript"/>
              </w:rPr>
              <w:t>(a)</w:t>
            </w:r>
          </w:p>
        </w:tc>
        <w:tc>
          <w:tcPr>
            <w:tcW w:w="220" w:type="dxa"/>
            <w:vAlign w:val="bottom"/>
          </w:tcPr>
          <w:p>
            <w:pPr>
              <w:spacing w:after="0"/>
              <w:rPr>
                <w:sz w:val="13"/>
                <w:szCs w:val="13"/>
                <w:color w:val="auto"/>
              </w:rPr>
            </w:pPr>
          </w:p>
        </w:tc>
        <w:tc>
          <w:tcPr>
            <w:tcW w:w="16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90"/>
        </w:trPr>
        <w:tc>
          <w:tcPr>
            <w:tcW w:w="960" w:type="dxa"/>
            <w:vAlign w:val="bottom"/>
            <w:vMerge w:val="continue"/>
          </w:tcPr>
          <w:p>
            <w:pPr>
              <w:spacing w:after="0"/>
              <w:rPr>
                <w:sz w:val="16"/>
                <w:szCs w:val="16"/>
                <w:color w:val="auto"/>
              </w:rPr>
            </w:pPr>
          </w:p>
        </w:tc>
        <w:tc>
          <w:tcPr>
            <w:tcW w:w="18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852,931</w:t>
            </w:r>
          </w:p>
        </w:tc>
        <w:tc>
          <w:tcPr>
            <w:tcW w:w="17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174,415</w:t>
            </w:r>
          </w:p>
        </w:tc>
        <w:tc>
          <w:tcPr>
            <w:tcW w:w="16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209,490</w:t>
            </w:r>
          </w:p>
        </w:tc>
        <w:tc>
          <w:tcPr>
            <w:tcW w:w="19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888,006</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86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803,821</w:t>
            </w:r>
          </w:p>
        </w:tc>
        <w:tc>
          <w:tcPr>
            <w:tcW w:w="17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163,030</w:t>
            </w:r>
          </w:p>
        </w:tc>
        <w:tc>
          <w:tcPr>
            <w:tcW w:w="16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254,110</w:t>
            </w:r>
          </w:p>
        </w:tc>
        <w:tc>
          <w:tcPr>
            <w:tcW w:w="190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894,901</w:t>
            </w:r>
          </w:p>
        </w:tc>
        <w:tc>
          <w:tcPr>
            <w:tcW w:w="0" w:type="dxa"/>
            <w:vAlign w:val="bottom"/>
          </w:tcPr>
          <w:p>
            <w:pPr>
              <w:spacing w:after="0"/>
              <w:rPr>
                <w:sz w:val="1"/>
                <w:szCs w:val="1"/>
                <w:color w:val="auto"/>
              </w:rPr>
            </w:pPr>
          </w:p>
        </w:tc>
      </w:tr>
      <w:tr>
        <w:trPr>
          <w:trHeight w:val="19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8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1,036,923</w:t>
            </w:r>
          </w:p>
        </w:tc>
        <w:tc>
          <w:tcPr>
            <w:tcW w:w="17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231,481</w:t>
            </w:r>
          </w:p>
        </w:tc>
        <w:tc>
          <w:tcPr>
            <w:tcW w:w="162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224,025</w:t>
            </w:r>
          </w:p>
        </w:tc>
        <w:tc>
          <w:tcPr>
            <w:tcW w:w="19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1,029,467</w:t>
            </w:r>
          </w:p>
        </w:tc>
        <w:tc>
          <w:tcPr>
            <w:tcW w:w="0" w:type="dxa"/>
            <w:vAlign w:val="bottom"/>
          </w:tcPr>
          <w:p>
            <w:pPr>
              <w:spacing w:after="0"/>
              <w:rPr>
                <w:sz w:val="1"/>
                <w:szCs w:val="1"/>
                <w:color w:val="auto"/>
              </w:rPr>
            </w:pPr>
          </w:p>
        </w:tc>
      </w:tr>
      <w:tr>
        <w:trPr>
          <w:trHeight w:val="188"/>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86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976,528</w:t>
            </w:r>
          </w:p>
        </w:tc>
        <w:tc>
          <w:tcPr>
            <w:tcW w:w="17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224,485</w:t>
            </w:r>
          </w:p>
        </w:tc>
        <w:tc>
          <w:tcPr>
            <w:tcW w:w="16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251,912</w:t>
            </w:r>
          </w:p>
        </w:tc>
        <w:tc>
          <w:tcPr>
            <w:tcW w:w="190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1,003,955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Prior</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 of Vesting</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Change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48"/>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90"/>
        </w:trPr>
        <w:tc>
          <w:tcPr>
            <w:tcW w:w="780" w:type="dxa"/>
            <w:vAlign w:val="bottom"/>
            <w:vMerge w:val="continue"/>
          </w:tcPr>
          <w:p>
            <w:pPr>
              <w:spacing w:after="0"/>
              <w:rPr>
                <w:sz w:val="16"/>
                <w:szCs w:val="16"/>
                <w:color w:val="auto"/>
              </w:rPr>
            </w:pPr>
          </w:p>
        </w:tc>
        <w:tc>
          <w:tcPr>
            <w:tcW w:w="8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192,326</w:t>
            </w:r>
          </w:p>
        </w:tc>
        <w:tc>
          <w:tcPr>
            <w:tcW w:w="11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19,324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(2,160)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209,490</w:t>
            </w:r>
          </w:p>
        </w:tc>
        <w:tc>
          <w:tcPr>
            <w:tcW w:w="0" w:type="dxa"/>
            <w:vAlign w:val="bottom"/>
          </w:tcPr>
          <w:p>
            <w:pPr>
              <w:spacing w:after="0"/>
              <w:rPr>
                <w:sz w:val="1"/>
                <w:szCs w:val="1"/>
                <w:color w:val="auto"/>
              </w:rPr>
            </w:pPr>
          </w:p>
        </w:tc>
      </w:tr>
      <w:tr>
        <w:trPr>
          <w:trHeight w:val="189"/>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219,843</w:t>
            </w:r>
          </w:p>
        </w:tc>
        <w:tc>
          <w:tcPr>
            <w:tcW w:w="11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41,571</w:t>
            </w:r>
          </w:p>
        </w:tc>
        <w:tc>
          <w:tcPr>
            <w:tcW w:w="160" w:type="dxa"/>
            <w:vAlign w:val="bottom"/>
          </w:tcPr>
          <w:p>
            <w:pPr>
              <w:spacing w:after="0"/>
              <w:rPr>
                <w:sz w:val="16"/>
                <w:szCs w:val="16"/>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(7,304)</w:t>
            </w:r>
          </w:p>
        </w:tc>
        <w:tc>
          <w:tcPr>
            <w:tcW w:w="18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254,110</w:t>
            </w:r>
          </w:p>
        </w:tc>
        <w:tc>
          <w:tcPr>
            <w:tcW w:w="0" w:type="dxa"/>
            <w:vAlign w:val="bottom"/>
          </w:tcPr>
          <w:p>
            <w:pPr>
              <w:spacing w:after="0"/>
              <w:rPr>
                <w:sz w:val="1"/>
                <w:szCs w:val="1"/>
                <w:color w:val="auto"/>
              </w:rPr>
            </w:pPr>
          </w:p>
        </w:tc>
      </w:tr>
      <w:tr>
        <w:trPr>
          <w:trHeight w:val="189"/>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244,215</w:t>
            </w:r>
          </w:p>
        </w:tc>
        <w:tc>
          <w:tcPr>
            <w:tcW w:w="11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3,042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(23,232)</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224,025</w:t>
            </w:r>
          </w:p>
        </w:tc>
        <w:tc>
          <w:tcPr>
            <w:tcW w:w="0" w:type="dxa"/>
            <w:vAlign w:val="bottom"/>
          </w:tcPr>
          <w:p>
            <w:pPr>
              <w:spacing w:after="0"/>
              <w:rPr>
                <w:sz w:val="1"/>
                <w:szCs w:val="1"/>
                <w:color w:val="auto"/>
              </w:rPr>
            </w:pPr>
          </w:p>
        </w:tc>
      </w:tr>
      <w:tr>
        <w:trPr>
          <w:trHeight w:val="188"/>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8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215,446</w:t>
            </w:r>
          </w:p>
        </w:tc>
        <w:tc>
          <w:tcPr>
            <w:tcW w:w="11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31,834</w:t>
            </w:r>
          </w:p>
        </w:tc>
        <w:tc>
          <w:tcPr>
            <w:tcW w:w="160" w:type="dxa"/>
            <w:vAlign w:val="bottom"/>
          </w:tcPr>
          <w:p>
            <w:pPr>
              <w:spacing w:after="0"/>
              <w:rPr>
                <w:sz w:val="16"/>
                <w:szCs w:val="16"/>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4,632</w:t>
            </w:r>
          </w:p>
        </w:tc>
        <w:tc>
          <w:tcPr>
            <w:tcW w:w="180" w:type="dxa"/>
            <w:vAlign w:val="bottom"/>
          </w:tcPr>
          <w:p>
            <w:pPr>
              <w:spacing w:after="0"/>
              <w:rPr>
                <w:sz w:val="16"/>
                <w:szCs w:val="16"/>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251,912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640" w:right="2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total shareholder return (“TSR”) is calculated, for each fiscal year, as the cumulative total shareholder return on our common stock from January 1, 2022, through the last day of the applicable fiscal year, assuming that $100 was invested beginning January 1, 2022. Amounts shown include reinvestment of dividends on the Company’s common stock.</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Peer TSR reflects the TSR of the S&amp;P United States BMI Banks Index, the industry peer group reported in the Company’s Stock Performance Group in the Annual Report on Form 10-K for those fiscal years.</w:t>
      </w: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reflected in our audited financial statements for the applicable year.</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diluted earnings per share, which we believe represents the most important financial performance measure that was used to link compensation actually paid to our PEO and non-PEO NEOs for the most recent fiscal year to Company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Relationship Between “Compensation Actually Paid” and Performances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181610</wp:posOffset>
            </wp:positionV>
            <wp:extent cx="4585970" cy="2185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8597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188595</wp:posOffset>
            </wp:positionV>
            <wp:extent cx="4671695" cy="2339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16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102870</wp:posOffset>
            </wp:positionV>
            <wp:extent cx="4560570" cy="2186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6057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 Pay Ratio Disclosure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SEC rules, we are providing the ratio of the annual total compensation of our PEO to the annual total compensation of our median employee.</w:t>
      </w:r>
    </w:p>
    <w:p>
      <w:pPr>
        <w:spacing w:after="0" w:line="52"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2025 Pay Ratio. </w:t>
      </w:r>
      <w:r>
        <w:rPr>
          <w:rFonts w:ascii="Times New Roman" w:cs="Times New Roman" w:eastAsia="Times New Roman" w:hAnsi="Times New Roman"/>
          <w:sz w:val="18"/>
          <w:szCs w:val="18"/>
          <w:color w:val="auto"/>
        </w:rPr>
        <w:t>Our identified median employee had annual total compensation for fiscal 2025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$46,287. Comparing this to the annual total compensation of our PEO of $2,273,599, our pay ratio was 49:1.</w:t>
      </w:r>
    </w:p>
    <w:p>
      <w:pPr>
        <w:spacing w:after="0" w:line="5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Pay Ratio Methodology. </w:t>
      </w:r>
      <w:r>
        <w:rPr>
          <w:rFonts w:ascii="Times New Roman" w:cs="Times New Roman" w:eastAsia="Times New Roman" w:hAnsi="Times New Roman"/>
          <w:sz w:val="18"/>
          <w:szCs w:val="18"/>
          <w:color w:val="auto"/>
        </w:rPr>
        <w:t>Our pay ratio is a reasonable estimate calculated in a manner consistent with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which generally require us to identify the “median employee” only once every three years and was lasted updated for fiscal year 2024, based on our payroll and employment records and the following methodology: We used gross wages as of December 31, 2024 as our consistently applied compensation measure, with respect to all full-time, part-time, temporary and seasonal employees, and then identified a median from this group.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have different employment and compensation practices and may utilize different methodologies, exclusions, estimates and assumptions in calculating their own pay ratios.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reviewed non-employee independent director compensation paid by our peers to establish the appropriate mix and amount of compensation payable to our non-employee directors. The following table sets forth information regarding 2025 compensation for each of our non-employee directors, including for director services at the Bank.</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3"/>
                <w:szCs w:val="23"/>
                <w:b w:val="1"/>
                <w:bCs w:val="1"/>
                <w:color w:val="auto"/>
                <w:w w:val="95"/>
                <w:vertAlign w:val="superscript"/>
              </w:rPr>
              <w:t>(1)</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Compensation</w:t>
            </w:r>
            <w:r>
              <w:rPr>
                <w:rFonts w:ascii="Times New Roman" w:cs="Times New Roman" w:eastAsia="Times New Roman" w:hAnsi="Times New Roman"/>
                <w:sz w:val="23"/>
                <w:szCs w:val="23"/>
                <w:b w:val="1"/>
                <w:bCs w:val="1"/>
                <w:color w:val="auto"/>
                <w:w w:val="97"/>
                <w:vertAlign w:val="superscript"/>
              </w:rPr>
              <w:t>(2)</w:t>
            </w:r>
          </w:p>
        </w:tc>
        <w:tc>
          <w:tcPr>
            <w:tcW w:w="1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$98,250</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$24,967</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$18,846</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$142,063</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$83,250</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$24,967</w:t>
            </w:r>
          </w:p>
        </w:tc>
        <w:tc>
          <w:tcPr>
            <w:tcW w:w="1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$18,845</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$127,062</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$88,250</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$24,967</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$18,846</w:t>
            </w:r>
          </w:p>
        </w:tc>
        <w:tc>
          <w:tcPr>
            <w:tcW w:w="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$132,063</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$83,250</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$24,967</w:t>
            </w:r>
          </w:p>
        </w:tc>
        <w:tc>
          <w:tcPr>
            <w:tcW w:w="1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$18,886</w:t>
            </w: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$127,103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right="2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fair value, as computed in accordance with ASC Topic 718 and the 2019 Equity Incentive Plan, of stock awards granted during 2025 to each non-employee director based on the per share closing price of the Company’s common stock on the date of grant.</w:t>
      </w:r>
    </w:p>
    <w:p>
      <w:pPr>
        <w:ind w:left="640" w:right="2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in-kind holiday gifts and the related tax gross-up to the directors. The tax gross-up amount was: $4,146 for Mr. Campbell, $4,146 for Mr. Valles, $4,146 for Mr. Wargo, and $4,155 for Ms. Washburn.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directors or executive officers, as defined in Item 401 of Regulation S-K.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Regarding Related Person Transactions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Transactions by us or the Bank with related persons are subject to regulatory requirements and restrictions. These requirements and restrictions include Section 23A and Section 23B of the Federal Reserve Act and the Board of Governors of the Federal Reserve System’s (the “Federal Reserve”)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the Audit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w:t>
      </w:r>
    </w:p>
    <w:p>
      <w:pPr>
        <w:spacing w:after="0" w:line="8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in “Executive Compensation” above, the following is a description of each transaction since January 1, 2025, and each proposed transaction in which:</w:t>
      </w:r>
    </w:p>
    <w:p>
      <w:pPr>
        <w:spacing w:after="0" w:line="68"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the lesser of (1) $120,000 or (2) 1% of the average of the Company’s total assets at year-end for the last two completed fiscal years;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Representation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Sales of Subordinated Debt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December 2018, we conducted an exchange offering pursuant to which we exchanged existing subordinated debt, due 2024, for newly issued twelve-year subordinated debt due 2030 and sold additional newly issued subordinated debt. In this offering, Richard D. Campbell, a director, and his spouse exchanged $250,000 in principal amount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existing subordinated debt, due 2024, for $250,000 in principal amount of newly issued debt, due 2030 on the same terms and conditions as offered to other qualified investors. Certain of our directors also participated in the exchange offering in principal amounts less than $120,000 and on the same terms and conditions as offered to other qualified investors.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2024 and 2025, the Company had an active stock repurchase program approved by the board of directors of the Company, which provided for the repurchase of common stock through open market purchases or privately negotiated transactions. In 2024, the Company repurchased 40,000 shares of common stock for $1,000,000 in a private transaction from Mr. Curtis C. Griffith, the Chairman and Chief Executive Officer of the Company. During 2025, the Company repurchased 250,000 shares of common stock for $8,250,000 in a private transaction from Mr. Griffith. The repurchases were approved by the board of directors of the Company, with Mr. Griffith recused. The Company believes that the terms of the transactions were comparable to and no more favorable than the terms that could have been obtained in an arm’s length transaction with an unrelated party.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purchased office furniture, fixtures and equipment for various bank locations from 1st Class Solutions, an entity in which Kim Newsom, the wife of Cory T. Newsom, a director and the President of the</w:t>
      </w:r>
    </w:p>
    <w:p>
      <w:pPr>
        <w:jc w:val="both"/>
        <w:ind w:left="300" w:right="299"/>
        <w:spacing w:after="0" w:line="209" w:lineRule="auto"/>
        <w:rPr>
          <w:sz w:val="20"/>
          <w:szCs w:val="20"/>
          <w:color w:val="auto"/>
        </w:rPr>
      </w:pPr>
      <w:r>
        <w:rPr>
          <w:rFonts w:ascii="Times New Roman" w:cs="Times New Roman" w:eastAsia="Times New Roman" w:hAnsi="Times New Roman"/>
          <w:sz w:val="18"/>
          <w:szCs w:val="18"/>
          <w:color w:val="auto"/>
        </w:rPr>
        <w:t>Company, has a majority ownership interest. Mr. Newsom also owns a minority interest in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The purchases by the Company totaled approximately $201,000 and $22,000 in the years ended December 31, 2025 and</w:t>
      </w:r>
    </w:p>
    <w:p>
      <w:pPr>
        <w:spacing w:after="0" w:line="2" w:lineRule="exact"/>
        <w:rPr>
          <w:sz w:val="20"/>
          <w:szCs w:val="20"/>
          <w:color w:val="auto"/>
        </w:rPr>
      </w:pPr>
    </w:p>
    <w:p>
      <w:pPr>
        <w:jc w:val="both"/>
        <w:ind w:left="300" w:right="299"/>
        <w:spacing w:after="0" w:line="234" w:lineRule="auto"/>
        <w:rPr>
          <w:sz w:val="20"/>
          <w:szCs w:val="20"/>
          <w:color w:val="auto"/>
        </w:rPr>
      </w:pPr>
      <w:r>
        <w:rPr>
          <w:rFonts w:ascii="Times New Roman" w:cs="Times New Roman" w:eastAsia="Times New Roman" w:hAnsi="Times New Roman"/>
          <w:sz w:val="18"/>
          <w:szCs w:val="18"/>
          <w:color w:val="auto"/>
        </w:rPr>
        <w:t>2024, respectively. All purchases from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Banking Relationships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Cory T. Newsom, our President, has no familial relationship with Mikella D. Newsom, our Chief Risk Officer and Secretary.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proxy,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86" w:lineRule="auto"/>
        <w:rPr>
          <w:sz w:val="20"/>
          <w:szCs w:val="20"/>
          <w:color w:val="auto"/>
        </w:rPr>
      </w:pPr>
      <w:r>
        <w:rPr>
          <w:rFonts w:ascii="Times New Roman" w:cs="Times New Roman" w:eastAsia="Times New Roman" w:hAnsi="Times New Roman"/>
          <w:sz w:val="18"/>
          <w:szCs w:val="18"/>
          <w:b w:val="1"/>
          <w:bCs w:val="1"/>
          <w:color w:val="auto"/>
        </w:rPr>
        <w:t>BENEFICIAL OWNERSHIP OF THE COMPANY’S COMMON STOCK BY MANAGEMENT AND PRINCIPAL SHAREHOLDERS OF THE COMPANY</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beneficial ownership of our common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19, 2026 for:</w:t>
      </w:r>
    </w:p>
    <w:p>
      <w:pPr>
        <w:spacing w:after="0" w:line="99"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who beneficially owns more than 5% of our common stock.</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16,342,095 shares of our common stock outstanding as of March 19, 2026.</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shares are owned directly, and the named person possesses sole voting and investment power with respect to his or her shares. The address for each of our directors and named executive officers is c/o South Plains Financial, Inc., 5219 City Bank Parkway, Lubbock, Texas 79407.</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3"/>
                <w:szCs w:val="13"/>
                <w:color w:val="auto"/>
              </w:rPr>
            </w:pPr>
          </w:p>
        </w:tc>
        <w:tc>
          <w:tcPr>
            <w:tcW w:w="12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NEOs: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Brent A. Bates</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39,636</w:t>
            </w:r>
          </w:p>
        </w:tc>
        <w:tc>
          <w:tcPr>
            <w:tcW w:w="14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Richard D. Campbell</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1,579,147</w:t>
            </w:r>
          </w:p>
        </w:tc>
        <w:tc>
          <w:tcPr>
            <w:tcW w:w="1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84"/>
        </w:trPr>
        <w:tc>
          <w:tcPr>
            <w:tcW w:w="56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Steven B. Crockett</w:t>
            </w:r>
            <w:r>
              <w:rPr>
                <w:rFonts w:ascii="Times New Roman" w:cs="Times New Roman" w:eastAsia="Times New Roman" w:hAnsi="Times New Roman"/>
                <w:sz w:val="29"/>
                <w:szCs w:val="29"/>
                <w:color w:val="auto"/>
                <w:vertAlign w:val="superscript"/>
              </w:rPr>
              <w:t>(3)</w:t>
            </w:r>
          </w:p>
        </w:tc>
        <w:tc>
          <w:tcPr>
            <w:tcW w:w="13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210,932</w:t>
            </w:r>
          </w:p>
        </w:tc>
        <w:tc>
          <w:tcPr>
            <w:tcW w:w="14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83"/>
        </w:trPr>
        <w:tc>
          <w:tcPr>
            <w:tcW w:w="56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Paul A. Ehlers</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171,966</w:t>
            </w:r>
          </w:p>
        </w:tc>
        <w:tc>
          <w:tcPr>
            <w:tcW w:w="1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83"/>
        </w:trPr>
        <w:tc>
          <w:tcPr>
            <w:tcW w:w="56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Curtis C. Griffith</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982,755</w:t>
            </w:r>
          </w:p>
        </w:tc>
        <w:tc>
          <w:tcPr>
            <w:tcW w:w="14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84"/>
        </w:trPr>
        <w:tc>
          <w:tcPr>
            <w:tcW w:w="56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Cory T. Newsom</w:t>
            </w:r>
            <w:r>
              <w:rPr>
                <w:rFonts w:ascii="Times New Roman" w:cs="Times New Roman" w:eastAsia="Times New Roman" w:hAnsi="Times New Roman"/>
                <w:sz w:val="29"/>
                <w:szCs w:val="29"/>
                <w:color w:val="auto"/>
                <w:vertAlign w:val="superscript"/>
              </w:rPr>
              <w:t>(6)</w:t>
            </w:r>
          </w:p>
        </w:tc>
        <w:tc>
          <w:tcPr>
            <w:tcW w:w="13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522,777</w:t>
            </w:r>
          </w:p>
        </w:tc>
        <w:tc>
          <w:tcPr>
            <w:tcW w:w="1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83"/>
        </w:trPr>
        <w:tc>
          <w:tcPr>
            <w:tcW w:w="56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James D. Stein</w:t>
            </w:r>
            <w:r>
              <w:rPr>
                <w:rFonts w:ascii="Times New Roman" w:cs="Times New Roman" w:eastAsia="Times New Roman" w:hAnsi="Times New Roman"/>
                <w:sz w:val="29"/>
                <w:szCs w:val="29"/>
                <w:color w:val="auto"/>
                <w:vertAlign w:val="superscript"/>
              </w:rPr>
              <w:t>(7)</w:t>
            </w:r>
          </w:p>
        </w:tc>
        <w:tc>
          <w:tcPr>
            <w:tcW w:w="180" w:type="dxa"/>
            <w:vAlign w:val="bottom"/>
          </w:tcPr>
          <w:p>
            <w:pPr>
              <w:spacing w:after="0"/>
              <w:rPr>
                <w:sz w:val="24"/>
                <w:szCs w:val="24"/>
                <w:color w:val="auto"/>
              </w:rPr>
            </w:pPr>
          </w:p>
        </w:tc>
        <w:tc>
          <w:tcPr>
            <w:tcW w:w="1200" w:type="dxa"/>
            <w:vAlign w:val="bottom"/>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13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487,134</w:t>
            </w:r>
          </w:p>
        </w:tc>
        <w:tc>
          <w:tcPr>
            <w:tcW w:w="1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13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13,534</w:t>
            </w:r>
          </w:p>
        </w:tc>
        <w:tc>
          <w:tcPr>
            <w:tcW w:w="14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13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1,622</w:t>
            </w:r>
          </w:p>
        </w:tc>
        <w:tc>
          <w:tcPr>
            <w:tcW w:w="1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Directors &amp; executive officers as a group (11 individuals)</w:t>
            </w:r>
          </w:p>
        </w:tc>
        <w:tc>
          <w:tcPr>
            <w:tcW w:w="13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4,112,035</w:t>
            </w:r>
          </w:p>
        </w:tc>
        <w:tc>
          <w:tcPr>
            <w:tcW w:w="14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Henry TAW LP</w:t>
            </w:r>
            <w:r>
              <w:rPr>
                <w:rFonts w:ascii="Times New Roman" w:cs="Times New Roman" w:eastAsia="Times New Roman" w:hAnsi="Times New Roman"/>
                <w:sz w:val="29"/>
                <w:szCs w:val="29"/>
                <w:color w:val="auto"/>
                <w:vertAlign w:val="superscript"/>
              </w:rPr>
              <w:t>(8)</w:t>
            </w:r>
          </w:p>
        </w:tc>
        <w:tc>
          <w:tcPr>
            <w:tcW w:w="138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1,529,386</w:t>
            </w:r>
          </w:p>
        </w:tc>
        <w:tc>
          <w:tcPr>
            <w:tcW w:w="14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(9)</w:t>
            </w:r>
          </w:p>
        </w:tc>
        <w:tc>
          <w:tcPr>
            <w:tcW w:w="13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1,216,582</w:t>
            </w:r>
          </w:p>
        </w:tc>
        <w:tc>
          <w:tcPr>
            <w:tcW w:w="1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54"/>
        </w:trPr>
        <w:tc>
          <w:tcPr>
            <w:tcW w:w="56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ownership of less than 1%</w:t>
      </w:r>
    </w:p>
    <w:p>
      <w:pPr>
        <w:spacing w:after="0" w:line="42" w:lineRule="exact"/>
        <w:rPr>
          <w:sz w:val="20"/>
          <w:szCs w:val="20"/>
          <w:color w:val="auto"/>
        </w:rPr>
      </w:pPr>
    </w:p>
    <w:p>
      <w:pPr>
        <w:ind w:left="640" w:right="31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1,986 shares held individually by Mr. Bates, (ii) 26,016, shares underlying vested options, and (iii) 11,634 unvested or unreleased shares of restricted stock</w:t>
      </w:r>
    </w:p>
    <w:p>
      <w:pPr>
        <w:jc w:val="both"/>
        <w:ind w:left="640" w:right="299" w:hanging="348"/>
        <w:spacing w:after="0" w:line="23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9,761 shares held individually by Mr. Campbell, (ii) 40,000 shares held by Racham Investment Group LLC, over which Mr. Campbell is a member, and (iii) 1,529,386 shares owned by Henry TAW LP. All of the shares owned by Henry TAW LP are subject to a voting agreement and irrevocable proxy pursuant to which Mr. Campbell exercises voting authority, and includes 1,529,386 shares pledged to J.P. Morgan Chase.</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75,533 shares held individually by Mr. Crockett, (ii) 120,620, shares underlying vested options, and (iii) 14,779 unvested or unreleased shares of restricted stock.</w:t>
      </w:r>
    </w:p>
    <w:p>
      <w:pPr>
        <w:ind w:left="640" w:right="319" w:hanging="348"/>
        <w:spacing w:after="0" w:line="26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75,885 shares held individually by Mr. Ehlers, (ii) 84,447, shares underlying vested options, and (iii) 11,634 unvested or unreleased shares of restricted stock.</w:t>
      </w:r>
    </w:p>
    <w:p>
      <w:pPr>
        <w:jc w:val="both"/>
        <w:ind w:left="640" w:right="299"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453,908 shares held individually by Mr. Griffith, (ii) 64,000 shares held in the Richard Thomas White 2021 Trust, over which Mr. Griffith serves as trustee, (iii) 87,000 shares held in the Birdie Lucille White 2021 Trust, over which Mr. Griffith serves as trustee, (iv) 87,000 shares held in the William Hogan White 2021 Trust, over which Mr. Griffith serves as trustee, (v) 87,000 shares held in the Sydney Suzanne Griffith 2021 Trust, over which Mr. Griffith serves as trustee, (vi) 87,000 shares held in the Johnathan Brockway Griffith 2021 Trust,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over which Mr. Griffith serves as trustee, (vii) 113,636 shares underlying options that are vested or will be vested within 60 days, and</w:t>
      </w:r>
    </w:p>
    <w:p>
      <w:pPr>
        <w:ind w:left="1020" w:hanging="368"/>
        <w:spacing w:after="0" w:line="226" w:lineRule="auto"/>
        <w:tabs>
          <w:tab w:leader="none" w:pos="10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3,211 unvested shares of restricted stock. Includes 350,000 shares pledged as security for personal loans. Does not include</w:t>
      </w:r>
    </w:p>
    <w:p>
      <w:pPr>
        <w:jc w:val="both"/>
        <w:ind w:left="660" w:right="319" w:hanging="8"/>
        <w:spacing w:after="0" w:line="233" w:lineRule="auto"/>
        <w:tabs>
          <w:tab w:leader="none" w:pos="84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435,000 shares that are held in the Curtis C. Griffith 2021 Irrevocable Trust, over which Mr. Griffith’s spouse serves as trustee, which Mr. Griffith has disclaimed beneficial ownership, and (ii) 46,350 shares owned directly by Mr. Griffith’s spouse, which Mr. Griffith has disclaimed beneficial ownership.</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288,474 shares held individually by Mr. Newsom, (ii) 227,237 shares underlying options that are vested or will be vested within 60 days, (iii) 6,423 unvested shares of restricted stock, and (iv) 643 shares held by Mr. Newsom’s spouse. Includes 145,500 pledged shares as security for personal loans.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Stein became a director of the Company on April 1, 2026 in connection with the merger of BOH with and into the Company. As of March 19, 2026, Mr. Stein did not own any shares of the Company.</w:t>
      </w:r>
    </w:p>
    <w:p>
      <w:pPr>
        <w:ind w:left="640" w:right="31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1,589,386 shares held by Henry TAW LP, located at 3525 Andrews Hwy., Midland, Texas 79703, are subject to a voting agreement and irrevocable proxy pursuant to which Richard D. Campbell exercises voting authority.</w:t>
      </w:r>
    </w:p>
    <w:p>
      <w:pPr>
        <w:jc w:val="both"/>
        <w:ind w:left="640" w:right="299" w:hanging="348"/>
        <w:spacing w:after="0" w:line="233"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as of December 31, 2025, obtained from a Schedule 13F filed with the SEC on or about February 12, 2026, by BlackRock, Inc., located at 50 Hudson Yards, New York, New York 10001 (“BlackRock”). BlackRock reported in its Schedule 13F that it has sole voting power over 1,171,601 shares, sole dispositive power over 1,216,582 shares and no shared voting power or shared dispositive power over 44,981 shares. The foregoing information has been included solely in reliance upon, and without independent investigation of, the disclosures contained in BlackRock’s Schedule 13F.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p>
    <w:p>
      <w:pPr>
        <w:spacing w:after="0" w:line="7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Audit Committee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 (2) satisfies the additional independence standards under applicable SEC rules for Audit Committee service, and (3) 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Audit Committee absent actual knowledge to the contrary and (iii) statements made by management or third parties as to any information technology and other non-audit services provided by Forvis Mazars, LLP to the Company. In fulfilling its oversight responsibilities, the Audit Committee:</w:t>
      </w:r>
    </w:p>
    <w:p>
      <w:pPr>
        <w:spacing w:after="0" w:line="88" w:lineRule="exact"/>
        <w:rPr>
          <w:sz w:val="20"/>
          <w:szCs w:val="20"/>
          <w:color w:val="auto"/>
        </w:rPr>
      </w:pPr>
    </w:p>
    <w:p>
      <w:pPr>
        <w:ind w:left="1000" w:right="2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the audited financial statements for the year ended December 31, 2025;</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oversaw the annual independent audit of the Company’s financial statements, including the Company’s internal control over financial reporting as required by the Sarbanes Oxley Act, the engagement, compensation, and retention of the independent registered public accounting firm, and the evaluation of the independent registered public accounting firm’s qualifications, independence, and performance;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registered public accounting firm, Forvis Mazars, LLP, the matters required to be discussed by the applicable requirements of the Public Company Accounting Oversight Board (“PCAOB”) and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Forvis Mazars, LLP required by applicable requirements of the PCAOB regarding Forvis Mazars, LLP’s communications with the Audit Committee concerning independence, and discussed with Forvis Mazars, LLP its independence;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adequacy of the internal controls of the Company with management and the internal audit department.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for the year ended December 31, 2025 be included in the Company’s Annual Report on Form 10-K for filing with the SEC.</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Kyle R. Wargo (Audit Committee Chairman)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D. Campbell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Noe G. Valles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LaDana R. Washburn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121" w:lineRule="exact"/>
        <w:rPr>
          <w:sz w:val="20"/>
          <w:szCs w:val="20"/>
          <w:color w:val="auto"/>
        </w:rPr>
      </w:pPr>
    </w:p>
    <w:p>
      <w:pPr>
        <w:jc w:val="both"/>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recommended, and the board appointed, Forvis Mazars, LLP as our independent auditors to audit the consolidated financial statements of the Company for the 2026 fiscal year. Forvis Mazars, LLP served as our independent auditors for the 2025 fiscal year and reported on the Company’s consolidated financial statements for that year.</w:t>
      </w: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w:t>
      </w:r>
    </w:p>
    <w:p>
      <w:pPr>
        <w:spacing w:after="0" w:line="3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Fees Billed by Independent Registered Public Accounting Firm</w:t>
      </w:r>
    </w:p>
    <w:p>
      <w:pPr>
        <w:spacing w:after="0" w:line="121"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following audit and non-audit fees billed to the Company by Forvis Mazars, LLP for 2025 and 2024 for purposes of considering whether such fees are compatible with maintaining the auditor’s independence, and concluded that such fees did not impair Forvis Mazars, LLP’s independence. The policy of the Audit Committee is to pre-approve all audit and non-audit services performed by Forvis Mazars, LLP for the benefit of the Company before the services are performed, including all of the services described under “Audit Fees” and “Audit-Related Fees,” “Tax Fees” and “All Other Fees” below. The Audit Committee has pre-approved all of the services provided by Forvis Mazars, LLP to the Company in accordance with the policies and procedures described in the section titled “—Audit Committee Pre-Approval.”</w:t>
      </w:r>
    </w:p>
    <w:p>
      <w:pPr>
        <w:spacing w:after="0" w:line="22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22225</wp:posOffset>
            </wp:positionV>
            <wp:extent cx="10458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$574,576</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$570,536</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31"/>
        </w:trPr>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7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$574,576</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$589,961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20" w:type="dxa"/>
            <w:vAlign w:val="bottom"/>
          </w:tcPr>
          <w:p>
            <w:pPr>
              <w:jc w:val="right"/>
              <w:ind w:right="2096"/>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FOR SUBMISSION OF SHAREHOLDER PROPOSALS FOR 2027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 shareholder desires to submit a shareholder proposal pursuant to Rule 14a-8 under the Exchange Act for inclusion in the proxy statement for the 2027 annual meeting of shareholders, such proposal and supporting statements, if any, must be received by us at the Company’s principal executive office no later than December 11, 2026 unless the date of the Company’s 2027 annual meeting of shareholders is changed by more than 30 days from May 11, 2027 (the one-year anniversary date of the 2026 annual meeting), in which case the proposal must be received a reasonable time before the Company begins to print and mail its proxy materials. Any such proposal must comply with the requirements of Rule 14a-8 under the Exchange Act.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our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ninety (90) days nor more than one hundred twenty (120)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(10th) day following the day on which such notice of the date of the meeting was mailed or such disclosure was made.</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notices to us must also provide certain information set forth in the Company’s bylaws. A copy of the Company’s bylaws may be obtained upon written request to the Secretary of the Company.</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shareholder proposals and nominations should be submitted to the Secretary of the Company at South Plains Financial, Inc., 5219 City Bank Parkway, Lubbock, Texas 79407, Attention: Corporate Secretary.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does not intend to bring any other matter before the annual meeting and does not know of any other matters that are to be presented for action at the annual meeting. However, if any other matter does properly come before the annual meeting or any adjournment(s) or postponement(s) thereof, the proxies will be voted in accordance with the discretion of the person or persons voting the proxies.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Regardless of whether you plan to attend the annual meeting, you are urged to complete, date, sign and return the enclosed proxy in the accompanying envelope at your earliest convenience.</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4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Lubbock, Texas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April 6,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lvl w:ilvl="1">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lowerLetter"/>
      <w:start w:val="25"/>
    </w:lvl>
  </w:abstractNum>
  <w:abstractNum w:abstractNumId="19">
    <w:nsid w:val="8138641"/>
    <w:multiLevelType w:val="hybridMultilevel"/>
    <w:lvl w:ilvl="0">
      <w:lvlJc w:val="left"/>
      <w:lvlText w:val="(%1)"/>
      <w:numFmt w:val="lowerRoman"/>
      <w:start w:val="4"/>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decimal"/>
      <w:start w:val="3"/>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decimal"/>
      <w:start w:val="5"/>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Roman"/>
      <w:start w:val="8"/>
    </w:lvl>
  </w:abstractNum>
  <w:abstractNum w:abstractNumId="37">
    <w:nsid w:val="5E884ADC"/>
    <w:multiLevelType w:val="hybridMultilevel"/>
    <w:lvl w:ilvl="0">
      <w:lvlJc w:val="left"/>
      <w:lvlText w:val="%1"/>
      <w:numFmt w:val="decimal"/>
      <w:start w:val="1"/>
    </w:lvl>
    <w:lvl w:ilvl="1">
      <w:lvlJc w:val="left"/>
      <w:lvlText w:val="(%2)"/>
      <w:numFmt w:val="lowerRoman"/>
      <w:start w:val="1"/>
    </w:lvl>
  </w:abstractNum>
  <w:abstractNum w:abstractNumId="38">
    <w:nsid w:val="51EAD36B"/>
    <w:multiLevelType w:val="hybridMultilevel"/>
    <w:lvl w:ilvl="0">
      <w:lvlJc w:val="left"/>
      <w:lvlText w:val="(%1)"/>
      <w:numFmt w:val="decimal"/>
      <w:start w:val="6"/>
    </w:lvl>
    <w:lvl w:ilvl="1">
      <w:lvlJc w:val="left"/>
      <w:lvlText w:val="%2"/>
      <w:numFmt w:val="lowerRoman"/>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2026-04-06T15:33:56Z</dcterms:created>
  <dcterms:modified xsi:type="dcterms:W3CDTF">2026-04-06T15:33:56Z</dcterms:modified>
</cp:coreProperties>
</file>