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25, 2023</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South Plains Financial,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455" w:right="319" w:bottom="1440" w:gutter="0" w:footer="0" w:header="0"/>
        </w:sectPr>
      </w:pPr>
    </w:p>
    <w:p>
      <w:pPr>
        <w:spacing w:after="0" w:line="167"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Texas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001-38895</w:t>
      </w:r>
    </w:p>
    <w:p>
      <w:pPr>
        <w:spacing w:after="0" w:line="25" w:lineRule="exact"/>
        <w:rPr>
          <w:sz w:val="24"/>
          <w:szCs w:val="24"/>
          <w:color w:val="auto"/>
        </w:rPr>
      </w:pPr>
    </w:p>
    <w:p>
      <w:pPr>
        <w:jc w:val="center"/>
        <w:ind w:right="12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75-2453320</w:t>
      </w:r>
    </w:p>
    <w:p>
      <w:pPr>
        <w:spacing w:after="0" w:line="25"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(IRS Employer Identification No.)</w:t>
      </w:r>
    </w:p>
    <w:p>
      <w:pPr>
        <w:spacing w:after="0" w:line="181" w:lineRule="exact"/>
        <w:rPr>
          <w:sz w:val="24"/>
          <w:szCs w:val="24"/>
          <w:color w:val="auto"/>
        </w:rPr>
      </w:pPr>
    </w:p>
    <w:p>
      <w:pPr>
        <w:sectPr>
          <w:pgSz w:w="11900" w:h="16838" w:orient="portrait"/>
          <w:cols w:equalWidth="0" w:num="3">
            <w:col w:w="4140" w:space="720"/>
            <w:col w:w="2860" w:space="720"/>
            <w:col w:w="2840"/>
          </w:cols>
          <w:pgMar w:left="300" w:top="455" w:right="319" w:bottom="1440" w:gutter="0" w:footer="0" w:header="0"/>
          <w:type w:val="continuous"/>
        </w:sectPr>
      </w:pPr>
    </w:p>
    <w:p>
      <w:pPr>
        <w:jc w:val="center"/>
        <w:ind w:right="1960"/>
        <w:spacing w:after="0"/>
        <w:rPr>
          <w:sz w:val="20"/>
          <w:szCs w:val="20"/>
          <w:color w:val="auto"/>
        </w:rPr>
      </w:pPr>
      <w:r>
        <w:rPr>
          <w:rFonts w:ascii="Arial" w:cs="Arial" w:eastAsia="Arial" w:hAnsi="Arial"/>
          <w:sz w:val="14"/>
          <w:szCs w:val="14"/>
          <w:b w:val="1"/>
          <w:bCs w:val="1"/>
          <w:color w:val="auto"/>
        </w:rPr>
        <w:t>5219 City Bank Parkway</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79407</w:t>
      </w:r>
    </w:p>
    <w:p>
      <w:pPr>
        <w:spacing w:after="0" w:line="25" w:lineRule="exact"/>
        <w:rPr>
          <w:sz w:val="24"/>
          <w:szCs w:val="24"/>
          <w:color w:val="auto"/>
        </w:rPr>
      </w:pPr>
    </w:p>
    <w:p>
      <w:pPr>
        <w:jc w:val="center"/>
        <w:ind w:right="2440"/>
        <w:spacing w:after="0"/>
        <w:rPr>
          <w:sz w:val="20"/>
          <w:szCs w:val="20"/>
          <w:color w:val="auto"/>
        </w:rPr>
      </w:pPr>
      <w:r>
        <w:rPr>
          <w:rFonts w:ascii="Arial" w:cs="Arial" w:eastAsia="Arial" w:hAnsi="Arial"/>
          <w:sz w:val="13"/>
          <w:szCs w:val="13"/>
          <w:color w:val="auto"/>
        </w:rPr>
        <w:t>(Zip Code)</w:t>
      </w:r>
    </w:p>
    <w:p>
      <w:pPr>
        <w:spacing w:after="0" w:line="181" w:lineRule="exact"/>
        <w:rPr>
          <w:sz w:val="24"/>
          <w:szCs w:val="24"/>
          <w:color w:val="auto"/>
        </w:rPr>
      </w:pPr>
    </w:p>
    <w:p>
      <w:pPr>
        <w:sectPr>
          <w:pgSz w:w="11900" w:h="16838" w:orient="portrait"/>
          <w:cols w:equalWidth="0" w:num="2">
            <w:col w:w="7480" w:space="720"/>
            <w:col w:w="3080"/>
          </w:cols>
          <w:pgMar w:left="300" w:top="455" w:right="3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(806) 792-7101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20" w:firstLine="6"/>
        <w:spacing w:after="0" w:line="521" w:lineRule="auto"/>
        <w:tabs>
          <w:tab w:leader="none" w:pos="25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4"/>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1" w:lineRule="exact"/>
        <w:rPr>
          <w:sz w:val="24"/>
          <w:szCs w:val="24"/>
          <w:color w:val="auto"/>
        </w:rPr>
      </w:pPr>
    </w:p>
    <w:p>
      <w:pPr>
        <w:ind w:right="44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ind w:left="95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30" w:lineRule="exact"/>
        <w:rPr>
          <w:sz w:val="24"/>
          <w:szCs w:val="24"/>
          <w:color w:val="auto"/>
        </w:rPr>
      </w:pPr>
    </w:p>
    <w:p>
      <w:pPr>
        <w:ind w:right="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18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On July 25, 2023, South Plains Financial, Inc. (the “Company”) issued a press release announcing its financial results for the second quarter ended June 30, 2023. A copy of the Company’s press release covering such announcement and certain other matters is furnished as Exhibit 99.1 to this Current Report on Form 8-K.</w:t>
      </w:r>
    </w:p>
    <w:p>
      <w:pPr>
        <w:spacing w:after="0" w:line="12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8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July 25, 2023, officers of the Company will have a conference call with respect to the Company’s financial results for the second quarter ended June 30, 2023. An earnings release slide presentation highlighting the Company’s financial results for the second quarter ended June 30, 2023 is furnished as Exhibit 99.2 to this Current Report on Form 8-K. This earnings release slide presentation will also be available on the Company’s website, www.spfi.bank, under the “News &amp; Events” section.</w:t>
      </w:r>
    </w:p>
    <w:p>
      <w:pPr>
        <w:spacing w:after="0" w:line="141" w:lineRule="exact"/>
        <w:rPr>
          <w:sz w:val="20"/>
          <w:szCs w:val="20"/>
          <w:color w:val="auto"/>
        </w:rPr>
      </w:pPr>
    </w:p>
    <w:p>
      <w:pPr>
        <w:jc w:val="both"/>
        <w:ind w:firstLine="517"/>
        <w:spacing w:after="0" w:line="293" w:lineRule="auto"/>
        <w:rPr>
          <w:sz w:val="20"/>
          <w:szCs w:val="20"/>
          <w:color w:val="auto"/>
        </w:rPr>
      </w:pPr>
      <w:r>
        <w:rPr>
          <w:rFonts w:ascii="Arial" w:cs="Arial" w:eastAsia="Arial" w:hAnsi="Arial"/>
          <w:sz w:val="13"/>
          <w:szCs w:val="13"/>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27"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7" w:lineRule="exact"/>
        <w:rPr>
          <w:sz w:val="20"/>
          <w:szCs w:val="20"/>
          <w:color w:val="auto"/>
        </w:rPr>
      </w:pPr>
    </w:p>
    <w:p>
      <w:pPr>
        <w:ind w:left="900" w:hanging="377"/>
        <w:spacing w:after="0"/>
        <w:tabs>
          <w:tab w:leader="none" w:pos="9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u w:val="single" w:color="auto"/>
          <w:color w:val="0000EE"/>
        </w:rPr>
        <w:t>99.1</w:t>
      </w:r>
      <w:r>
        <w:rPr>
          <w:sz w:val="20"/>
          <w:szCs w:val="20"/>
          <w:color w:val="auto"/>
        </w:rPr>
        <w:tab/>
      </w:r>
      <w:r>
        <w:rPr>
          <w:rFonts w:ascii="Arial" w:cs="Arial" w:eastAsia="Arial" w:hAnsi="Arial"/>
          <w:sz w:val="12"/>
          <w:szCs w:val="12"/>
          <w:color w:val="auto"/>
        </w:rPr>
        <w:t>Press release, dated July 25, 2023, announcing second quarter 2023 financial results of South Plains Financial, Inc.</w:t>
      </w:r>
    </w:p>
    <w:p>
      <w:pPr>
        <w:spacing w:after="0" w:line="18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u w:val="single" w:color="auto"/>
          <w:color w:val="0000EE"/>
        </w:rPr>
        <w:t>99.2</w:t>
      </w:r>
      <w:r>
        <w:rPr>
          <w:sz w:val="20"/>
          <w:szCs w:val="20"/>
          <w:color w:val="auto"/>
        </w:rPr>
        <w:tab/>
      </w:r>
      <w:r>
        <w:rPr>
          <w:rFonts w:ascii="Arial" w:cs="Arial" w:eastAsia="Arial" w:hAnsi="Arial"/>
          <w:sz w:val="12"/>
          <w:szCs w:val="12"/>
          <w:color w:val="auto"/>
        </w:rPr>
        <w:t>Earnings release slide presentation, dated July 25, 2023.</w:t>
      </w:r>
    </w:p>
    <w:p>
      <w:pPr>
        <w:spacing w:after="0" w:line="183" w:lineRule="exact"/>
        <w:rPr>
          <w:sz w:val="20"/>
          <w:szCs w:val="20"/>
          <w:color w:val="auto"/>
        </w:rPr>
      </w:pPr>
    </w:p>
    <w:p>
      <w:pPr>
        <w:ind w:left="680"/>
        <w:spacing w:after="0"/>
        <w:tabs>
          <w:tab w:leader="none" w:pos="12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SOUTH PLAINS FINANCIAL, INC.</w:t>
      </w:r>
    </w:p>
    <w:p>
      <w:pPr>
        <w:spacing w:after="0" w:line="187"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color w:val="auto"/>
        </w:rPr>
        <w:t>Dated: July 25, 2023</w:t>
      </w:r>
      <w:r>
        <w:rPr>
          <w:sz w:val="20"/>
          <w:szCs w:val="20"/>
          <w:color w:val="auto"/>
        </w:rPr>
        <w:tab/>
      </w:r>
      <w:r>
        <w:rPr>
          <w:rFonts w:ascii="Arial" w:cs="Arial" w:eastAsia="Arial" w:hAnsi="Arial"/>
          <w:sz w:val="13"/>
          <w:szCs w:val="13"/>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13970</wp:posOffset>
            </wp:positionV>
            <wp:extent cx="338201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2010" cy="13970"/>
                    </a:xfrm>
                    <a:prstGeom prst="rect">
                      <a:avLst/>
                    </a:prstGeom>
                    <a:noFill/>
                  </pic:spPr>
                </pic:pic>
              </a:graphicData>
            </a:graphic>
          </wp:anchor>
        </w:drawing>
      </w:r>
    </w:p>
    <w:p>
      <w:pPr>
        <w:spacing w:after="0" w:line="13"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Steven B. Crockett</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40"/>
          </w:cols>
          <w:pgMar w:left="300" w:top="125" w:right="659" w:bottom="1440" w:gutter="0" w:footer="0" w:header="0"/>
        </w:sectPr>
      </w:pPr>
    </w:p>
    <w:bookmarkStart w:id="3" w:name="page4"/>
    <w:bookmarkEnd w:id="3"/>
    <w:p>
      <w:pPr>
        <w:ind w:left="105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2787650"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765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Plains Financial, Inc. Reports Second Quarter 2023 Financial Results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LUBBOCK, Texas, July 25, 2023 (GLOBE NEWSWIRE) – South Plains Financial, Inc. (NASDAQ:SPFI) (“South Plains” or the “Company”), the parent company of City Bank (“City Bank” or the “Bank”), today reported its financial results for the quarter ended June 30, 2023.</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Quarter 2023 Highlights</w:t>
      </w:r>
    </w:p>
    <w:p>
      <w:pPr>
        <w:spacing w:after="0" w:line="187" w:lineRule="exact"/>
        <w:rPr>
          <w:sz w:val="20"/>
          <w:szCs w:val="20"/>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for the second quarter of 2023 was $29.7 million, compared to $9.2 million for the first quarter of 2023 and $15.9 million for the second quarter of 2022.</w:t>
      </w:r>
    </w:p>
    <w:p>
      <w:pPr>
        <w:spacing w:after="0" w:line="20"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Diluted earnings per share for the second quarter of 2023 was $1.71, compared to $0.53 for the first quarter of 2023 and $0.88 for the second quarter of 2022.</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Excluding one-time gains net of charges related to the sale of Windmark ($22.9 million net of tax) and the loss from repositioning of the securities portfolio ($2.7 million net of tax), second quarter 2023 diluted earnings per share was $0.55</w:t>
      </w: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Deposits grew $66.5 million, or 1.9%, to $3.57 billion during the second quarter of 2023, as compared to March 31, 2023; an estimated 16% of deposits at June 30, 2023 were uninsured or uncollateralized.</w:t>
      </w:r>
    </w:p>
    <w:p>
      <w:pPr>
        <w:ind w:left="520" w:hanging="256"/>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Average cost of deposits for the second quarter of 2023 was 169 basis points, compared to 136 basis points for the first quarter of 2023 and 27 basis points for the second quarter of 2022.</w:t>
      </w:r>
    </w:p>
    <w:p>
      <w:pPr>
        <w:spacing w:after="0" w:line="22" w:lineRule="exact"/>
        <w:rPr>
          <w:rFonts w:ascii="Arial" w:cs="Arial" w:eastAsia="Arial" w:hAnsi="Arial"/>
          <w:sz w:val="13"/>
          <w:szCs w:val="13"/>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interest margin, calculated on a tax-equivalent basis, was 3.65% for the second quarter of 2023, compared to 3.75% for the first quarter of 2023.</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Loans held for investment grew $190.4 million, or 6.8%, during the second quarter of 2023, compared to March 31, 2023.</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Provision for credit losses was $3.7 million in the second quarter of 2023, compared to $1.0 million in the first quarter of 2023 and no provision for the second quarter of 2022.</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Nonperforming assets to total assets were 0.51% at June 30, 2023, compared to 0.19% at March 31, 2023 and 0.20% at June 30, 2022.</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average assets for the second quarter of 2023 was 2.97% annualized, compared to 0.95% annualized for the first quarter of 2023 and 1.60% annualized for the second quarter of 2022.</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Tangible book value (non-GAAP) per share was $21.82 as of June 30, 2023, compared to $20.19 as of March 31, 2023 and $19.50 as of June 30, 2022.</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Liquidity - available borrowing capacity of $1.82 billion through the Federal Home Loan Bank of Dallas, the Federal Reserve’s Discount Window, and access to the Federal Reserve’s Bank Term Funding Program at June 30, 2023.</w:t>
      </w: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Capital - total risk-based capital ratio – 16.75%, Tier 1 risk-based capital ratio – 13.37%, Common Equity Tier 1 risk-based capital ratio – 12.11%, and Tier 1 leverage ratio - 11.68%, all at June 30, 2023 and significantly exceeding the minimum regulatory levels necessary to be deemed “well-capitalized.”</w:t>
      </w:r>
    </w:p>
    <w:p>
      <w:pPr>
        <w:ind w:left="520" w:hanging="256"/>
        <w:spacing w:after="0" w:line="27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previously announced, on April 1, 2023, the sale of City Bank’s formerly wholly owned subsidiary, Windmark Insurance Agency, Inc. (“Windmark”) to Alliant Insurance Services in an all cash transaction was completed.</w:t>
      </w:r>
    </w:p>
    <w:p>
      <w:pPr>
        <w:spacing w:after="0" w:line="141"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Curtis Griffith, South Plains’ Chairman and Chief Executive Officer, commented, “Our second quarter results demonstrate the strength of the Bank and the resiliency of our markets as we maintained core deposits while our non-interest bearing deposits remained relatively steady, which is quite an accomplishment in this challenging environment. Additionally, we were able to maintain our net interest margin at March’s level of 3.65% through the second quarter as higher loan yields are offsetting the rise in our cost of funds. We have also maintained a strong liquidity and capital position which was further bolstered by the sale of Windmark in April. Given the large one-time gain that was recognized, we made the strategic decision to sell $56 million of securities having recorded a realized loss of $3.4 million. We believe this was a tax efficient transaction which will boost our earnings in future quarters as we have reinvested the proceeds into higher yielding loans through the quarter. While we continue to deliver strong results, we believe our shares are trading below intrinsic value. As a result, our board of directors authorized a $15 million stock repurchase program in May and we subsequently bought back approximately 113,000 shares during the remainder of the quarter.”</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Quarter Ended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Net interest income was $34.6 million for the second quarter of 2023, compared to $34.3 million for the first quarter of 2023 and $37.1 million for the second quarter of 2022. Net interest margin, calculated on a tax-equivalent basis, was 3.65% for the second quarter of 2023, compared to 3.75% for the first quarter of 2023 and 4.02% for the second quarter of 2022. The average yield on loans was 5.94% for the second quarter of 2023, compared to 5.78% for the first quarter of 2023 and 5.57% for the second quarter of 2022. The average cost of deposits was 169 basis points for the second quarter of 2023, which is 33 basis points higher than the first quarter of 2023 and 142 basis points higher than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6026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340" w:right="31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4"/>
          <w:szCs w:val="14"/>
          <w:color w:val="auto"/>
        </w:rPr>
        <w:t>Interest income was $50.8 million for the second quarter of 2023, compared to $47.4 million for the first quarter of 2023 and $40.8 million for the second quarter of 2022. Interest income increased $3.4 million in the second quarter of 2023 from the first quarter of 2023, which was mainly comprised of an increase of $3.3 million in loan interest income. The growth in loan interest income was primarily due to an increase of $115.2 million in average loans outstanding and the rising short-term interest rate environment, as the yield on loans rose 16 basis points. Interest income increased $10.1 million in the second quarter of 2023 compared to the second quarter of 2022. This increase was primarily due to an increase of average loans of $344.8 million and higher market interest rates during the period, partially offset by $4.4 million of interest income received related to four credits for the recovery of interest on previously charged-off credits, purchase discount principal recovery, and prepayment penalties during the second quarter of 2022.</w:t>
      </w:r>
    </w:p>
    <w:p>
      <w:pPr>
        <w:spacing w:after="0" w:line="151"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Interest expense was $16.2 million for the second quarter of 2023, compared to $13.1 million for the first quarter of 2023 and $3.6 million for the second quarter of 2022. Interest expense increased $3.1 million compared to the first quarter of 2023 and $12.6 million compared to the second quarter of 2022, primarily as a result of significantly rising short-term interest rates on interest-bearing liabilities, with the increase being mainly comprised of interest expense on deposits. Additionally, interest-bearing deposits have grown during both of the period comparisons.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 and Noninterest Expense</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Noninterest income was $47.1 million for the second quarter of 2023, compared to $10.7 million for the first quarter of 2023 and $18.8 million for the second quarter of 2022. The increase from the first quarter of 2023 was primarily due to the $33.5 million gain on sale of Windmark and an increase of $3.0 million in mortgage banking activities revenue, partially offset by a reduction of $1.4 million in income from insurance activities due to the sale of Windmark. The increase in mortgage banking activities revenues was mainly the result of a $400 thousand fair value write-up of the mortgage servicing rights portfolio compared to the write-down of $2.0 million in the first quarter of 2023 and an increase of $45.9 million in mortgage loans originated for sale. Additionally, bank card services and interchange revenue increased $1.1 million for the second quarter of 2023 compared to the first quarter of 2022 mainly as a result of continued growth in customer card usage and incentives received during the period. The increase in noninterest income for the second quarter of 2023 as compared to the second quarter of 2022 was primarily due to the $33.5 million gain on sale of Windmark noted above, partially offset by a reduction of $1.5 million in income from insurance activities due to the sale of Windmark and a decrease of $3.4 million in mortgage banking revenues as originations of mortgage loans held for sale declined $74.5 million.</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Noninterest expense was $40.5 million for the second quarter of 2023, compared to $32.4 million for the first quarter of 2023 and $36.1 million for the second quarter of 2022. The $8.1 million increase from the first quarter of 2023 was largely the result of $4.5 million in personnel and transaction expenses as part of the Windmark sale plus related incentive compensation and a $3.4 million loss on the sale of securities. The increase in noninterest expense for the second quarter of 2023 as compared to the second quarter of 2022 was primarily driven by the $4.5 million in Windmark transaction and related personnel expenses, the $3.4 million loss on sale of securities, partially offset by a reduction of $1.1 million in mortgage personnel costs due to the decline in mortgage loan originations and a decrease of $759 thousand in legal expenses incurred largely as a result of a vendor dispute, which was resolved and accounted for by the end of 2022.</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Portfolio and Composition</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Loans held for investment were $2.98 billion as of June 30, 2023, compared to $2.79 billion as of March 31, 2023 and $2.58 billion as of June 30, 2022. The $190.4 million, or 6.8%, increase during the second quarter of 2023 as compared to the first quarter of 2023 remained relationship-focused and occurred primarily in commercial real estate loans, residential mortgage loans, seasonal agricultural loans, and energy loans. As of June 30, 2023, loans held for investment increased $398.6 million, or 15.4% year over year, from June 30, 2022, primarily attributable to strong organic loan growth.</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Deposits and Borrowings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Deposits totaled $3.57 billion as of June 30, 2023, compared to $3.51 billion as of March 31, 2023 and $3.43 billion as of June 30, 2022. Deposits increased by $66.5 million, or 1.9%, in the second quarter of 2023 from March 31, 2023. As of June 30, 2023, deposits increased $148.7 million, or 4.3% year over year, from June 30, 2022. Noninterest-bearing deposits were $1.10 billion as of June 30, 2023, compared to $1.11 billion as of March 31, 2023 and $1.20 billion as of June 30, 2022. Noninterest-bearing deposits represented 30.8% of total deposits as of June 30, 2023. The quarterly growth in deposits was mainly the result of an increase of $81 million in brokered deposits, partially offset by a reduction of $67 million in our public fund deposits. The year-over-year increase in deposits is primarily a result of the noted growth in the second quarter of 2023 and the overall focus on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6026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Asset Quality</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recorded a provision for credit losses in the second quarter of 2023 of $3.7 million, compared to $1.0 million in the first quarter of 2023 and no provision in the second quarter of 2022. The provision during the second quarter of 2023 was largely attributable to growth in loans held for investment and an increase of $1.3 million in specific reserves. The change in specific reserves was primarily related to a $13.3 million previously-classified relationship that was placed on nonaccrual in May 2023. Classified loans declined $3.5 million during the second quarter of 2023 to $67.4 from $70.9 million at March 31, 2023.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ratio of allowance for credit losses to loans held for investment was 1.45% as of June 30, 2023, compared to 1.42% as of March 31, 2023 and 1.54% as of June 30, 2022.</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ratio of nonperforming assets to total assets as of June 30, 2023 was 0.51%, compared to 0.19% as of March 31, 2023 and 0.20% at June 30, 2022. Annualized net charge-offs (recoveries) were 0.05% for the second quarter of 2023, compared to 0.09% for the first quarter of 2023 and (0.02)% for the second quarter of 2022. The increase in nonperforming assets was a result of the $13.3 million relationship noted above.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Book value per share increased to $23.13 at June 30, 2023, compared to $21.57 at March 31, 2023. The growth was driven by an increase of $27.5 million of net income after dividends paid, partially offset by $2.5 million in share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South Plains will host a conference call to discuss its second quarter 2023 financial results today, July 25, 2023,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Arial" w:cs="Arial" w:eastAsia="Arial" w:hAnsi="Arial"/>
          <w:sz w:val="14"/>
          <w:szCs w:val="14"/>
          <w:u w:val="single" w:color="auto"/>
          <w:color w:val="auto"/>
        </w:rPr>
        <w:t>https://www.spfi.bank/news-events/events</w:t>
      </w:r>
      <w:r>
        <w:rPr>
          <w:rFonts w:ascii="Arial" w:cs="Arial" w:eastAsia="Arial" w:hAnsi="Arial"/>
          <w:sz w:val="14"/>
          <w:szCs w:val="14"/>
          <w:color w:val="auto"/>
        </w:rPr>
        <w:t>.</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13739671. The replay will be available until August 8, 2023.</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South Plains Financial, Inc.</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Arial" w:cs="Arial" w:eastAsia="Arial" w:hAnsi="Arial"/>
          <w:sz w:val="14"/>
          <w:szCs w:val="14"/>
          <w:u w:val="single" w:color="auto"/>
          <w:color w:val="auto"/>
        </w:rPr>
        <w:t>https://www.spfi.bank</w:t>
      </w:r>
      <w:r>
        <w:rPr>
          <w:rFonts w:ascii="Arial" w:cs="Arial" w:eastAsia="Arial" w:hAnsi="Arial"/>
          <w:sz w:val="14"/>
          <w:szCs w:val="14"/>
          <w:color w:val="auto"/>
        </w:rPr>
        <w:t xml:space="preserv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non-GAAP financial measures to GAAP financial measures is provided at the end of this press release.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routinely posts important information for investors on its web site (under </w:t>
      </w:r>
      <w:r>
        <w:rPr>
          <w:rFonts w:ascii="Arial" w:cs="Arial" w:eastAsia="Arial" w:hAnsi="Arial"/>
          <w:sz w:val="14"/>
          <w:szCs w:val="14"/>
          <w:u w:val="single" w:color="auto"/>
          <w:color w:val="auto"/>
        </w:rPr>
        <w:t>www.spfi.bank</w:t>
      </w:r>
      <w:r>
        <w:rPr>
          <w:rFonts w:ascii="Arial" w:cs="Arial" w:eastAsia="Arial" w:hAnsi="Arial"/>
          <w:sz w:val="14"/>
          <w:szCs w:val="14"/>
          <w:color w:val="auto"/>
        </w:rPr>
        <w:t xml:space="preserve"> and, more specifically, under the News &amp; Events tab at </w:t>
      </w:r>
      <w:r>
        <w:rPr>
          <w:rFonts w:ascii="Arial" w:cs="Arial" w:eastAsia="Arial" w:hAnsi="Arial"/>
          <w:sz w:val="14"/>
          <w:szCs w:val="14"/>
          <w:u w:val="single" w:color="auto"/>
          <w:color w:val="auto"/>
        </w:rPr>
        <w:t>www.spfi.bank/news-events/press-releases</w:t>
      </w:r>
      <w:r>
        <w:rPr>
          <w:rFonts w:ascii="Arial" w:cs="Arial" w:eastAsia="Arial" w:hAnsi="Arial"/>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The information contained on, or that may be accessed through, the Company’s web site is not incorporated by reference into, and is not a part of, this document.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ongoing quantitative tightening and current and future monetary policies of the Board of Governors of the Federal Reserve System, the effects of declines in housing prices in the United States and our market areas, increases in unemployment rates in the United States and our market areas, declines in commercial real estate prices, uncertainty regarding United States fiscal debt and budget matters, severe weather, natural disasters, acts of war or terrorism or other external events,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our most recent Annual Report on Form 10-K, as well as the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section of other documents South Plains files or furnishes with the SEC from time to time, which are available on the SEC’s website, </w:t>
      </w:r>
      <w:r>
        <w:rPr>
          <w:rFonts w:ascii="Arial" w:cs="Arial" w:eastAsia="Arial" w:hAnsi="Arial"/>
          <w:sz w:val="13"/>
          <w:szCs w:val="13"/>
          <w:u w:val="single" w:color="auto"/>
          <w:color w:val="auto"/>
        </w:rPr>
        <w:t>www.sec.gov</w:t>
      </w:r>
      <w:r>
        <w:rPr>
          <w:rFonts w:ascii="Arial" w:cs="Arial" w:eastAsia="Arial" w:hAnsi="Arial"/>
          <w:sz w:val="13"/>
          <w:szCs w:val="13"/>
          <w:color w:val="auto"/>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spacing w:after="0" w:line="150"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Contact:</w:t>
      </w:r>
      <w:r>
        <w:rPr>
          <w:sz w:val="20"/>
          <w:szCs w:val="20"/>
          <w:color w:val="auto"/>
        </w:rPr>
        <w:tab/>
      </w:r>
      <w:r>
        <w:rPr>
          <w:rFonts w:ascii="Arial" w:cs="Arial" w:eastAsia="Arial" w:hAnsi="Arial"/>
          <w:sz w:val="14"/>
          <w:szCs w:val="14"/>
          <w:color w:val="auto"/>
        </w:rPr>
        <w:t>Mikella Newsom, Chief Risk Officer and Secretary</w:t>
      </w:r>
    </w:p>
    <w:p>
      <w:pPr>
        <w:spacing w:after="0" w:line="21" w:lineRule="exact"/>
        <w:rPr>
          <w:sz w:val="20"/>
          <w:szCs w:val="20"/>
          <w:color w:val="auto"/>
        </w:rPr>
      </w:pPr>
    </w:p>
    <w:p>
      <w:pPr>
        <w:ind w:left="1360" w:right="8760" w:hanging="1"/>
        <w:spacing w:after="0" w:line="358" w:lineRule="auto"/>
        <w:tabs>
          <w:tab w:leader="none" w:pos="170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771-3347 </w:t>
      </w:r>
      <w:r>
        <w:rPr>
          <w:rFonts w:ascii="Arial" w:cs="Arial" w:eastAsia="Arial" w:hAnsi="Arial"/>
          <w:sz w:val="12"/>
          <w:szCs w:val="12"/>
          <w:u w:val="single" w:color="auto"/>
          <w:color w:val="auto"/>
        </w:rPr>
        <w:t>investors@city.bank</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5"/>
          </w:tcPr>
          <w:p>
            <w:pPr>
              <w:jc w:val="right"/>
              <w:ind w:right="1068"/>
              <w:spacing w:after="0"/>
              <w:rPr>
                <w:sz w:val="20"/>
                <w:szCs w:val="20"/>
                <w:color w:val="auto"/>
              </w:rPr>
            </w:pPr>
            <w:r>
              <w:rPr>
                <w:rFonts w:ascii="Arial" w:cs="Arial" w:eastAsia="Arial" w:hAnsi="Arial"/>
                <w:sz w:val="14"/>
                <w:szCs w:val="14"/>
                <w:b w:val="1"/>
                <w:bCs w:val="1"/>
                <w:color w:val="auto"/>
              </w:rPr>
              <w:t>As of and for the quarter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r>
      <w:tr>
        <w:trPr>
          <w:trHeight w:val="188"/>
        </w:trPr>
        <w:tc>
          <w:tcPr>
            <w:tcW w:w="4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Selected Income Statement Data:</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50,821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47,448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46,228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41,108</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40,752</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16,240</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13,133</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9,906</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6,006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3,647</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34,581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34,315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36,322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35,102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37,105</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3,700</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1,010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248</w:t>
            </w:r>
          </w:p>
        </w:tc>
        <w:tc>
          <w:tcPr>
            <w:tcW w:w="16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(782)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47,112</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10,691</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12,676</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20,937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18,835</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Noninterest expense</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40,499</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32,361</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32,708</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37,401</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36,056</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7,811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2,391</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3,421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3,962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4,001</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29,683</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9,244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12,621</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15,458</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15,883</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 (Common Stock):</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Net earnings, basic</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0.54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0.74</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0.89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0.91</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Net earnings, diluted</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0.53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0.71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0.86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0.88</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Cash dividends declared and paid</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0.13</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0.13</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0.12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0.11</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Book value</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21.57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20.97</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20.91</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Tangible book value (non-GAAP)</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21.82</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19.57</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18.61</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19.50</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basic</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17,048,432</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17,046,713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17,007,914</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17,286,531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17,490,706</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Weighted average shares outstanding, dilutive</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17,386,515</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17,560,756</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17,751,674</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17,901,899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18,020,548</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Shares outstanding at end of period</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16,952,072</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17,062,572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17,027,197</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17,064,640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17,417,094</w:t>
            </w:r>
          </w:p>
        </w:tc>
      </w:tr>
      <w:tr>
        <w:trPr>
          <w:trHeight w:val="172"/>
        </w:trPr>
        <w:tc>
          <w:tcPr>
            <w:tcW w:w="4540" w:type="dxa"/>
            <w:vAlign w:val="bottom"/>
          </w:tcPr>
          <w:p>
            <w:pPr>
              <w:spacing w:after="0"/>
              <w:rPr>
                <w:sz w:val="20"/>
                <w:szCs w:val="20"/>
                <w:color w:val="auto"/>
              </w:rPr>
            </w:pPr>
            <w:r>
              <w:rPr>
                <w:rFonts w:ascii="Arial" w:cs="Arial" w:eastAsia="Arial" w:hAnsi="Arial"/>
                <w:sz w:val="14"/>
                <w:szCs w:val="14"/>
                <w:b w:val="1"/>
                <w:bCs w:val="1"/>
                <w:color w:val="auto"/>
              </w:rPr>
              <w:t>Selected Period End Balance Sheet Data:</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295,581</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328,002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234,883</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329,962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375,690</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628,093</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698,579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701,711</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711,412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763,943</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Total loans held for investment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2,979,063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2,788,640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2,748,081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2,690,366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2,580,493</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Allowance for credit losses</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43,137</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39,560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39,288</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39,657</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39,785</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4,150,129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4,058,049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3,944,063</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3,992,690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3,974,724</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2,473,755</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2,397,115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2,255,942</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2,198,464</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2,230,105</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1,100,767</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1,110,939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1,150,488</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1,262,072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1,195,732</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Total deposits</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3,574,522</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3,508,054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3,406,430</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3,460,536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3,425,837</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122,447</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122,400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122,354</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122,307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122,261</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392,029</w:t>
            </w:r>
          </w:p>
        </w:tc>
        <w:tc>
          <w:tcPr>
            <w:tcW w:w="2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367,964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357,014</w:t>
            </w:r>
          </w:p>
        </w:tc>
        <w:tc>
          <w:tcPr>
            <w:tcW w:w="16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341,799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364,222</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Performance Ratios: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Return on average assets (annualized)</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0.95%</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1.60%</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Return on average equity (annualized)</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16.96%</w:t>
            </w:r>
          </w:p>
        </w:tc>
      </w:tr>
      <w:tr>
        <w:trPr>
          <w:trHeight w:val="172"/>
        </w:trPr>
        <w:tc>
          <w:tcPr>
            <w:tcW w:w="4540" w:type="dxa"/>
            <w:vAlign w:val="bottom"/>
          </w:tcPr>
          <w:p>
            <w:pPr>
              <w:spacing w:after="0" w:line="173"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9"/>
                <w:szCs w:val="19"/>
                <w:color w:val="auto"/>
                <w:vertAlign w:val="superscript"/>
              </w:rPr>
              <w:t>(1)</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3.65%</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3.88%</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2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4.02%</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Yield on loans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5.57%</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Cost of interest-bearing deposits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0.82%</w:t>
            </w:r>
          </w:p>
        </w:tc>
        <w:tc>
          <w:tcPr>
            <w:tcW w:w="2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0.42%</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64.11%</w:t>
            </w:r>
          </w:p>
        </w:tc>
      </w:tr>
      <w:tr>
        <w:trPr>
          <w:trHeight w:val="172"/>
        </w:trPr>
        <w:tc>
          <w:tcPr>
            <w:tcW w:w="4540" w:type="dxa"/>
            <w:vAlign w:val="bottom"/>
          </w:tcPr>
          <w:p>
            <w:pPr>
              <w:spacing w:after="0"/>
              <w:rPr>
                <w:sz w:val="20"/>
                <w:szCs w:val="20"/>
                <w:color w:val="auto"/>
              </w:rPr>
            </w:pPr>
            <w:r>
              <w:rPr>
                <w:rFonts w:ascii="Arial" w:cs="Arial" w:eastAsia="Arial" w:hAnsi="Arial"/>
                <w:sz w:val="14"/>
                <w:szCs w:val="14"/>
                <w:b w:val="1"/>
                <w:bCs w:val="1"/>
                <w:color w:val="auto"/>
              </w:rPr>
              <w:t>Summary Credit Quality Data:</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Nonperforming loans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21,039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7,579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7,790</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7,834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7,889</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Nonperforming loans to total loans held for investment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0.71%</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0.27%</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0.28%</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0.29%</w:t>
            </w:r>
          </w:p>
        </w:tc>
        <w:tc>
          <w:tcPr>
            <w:tcW w:w="2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0.31%</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Other real estate owned</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w:t>
            </w:r>
          </w:p>
        </w:tc>
      </w:tr>
      <w:tr>
        <w:trPr>
          <w:trHeight w:val="172"/>
        </w:trPr>
        <w:tc>
          <w:tcPr>
            <w:tcW w:w="4540" w:type="dxa"/>
            <w:vAlign w:val="bottom"/>
          </w:tcPr>
          <w:p>
            <w:pPr>
              <w:spacing w:after="0"/>
              <w:rPr>
                <w:sz w:val="20"/>
                <w:szCs w:val="20"/>
                <w:color w:val="auto"/>
              </w:rPr>
            </w:pPr>
            <w:r>
              <w:rPr>
                <w:rFonts w:ascii="Arial" w:cs="Arial" w:eastAsia="Arial" w:hAnsi="Arial"/>
                <w:sz w:val="14"/>
                <w:szCs w:val="14"/>
                <w:color w:val="auto"/>
              </w:rPr>
              <w:t>Nonperforming assets to total assets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0.51%</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0.19%</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0.20%</w:t>
            </w:r>
          </w:p>
        </w:tc>
        <w:tc>
          <w:tcPr>
            <w:tcW w:w="16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24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0.20%</w:t>
            </w:r>
          </w:p>
        </w:tc>
      </w:tr>
      <w:tr>
        <w:trPr>
          <w:trHeight w:val="172"/>
        </w:trPr>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to total loans held for investment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w:t>
            </w: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Net charge-offs (recoveries) to average loans outstanding (annualized)</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0.05%</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0.09%</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0.09%</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(0.02)%</w:t>
            </w:r>
          </w:p>
        </w:tc>
      </w:tr>
      <w:tr>
        <w:trPr>
          <w:trHeight w:val="304"/>
        </w:trPr>
        <w:tc>
          <w:tcPr>
            <w:tcW w:w="4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3"/>
              </w:rPr>
              <w:t>As of and for the quarter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Arial" w:cs="Arial" w:eastAsia="Arial" w:hAnsi="Arial"/>
                <w:sz w:val="14"/>
                <w:szCs w:val="14"/>
                <w:b w:val="1"/>
                <w:bCs w:val="1"/>
                <w:color w:val="auto"/>
                <w:w w:val="84"/>
              </w:rPr>
              <w:t>June 30</w:t>
            </w:r>
          </w:p>
        </w:tc>
        <w:tc>
          <w:tcPr>
            <w:tcW w:w="640" w:type="dxa"/>
            <w:vAlign w:val="bottom"/>
          </w:tcPr>
          <w:p>
            <w:pPr>
              <w:spacing w:after="0"/>
              <w:rPr>
                <w:sz w:val="14"/>
                <w:szCs w:val="14"/>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March 31,</w:t>
            </w:r>
          </w:p>
        </w:tc>
        <w:tc>
          <w:tcPr>
            <w:tcW w:w="134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tcPr>
          <w:p>
            <w:pPr>
              <w:jc w:val="right"/>
              <w:ind w:right="388"/>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r>
      <w:tr>
        <w:trPr>
          <w:trHeight w:val="188"/>
        </w:trPr>
        <w:tc>
          <w:tcPr>
            <w:tcW w:w="5400" w:type="dxa"/>
            <w:vAlign w:val="bottom"/>
            <w:gridSpan w:val="2"/>
          </w:tcPr>
          <w:p>
            <w:pPr>
              <w:ind w:left="5020"/>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3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2022</w:t>
            </w:r>
          </w:p>
        </w:tc>
        <w:tc>
          <w:tcPr>
            <w:tcW w:w="146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Capital Ratios:</w:t>
            </w: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 to total assets</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9.45%</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9.07%</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w:t>
            </w:r>
          </w:p>
        </w:tc>
        <w:tc>
          <w:tcPr>
            <w:tcW w:w="1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172"/>
        </w:trPr>
        <w:tc>
          <w:tcPr>
            <w:tcW w:w="5400" w:type="dxa"/>
            <w:vAlign w:val="bottom"/>
            <w:gridSpan w:val="2"/>
          </w:tcPr>
          <w:p>
            <w:pPr>
              <w:spacing w:after="0"/>
              <w:rPr>
                <w:sz w:val="20"/>
                <w:szCs w:val="20"/>
                <w:color w:val="auto"/>
              </w:rPr>
            </w:pPr>
            <w:r>
              <w:rPr>
                <w:rFonts w:ascii="Arial" w:cs="Arial" w:eastAsia="Arial" w:hAnsi="Arial"/>
                <w:sz w:val="14"/>
                <w:szCs w:val="14"/>
                <w:color w:val="auto"/>
              </w:rPr>
              <w:t>Tangible common equity to tangible assets (non-GAAP)</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8.96%</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8.54%</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8.00%</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8.60%</w:t>
            </w:r>
          </w:p>
        </w:tc>
      </w:tr>
      <w:tr>
        <w:trPr>
          <w:trHeight w:val="172"/>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2"/>
              </w:rPr>
              <w:t>12.11%</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11.92%</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w:t>
            </w:r>
          </w:p>
        </w:tc>
        <w:tc>
          <w:tcPr>
            <w:tcW w:w="1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w:t>
            </w:r>
          </w:p>
        </w:tc>
      </w:tr>
      <w:tr>
        <w:trPr>
          <w:trHeight w:val="172"/>
        </w:trPr>
        <w:tc>
          <w:tcPr>
            <w:tcW w:w="5400" w:type="dxa"/>
            <w:vAlign w:val="bottom"/>
            <w:gridSpan w:val="2"/>
          </w:tcPr>
          <w:p>
            <w:pPr>
              <w:spacing w:after="0"/>
              <w:rPr>
                <w:sz w:val="20"/>
                <w:szCs w:val="20"/>
                <w:color w:val="auto"/>
              </w:rPr>
            </w:pPr>
            <w:r>
              <w:rPr>
                <w:rFonts w:ascii="Arial" w:cs="Arial" w:eastAsia="Arial" w:hAnsi="Arial"/>
                <w:sz w:val="14"/>
                <w:szCs w:val="14"/>
                <w:color w:val="auto"/>
              </w:rPr>
              <w:t>Tier 1 capital to average assets</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w w:val="92"/>
              </w:rPr>
              <w:t>11.68%</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11.22%</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11.03%</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10.95%</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10.93%</w:t>
            </w:r>
          </w:p>
        </w:tc>
      </w:tr>
      <w:tr>
        <w:trPr>
          <w:trHeight w:val="172"/>
        </w:trPr>
        <w:tc>
          <w:tcPr>
            <w:tcW w:w="5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2"/>
              </w:rPr>
              <w:t>16.75%</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16.70%</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16.58%</w:t>
            </w:r>
          </w:p>
        </w:tc>
        <w:tc>
          <w:tcPr>
            <w:tcW w:w="1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17.32%</w:t>
            </w:r>
          </w:p>
        </w:tc>
      </w:tr>
    </w:tbl>
    <w:p>
      <w:pPr>
        <w:spacing w:after="0" w:line="161" w:lineRule="exact"/>
        <w:rPr>
          <w:sz w:val="20"/>
          <w:szCs w:val="20"/>
          <w:color w:val="auto"/>
        </w:rPr>
      </w:pPr>
    </w:p>
    <w:p>
      <w:pPr>
        <w:ind w:left="400" w:hanging="394"/>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June 30, 2023</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Balance</w:t>
            </w:r>
          </w:p>
        </w:tc>
        <w:tc>
          <w:tcPr>
            <w:tcW w:w="12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Yield/Rate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2,894,087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42,872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2,549,264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35,420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575,983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5,365</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3.74%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637,814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3,538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210,709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217,023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149,996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1,484</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3.97%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329,869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520" w:type="dxa"/>
            <w:vAlign w:val="bottom"/>
            <w:gridSpan w:val="3"/>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3,830,775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51,124</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5.35%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3,733,970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41,055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182,752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238,575</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0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5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4,013,527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3,972,545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NOW, Savings, MMDA’s</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2,059,182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12,484</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2.43%</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1,903,452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1,357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299,358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6.17%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Subordinated debt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76,031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5.34%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75,845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1,013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6.82%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520" w:type="dxa"/>
            <w:vAlign w:val="bottom"/>
            <w:tcBorders>
              <w:top w:val="single" w:sz="8" w:color="CCEEFF"/>
            </w:tcBorders>
            <w:gridSpan w:val="3"/>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2,481,289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2,360,513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Demand deposits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1,075,514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1,171,454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76,727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64,933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379,997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375,645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spacing w:after="0"/>
              <w:rPr>
                <w:sz w:val="14"/>
                <w:szCs w:val="14"/>
                <w:color w:val="auto"/>
              </w:rPr>
            </w:pPr>
          </w:p>
        </w:tc>
        <w:tc>
          <w:tcPr>
            <w:tcW w:w="10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4,013,527</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3,972,545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34,884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37,408</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3.65%</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For the Six Months Ended</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June 30, 2023</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2"/>
              </w:rPr>
              <w:t>June 30,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6"/>
                <w:szCs w:val="16"/>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Yield/Rate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2,836,482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82,474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5.86%</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2,515,934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64,799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580,705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10,605</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579,243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5,892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155,976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2,979</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3.85%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398,670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862</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520" w:type="dxa"/>
            <w:vAlign w:val="bottom"/>
            <w:gridSpan w:val="3"/>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3,785,113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98,873</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5.27%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3,711,519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74,440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186,114</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250,376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3,971,227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3,961,895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NOW, Savings, MMDA’s</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2,023,869</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22,468</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2.24%</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1,920,609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2,268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291,677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336,962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6.11%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Subordinated debt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2,025</w:t>
            </w:r>
          </w:p>
        </w:tc>
        <w:tc>
          <w:tcPr>
            <w:tcW w:w="1520" w:type="dxa"/>
            <w:vAlign w:val="bottom"/>
            <w:gridSpan w:val="3"/>
          </w:tcPr>
          <w:p>
            <w:pPr>
              <w:jc w:val="right"/>
              <w:ind w:right="60"/>
              <w:spacing w:after="0"/>
              <w:rPr>
                <w:sz w:val="20"/>
                <w:szCs w:val="20"/>
                <w:color w:val="auto"/>
              </w:rPr>
            </w:pPr>
            <w:r>
              <w:rPr>
                <w:rFonts w:ascii="Arial" w:cs="Arial" w:eastAsia="Arial" w:hAnsi="Arial"/>
                <w:sz w:val="14"/>
                <w:szCs w:val="14"/>
                <w:color w:val="auto"/>
              </w:rPr>
              <w:t>5.37%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75,822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2,025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6.69%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520" w:type="dxa"/>
            <w:vAlign w:val="bottom"/>
            <w:tcBorders>
              <w:top w:val="single" w:sz="8" w:color="CCEEFF"/>
            </w:tcBorders>
            <w:gridSpan w:val="3"/>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2,438,112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29,373</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2.43%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2,379,790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Demand deposits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1,092,429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1,137,771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69,443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3,971,227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3,961,895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69,500</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67,660</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3.70%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8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64,497</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Interest-bearing deposits in banks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231,084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Securities available for sale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628,093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701,711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investment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2,979,063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2,748,081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Less: Allowance for credit losses</w:t>
            </w:r>
          </w:p>
        </w:tc>
        <w:tc>
          <w:tcPr>
            <w:tcW w:w="20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(43,137)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(39,288)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Net loans held for investment</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2,935,926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2,708,793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Premises and equipment, net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56,416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Intangible assets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assets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1,100,767</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1,150,488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Interest-bearing deposits</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2,473,755</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2,255,942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Total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3,574,522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3,406,430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76,054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Junior subordinated deferrable interest debentures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46,393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61,131</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58,265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3,758,100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3,587,049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Common stock</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16,952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111,133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325,772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292,261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(61,828)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(65,108)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392,029</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357,014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120"/>
              <w:spacing w:after="0" w:line="157" w:lineRule="exact"/>
              <w:rPr>
                <w:sz w:val="20"/>
                <w:szCs w:val="20"/>
                <w:color w:val="auto"/>
              </w:rPr>
            </w:pPr>
            <w:r>
              <w:rPr>
                <w:rFonts w:ascii="Arial" w:cs="Arial" w:eastAsia="Arial" w:hAnsi="Arial"/>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8"/>
              <w:spacing w:after="0" w:line="157"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8"/>
              <w:spacing w:after="0" w:line="157"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28"/>
              <w:spacing w:after="0" w:line="157"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Interest income: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Loans, including fees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42,864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35,419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82,461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64,797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7,957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15,808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9,035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50,821</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98,269</w:t>
            </w: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Deposits</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14,433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Subordinated debt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deferrable interest debentures</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29,373</w:t>
            </w: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34,581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37,105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68,896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67,052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credit losses</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Net interest income after provision for credit losses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37,105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64,186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69,137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Service charges on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3,446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3,385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Income from insurance activities</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Mortgage banking activities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7,544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22,306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Bank card services and interchange fees</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Gain on sale of subsidiary</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33,488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6,994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Total noninterest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47,112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18,835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57,803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42,532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expense:</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Salaries and employee benefits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21,990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42,691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44,693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occupancy expense</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Professional services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5,272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Marketing and development</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10,259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14,767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expense</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40,499</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72,860</w:t>
            </w: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73,980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37,494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19,884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49,129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37,689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7,528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29,683</w:t>
            </w:r>
          </w:p>
        </w:tc>
        <w:tc>
          <w:tcPr>
            <w:tcW w:w="22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15,883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38,927</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30,161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8"/>
              <w:spacing w:after="0" w:line="157"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34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919,358</w:t>
            </w:r>
          </w:p>
        </w:tc>
        <w:tc>
          <w:tcPr>
            <w:tcW w:w="100" w:type="dxa"/>
            <w:vAlign w:val="bottom"/>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Commercial - Specialized</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355,252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327,513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Commercial - General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551,096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484,783</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 Family Residential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460,124</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tcPr>
          <w:p>
            <w:pPr>
              <w:ind w:left="120"/>
              <w:spacing w:after="0"/>
              <w:rPr>
                <w:sz w:val="20"/>
                <w:szCs w:val="20"/>
                <w:color w:val="auto"/>
              </w:rPr>
            </w:pPr>
            <w:r>
              <w:rPr>
                <w:rFonts w:ascii="Arial" w:cs="Arial" w:eastAsia="Arial" w:hAnsi="Arial"/>
                <w:sz w:val="14"/>
                <w:szCs w:val="14"/>
                <w:color w:val="auto"/>
              </w:rPr>
              <w:t>Auto Loans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318,126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321,476</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Consumer</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79,795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81,308</w:t>
            </w:r>
          </w:p>
        </w:tc>
        <w:tc>
          <w:tcPr>
            <w:tcW w:w="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Construction</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145,413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153,519</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loans held for investment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2,979,063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2,748,081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South Plains Financial,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Deposit Composition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8"/>
              <w:spacing w:after="0" w:line="157"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34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Deposits: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1,100,767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1,150,488</w:t>
            </w:r>
          </w:p>
        </w:tc>
        <w:tc>
          <w:tcPr>
            <w:tcW w:w="100" w:type="dxa"/>
            <w:vAlign w:val="bottom"/>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NOW &amp; other transaction accounts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400,779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350,910</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MMDA &amp; other savings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1,751,029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1,618,833</w:t>
            </w:r>
          </w:p>
        </w:tc>
        <w:tc>
          <w:tcPr>
            <w:tcW w:w="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20"/>
                <w:szCs w:val="20"/>
                <w:color w:val="auto"/>
              </w:rPr>
            </w:pPr>
            <w:r>
              <w:rPr>
                <w:rFonts w:ascii="Arial" w:cs="Arial" w:eastAsia="Arial" w:hAnsi="Arial"/>
                <w:sz w:val="14"/>
                <w:szCs w:val="14"/>
                <w:color w:val="auto"/>
              </w:rPr>
              <w:t>Time deposits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321,947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286,199</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deposits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3,574,522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3,406,430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For the quarter ended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Pre-tax, pre-provision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29,683</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Income tax expense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7,811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9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3,700</w:t>
            </w:r>
          </w:p>
        </w:tc>
        <w:tc>
          <w:tcPr>
            <w:tcW w:w="1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1,010</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Pre-tax, pre-provision income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41,194</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12,645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18,638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40,499</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32,361</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32,708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34,581</w:t>
            </w: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34,315</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36,322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Tax equivalent yield adjustment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303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90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47,112</w:t>
            </w: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12,676</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20,937</w:t>
            </w:r>
          </w:p>
        </w:tc>
        <w:tc>
          <w:tcPr>
            <w:tcW w:w="2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Total income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81,996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45,308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56,243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Efficiency ratio</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49.39%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71.42%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66.35%</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66.38%</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64.11%</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Noninterest expense</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40,499</w:t>
            </w:r>
          </w:p>
        </w:tc>
        <w:tc>
          <w:tcPr>
            <w:tcW w:w="1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32,361</w:t>
            </w:r>
          </w:p>
        </w:tc>
        <w:tc>
          <w:tcPr>
            <w:tcW w:w="1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32,708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37,401</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Less: Windmark transaction and related expenses</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(4,532)</w:t>
            </w: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net loss on sale of securities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(3,409)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noninterest expense</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32,558</w:t>
            </w: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32,361</w:t>
            </w: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32,708</w:t>
            </w: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81,996</w:t>
            </w: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45,308</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56,340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gain on sale of Windmark</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(33,488)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48,508</w:t>
            </w: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45,308</w:t>
            </w: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49,297</w:t>
            </w: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56,340</w:t>
            </w:r>
          </w:p>
        </w:tc>
        <w:tc>
          <w:tcPr>
            <w:tcW w:w="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efficiency ratio</w:t>
            </w:r>
          </w:p>
        </w:tc>
        <w:tc>
          <w:tcPr>
            <w:tcW w:w="9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67.12%</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500"/>
              <w:spacing w:after="0" w:line="15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940" w:type="dxa"/>
            <w:vAlign w:val="bottom"/>
          </w:tcPr>
          <w:p>
            <w:pPr>
              <w:jc w:val="center"/>
              <w:ind w:right="108"/>
              <w:spacing w:after="0" w:line="157"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Tangible common equity</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common stockholders’ equity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392,029</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367,964</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$ 357,014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$ 341,799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$ 364,222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(22,149)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(23,496)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(23,857)</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(24,228)</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(24,620)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common equity</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369,880</w:t>
            </w:r>
          </w:p>
        </w:tc>
        <w:tc>
          <w:tcPr>
            <w:tcW w:w="1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344,468</w:t>
            </w:r>
          </w:p>
        </w:tc>
        <w:tc>
          <w:tcPr>
            <w:tcW w:w="1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$ 333,157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$ 317,571</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$ 339,602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4,150,129</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4,058,049</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$ 3,944,063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$ 3,992,690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$ 3,974,724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(22,149)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(23,496)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(23,857)</w:t>
            </w: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(24,228)</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(24,620)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4,127,980</w:t>
            </w:r>
          </w:p>
        </w:tc>
        <w:tc>
          <w:tcPr>
            <w:tcW w:w="1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4,034,553</w:t>
            </w:r>
          </w:p>
        </w:tc>
        <w:tc>
          <w:tcPr>
            <w:tcW w:w="1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$ 3,920,206</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$ 3,968,462</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$ 3,950,104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Shares outstanding</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16,952,072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17,062,572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17,027,197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17,064,640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17,417,094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Total stockholders’ equity to total assets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9.45%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8.56%</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Tangible common equity to tangible assets</w:t>
            </w: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8.96%</w:t>
            </w:r>
          </w:p>
        </w:tc>
        <w:tc>
          <w:tcPr>
            <w:tcW w:w="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8.54%</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Book value per share</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23.13</w:t>
            </w:r>
          </w:p>
        </w:tc>
        <w:tc>
          <w:tcPr>
            <w:tcW w:w="140" w:type="dxa"/>
            <w:vAlign w:val="bottom"/>
          </w:tcPr>
          <w:p>
            <w:pPr>
              <w:spacing w:after="0"/>
              <w:rPr>
                <w:sz w:val="14"/>
                <w:szCs w:val="1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20.97</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Tangible book value per share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21.82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 w:name="page16"/>
    <w:bookmarkEnd w:id="15"/>
    <w:p>
      <w:pPr>
        <w:ind w:left="9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5944870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140"/>
          </w:cols>
          <w:pgMar w:left="1440" w:top="332"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21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0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14870" cy="5895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895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866"/>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2023-07-25T16:09:36Z</dcterms:created>
  <dcterms:modified xsi:type="dcterms:W3CDTF">2023-07-25T16:09:36Z</dcterms:modified>
</cp:coreProperties>
</file>