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182245</wp:posOffset>
            </wp:positionV>
            <wp:extent cx="728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One)</w:t>
      </w:r>
    </w:p>
    <w:p>
      <w:pPr>
        <w:spacing w:after="0" w:line="23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2019</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 to ______</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168275</wp:posOffset>
            </wp:positionV>
            <wp:extent cx="7289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14"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3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5219 City Bank Parkway</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Lubbock, Texas</w:t>
            </w:r>
          </w:p>
        </w:tc>
        <w:tc>
          <w:tcPr>
            <w:tcW w:w="38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12"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Registrant’s telephone number, including area code: (806) 792-7101</w:t>
      </w:r>
    </w:p>
    <w:p>
      <w:pPr>
        <w:spacing w:after="0" w:line="23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4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$1.00 par value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6"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 </w:t>
      </w:r>
      <w:r>
        <w:rPr>
          <w:rFonts w:ascii="MS PGothic" w:cs="MS PGothic" w:eastAsia="MS PGothic" w:hAnsi="MS PGothic"/>
          <w:sz w:val="22"/>
          <w:szCs w:val="22"/>
          <w:color w:val="auto"/>
        </w:rPr>
        <w:t>☐</w:t>
      </w:r>
    </w:p>
    <w:p>
      <w:pPr>
        <w:spacing w:after="0" w:line="183"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 </w:t>
      </w:r>
      <w:r>
        <w:rPr>
          <w:rFonts w:ascii="MS PGothic" w:cs="MS PGothic" w:eastAsia="MS PGothic" w:hAnsi="MS PGothic"/>
          <w:sz w:val="22"/>
          <w:szCs w:val="22"/>
          <w:color w:val="auto"/>
        </w:rPr>
        <w:t>☐</w:t>
      </w:r>
    </w:p>
    <w:p>
      <w:pPr>
        <w:spacing w:after="0" w:line="18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Accelerated filer</w:t>
            </w:r>
          </w:p>
        </w:tc>
        <w:tc>
          <w:tcPr>
            <w:tcW w:w="9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9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6" w:lineRule="exact"/>
        <w:rPr>
          <w:sz w:val="24"/>
          <w:szCs w:val="24"/>
          <w:color w:val="auto"/>
        </w:rPr>
      </w:pPr>
    </w:p>
    <w:p>
      <w:pPr>
        <w:spacing w:after="0" w:line="281" w:lineRule="exact"/>
        <w:rPr>
          <w:sz w:val="20"/>
          <w:szCs w:val="20"/>
          <w:color w:val="auto"/>
        </w:rPr>
      </w:pPr>
      <w:r>
        <w:rPr>
          <w:rFonts w:ascii="Times New Roman" w:cs="Times New Roman" w:eastAsia="Times New Roman" w:hAnsi="Times New Roman"/>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162"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is a shell company (as defined in Rule 12b-2 of the Exchange Act).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 </w:t>
      </w:r>
      <w:r>
        <w:rPr>
          <w:rFonts w:ascii="MS PGothic" w:cs="MS PGothic" w:eastAsia="MS PGothic" w:hAnsi="MS PGothic"/>
          <w:sz w:val="22"/>
          <w:szCs w:val="22"/>
          <w:color w:val="auto"/>
        </w:rPr>
        <w:t>☒</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 of November 13, 2019, the registrant had 18,007,041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9" w:right="239" w:bottom="31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32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PART I.</w:t>
            </w:r>
          </w:p>
        </w:tc>
        <w:tc>
          <w:tcPr>
            <w:tcW w:w="9840" w:type="dxa"/>
            <w:vAlign w:val="bottom"/>
            <w:gridSpan w:val="19"/>
            <w:shd w:val="clear" w:color="auto" w:fill="CCEEFF"/>
          </w:tcPr>
          <w:p>
            <w:pPr>
              <w:ind w:left="140"/>
              <w:spacing w:after="0" w:line="142" w:lineRule="exact"/>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FINANCIAL INFORMATION</w:t>
              </w:r>
            </w:hyperlink>
          </w:p>
        </w:tc>
        <w:tc>
          <w:tcPr>
            <w:tcW w:w="6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3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19"/>
          </w:tcPr>
          <w:p>
            <w:pPr>
              <w:ind w:left="14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Financial Statements (Unaudited)</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40" w:type="dxa"/>
            <w:vAlign w:val="bottom"/>
            <w:gridSpan w:val="19"/>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40" w:type="dxa"/>
            <w:vAlign w:val="bottom"/>
            <w:gridSpan w:val="19"/>
          </w:tcPr>
          <w:p>
            <w:pPr>
              <w:ind w:left="14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40" w:type="dxa"/>
            <w:vAlign w:val="bottom"/>
            <w:gridSpan w:val="19"/>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Changes in Stockholders’ Equity</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40" w:type="dxa"/>
            <w:vAlign w:val="bottom"/>
            <w:gridSpan w:val="19"/>
          </w:tcPr>
          <w:p>
            <w:pPr>
              <w:ind w:left="140"/>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Cash Flows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40" w:type="dxa"/>
            <w:vAlign w:val="bottom"/>
            <w:gridSpan w:val="19"/>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Unaudited Consolidated Financial Statements</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19"/>
          </w:tcPr>
          <w:p>
            <w:pPr>
              <w:ind w:left="14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19"/>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Quantitative and Qualitative Disclosures About Market Risk</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9"/>
          </w:tcPr>
          <w:p>
            <w:pPr>
              <w:ind w:left="140"/>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Controls and Procedures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840" w:type="dxa"/>
            <w:vAlign w:val="bottom"/>
            <w:gridSpan w:val="19"/>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OTHER INFORMATION</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19"/>
          </w:tcPr>
          <w:p>
            <w:pPr>
              <w:ind w:left="140"/>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Legal Proceedings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19"/>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Risk Factors</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19"/>
          </w:tcPr>
          <w:p>
            <w:pPr>
              <w:ind w:left="140"/>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Unregistered Sales of Equity Securities and Use of Proceeds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19"/>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Defaults Upon Senior Securities</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9"/>
          </w:tcPr>
          <w:p>
            <w:pPr>
              <w:ind w:left="140"/>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Mine Safety Disclosures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19"/>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Other Information</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19"/>
          </w:tcPr>
          <w:p>
            <w:pPr>
              <w:ind w:left="140"/>
              <w:spacing w:after="0" w:line="17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Exhibits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Signatures</w:t>
              </w:r>
            </w:hyperlink>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600" w:type="dxa"/>
            <w:vAlign w:val="bottom"/>
            <w:tcBorders>
              <w:top w:val="single" w:sz="8" w:color="CCEEFF"/>
            </w:tcBorders>
            <w:gridSpan w:val="18"/>
          </w:tcPr>
          <w:p>
            <w:pPr>
              <w:ind w:left="4780"/>
              <w:spacing w:after="0"/>
              <w:rPr>
                <w:sz w:val="20"/>
                <w:szCs w:val="20"/>
                <w:color w:val="auto"/>
              </w:rPr>
            </w:pPr>
            <w:r>
              <w:rPr>
                <w:rFonts w:ascii="Times New Roman" w:cs="Times New Roman" w:eastAsia="Times New Roman" w:hAnsi="Times New Roman"/>
                <w:sz w:val="14"/>
                <w:szCs w:val="14"/>
                <w:color w:val="auto"/>
              </w:rPr>
              <w:t>2</w:t>
            </w:r>
          </w:p>
        </w:tc>
        <w:tc>
          <w:tcPr>
            <w:tcW w:w="32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Consolidated Financial Statements (Unaudited)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SOUTH PLAINS FINANCIAL,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(Dollars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8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48,709</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sold</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244,645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1,962,609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58,109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2,795,582</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2,712,745</w:t>
            </w:r>
          </w:p>
        </w:tc>
        <w:tc>
          <w:tcPr>
            <w:tcW w:w="0" w:type="dxa"/>
            <w:vAlign w:val="bottom"/>
          </w:tcPr>
          <w:p>
            <w:pPr>
              <w:spacing w:after="0"/>
              <w:rPr>
                <w:sz w:val="1"/>
                <w:szCs w:val="1"/>
                <w:color w:val="auto"/>
              </w:rPr>
            </w:pPr>
          </w:p>
        </w:tc>
      </w:tr>
      <w:tr>
        <w:trPr>
          <w:trHeight w:val="21"/>
        </w:trPr>
        <w:tc>
          <w:tcPr>
            <w:tcW w:w="6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Noninterest-bearing</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556,233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Interest-bearing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deposits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2,285,974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2,496,555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 owned shares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$1.00 par value per share, 30,000,000 shares authorized; 18,004,323 and 14,771,520 issued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outstanding at September 30, 2019 and December 31, 2018, respectively</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18,004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299,027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ESOP owned shares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299,027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2,795,582</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2,712,745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SOUTH PLAINS FINANCIAL,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(Dollars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3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including fees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29,652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86,342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77,388</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Taxable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3,323</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 taxable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3,065</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86,422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1,444</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5,733</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5,172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15,382</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5,190</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18,044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53,463</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Occupancy and equipment,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10,103</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4,303</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card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10,077</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(5,429)</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23,427</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SOUTH PLAINS FINANCIAL,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(CONTINUED)</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(Dollars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0.46</w:t>
            </w: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0.45</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40" w:type="dxa"/>
            <w:vAlign w:val="bottom"/>
          </w:tcPr>
          <w:p>
            <w:pPr>
              <w:spacing w:after="0"/>
              <w:rPr>
                <w:sz w:val="18"/>
                <w:szCs w:val="18"/>
                <w:color w:val="auto"/>
              </w:rPr>
            </w:pP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19,111</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net unrealized loss on securities available for sale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effect</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(1,841)</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Information (unaudited):</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SOUTH PLAINS FINANCIAL,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STOCKHOLDERS’ EQUITY</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(Dollars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12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ESOP</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12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2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19"/>
                <w:szCs w:val="19"/>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15,153,510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85,888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Common - $1.19 per share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(net of</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(5,042)</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15,153,510</w:t>
            </w:r>
          </w:p>
        </w:tc>
        <w:tc>
          <w:tcPr>
            <w:tcW w:w="10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85,888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126,472</w:t>
            </w:r>
          </w:p>
        </w:tc>
        <w:tc>
          <w:tcPr>
            <w:tcW w:w="14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159,047</w:t>
            </w:r>
          </w:p>
        </w:tc>
        <w:tc>
          <w:tcPr>
            <w:tcW w:w="0" w:type="dxa"/>
            <w:vAlign w:val="bottom"/>
          </w:tcPr>
          <w:p>
            <w:pPr>
              <w:spacing w:after="0"/>
              <w:rPr>
                <w:sz w:val="1"/>
                <w:szCs w:val="1"/>
                <w:color w:val="auto"/>
              </w:rPr>
            </w:pPr>
          </w:p>
        </w:tc>
      </w:tr>
      <w:tr>
        <w:trPr>
          <w:trHeight w:val="21"/>
        </w:trPr>
        <w:tc>
          <w:tcPr>
            <w:tcW w:w="298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14,771,520</w:t>
            </w:r>
          </w:p>
        </w:tc>
        <w:tc>
          <w:tcPr>
            <w:tcW w:w="10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80,412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119,834</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48,185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Common - $0.03 per share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5,871</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Terminated ESOP put option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58,195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of 63,100 shares for cashless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and net of 8,597 shares for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liability awards modified</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equity awards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change in accounting</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principle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18,004,323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15,153,510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85,888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(net of</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(1,841)</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15,153,510</w:t>
            </w:r>
          </w:p>
        </w:tc>
        <w:tc>
          <w:tcPr>
            <w:tcW w:w="10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85,888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126,472</w:t>
            </w:r>
          </w:p>
        </w:tc>
        <w:tc>
          <w:tcPr>
            <w:tcW w:w="14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159,047</w:t>
            </w:r>
          </w:p>
        </w:tc>
        <w:tc>
          <w:tcPr>
            <w:tcW w:w="0" w:type="dxa"/>
            <w:vAlign w:val="bottom"/>
          </w:tcPr>
          <w:p>
            <w:pPr>
              <w:spacing w:after="0"/>
              <w:rPr>
                <w:sz w:val="1"/>
                <w:szCs w:val="1"/>
                <w:color w:val="auto"/>
              </w:rPr>
            </w:pPr>
          </w:p>
        </w:tc>
      </w:tr>
      <w:tr>
        <w:trPr>
          <w:trHeight w:val="21"/>
        </w:trPr>
        <w:tc>
          <w:tcPr>
            <w:tcW w:w="298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1,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17,978,520</w:t>
            </w:r>
          </w:p>
        </w:tc>
        <w:tc>
          <w:tcPr>
            <w:tcW w:w="10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129,408</w:t>
            </w:r>
          </w:p>
        </w:tc>
        <w:tc>
          <w:tcPr>
            <w:tcW w:w="14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Common - $0.03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Terminated ESOP put option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of 63,100 shares for cashless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and net of 8,597 shares for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liability awards modified</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equity awards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18,004,323</w:t>
            </w:r>
          </w:p>
        </w:tc>
        <w:tc>
          <w:tcPr>
            <w:tcW w:w="10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140,268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137,127</w:t>
            </w:r>
          </w:p>
        </w:tc>
        <w:tc>
          <w:tcPr>
            <w:tcW w:w="14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299,027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SOUTH PLAINS FINANCIAL,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Accretion and amortization</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gains,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originated for sale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(454,501)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Earnings on bank-owned life insurance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change in: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interest receivable and other assets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6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22,470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Activity in securities available for sale: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(165,023)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Activity in securities held to maturity:</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foreclosed assets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(67,646)</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change in deposits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common stock issuance,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to tax authorities for stock-based compensation</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made on notes payable and other borrowings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6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2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245,989</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165,740</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paid on deposits and borrowed funds</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21,882</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paid</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transferred to foreclosed assets</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liability awards modified to equity awards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SOUTH PLAINS FINANCIAL,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(Dollars in thousands except per share data)</w:t>
      </w:r>
    </w:p>
    <w:p>
      <w:pPr>
        <w:spacing w:after="0" w:line="21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43" w:lineRule="exact"/>
        <w:rPr>
          <w:sz w:val="20"/>
          <w:szCs w:val="20"/>
          <w:color w:val="auto"/>
        </w:rPr>
      </w:pPr>
    </w:p>
    <w:p>
      <w:pPr>
        <w:jc w:val="both"/>
        <w:ind w:firstLine="1"/>
        <w:spacing w:after="0" w:line="263" w:lineRule="auto"/>
        <w:rPr>
          <w:sz w:val="20"/>
          <w:szCs w:val="20"/>
          <w:color w:val="auto"/>
        </w:rPr>
      </w:pPr>
      <w:r>
        <w:rPr>
          <w:rFonts w:ascii="Times New Roman" w:cs="Times New Roman" w:eastAsia="Times New Roman" w:hAnsi="Times New Roman"/>
          <w:sz w:val="21"/>
          <w:szCs w:val="21"/>
          <w:i w:val="1"/>
          <w:iCs w:val="1"/>
          <w:u w:val="single" w:color="auto"/>
          <w:color w:val="auto"/>
        </w:rPr>
        <w:t>Nature of Operations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South Plains Financial, Inc. (“SPFI”) is a Texas bank holding company that conducts its principal activities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Wholly Owned, Consolidated Subsidiaries:</w:t>
            </w:r>
          </w:p>
        </w:tc>
        <w:tc>
          <w:tcPr>
            <w:tcW w:w="3440" w:type="dxa"/>
            <w:vAlign w:val="bottom"/>
          </w:tcPr>
          <w:p>
            <w:pPr>
              <w:spacing w:after="0"/>
              <w:rPr>
                <w:sz w:val="20"/>
                <w:szCs w:val="20"/>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City Bank</w:t>
            </w:r>
          </w:p>
        </w:tc>
        <w:tc>
          <w:tcPr>
            <w:tcW w:w="34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Bank subsidiary</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Windmark Insurance Agency, Inc. (“Windmark”)</w:t>
            </w:r>
          </w:p>
        </w:tc>
        <w:tc>
          <w:tcPr>
            <w:tcW w:w="3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Ruidoso Retail, Inc.</w:t>
            </w:r>
          </w:p>
        </w:tc>
        <w:tc>
          <w:tcPr>
            <w:tcW w:w="34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CB Provence, LLC</w:t>
            </w:r>
          </w:p>
        </w:tc>
        <w:tc>
          <w:tcPr>
            <w:tcW w:w="3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CBT Brushy Creek, LLC</w:t>
            </w:r>
          </w:p>
        </w:tc>
        <w:tc>
          <w:tcPr>
            <w:tcW w:w="34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CBT Properties, LLC</w:t>
            </w:r>
          </w:p>
        </w:tc>
        <w:tc>
          <w:tcPr>
            <w:tcW w:w="3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Wholly Owned, Equity Method Subsidiaries:</w:t>
            </w:r>
          </w:p>
        </w:tc>
        <w:tc>
          <w:tcPr>
            <w:tcW w:w="3440" w:type="dxa"/>
            <w:vAlign w:val="bottom"/>
            <w:shd w:val="clear" w:color="auto" w:fill="CCEEFF"/>
          </w:tcPr>
          <w:p>
            <w:pPr>
              <w:spacing w:after="0"/>
              <w:rPr>
                <w:sz w:val="18"/>
                <w:szCs w:val="18"/>
                <w:color w:val="auto"/>
              </w:rPr>
            </w:pPr>
          </w:p>
        </w:tc>
      </w:tr>
      <w:tr>
        <w:trPr>
          <w:trHeight w:val="234"/>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Plains Financial Capital Trusts (SPFCT) III-V</w:t>
            </w:r>
          </w:p>
        </w:tc>
        <w:tc>
          <w:tcPr>
            <w:tcW w:w="3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Non-bank subsidiaries</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Basis of Presentation and Consolidation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The consolidated financial statements in this Quarterly Report on Form 10-Q (“Report”)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the accounts of SPFI and its wholly owned consolidated subsidiaries (collectively referred to as the “Company”) identified above. All significant intercompany balances and transactions have been eliminated in consolidation.</w:t>
      </w:r>
    </w:p>
    <w:p>
      <w:pPr>
        <w:spacing w:after="0" w:line="19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interim consolidated financial statements in this Report have not been audited by an independent registered public accounting firm, but in the opinion of management, reflect all adjustments necessary for a fair presentation of the Company’s financial position and results of operations.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footnotes required by GAAP for complete financial statements and should be read in conjunction with the Company’s audited consolidated financial statements, and notes thereto, for the year ended December 31, 2018 in our prospectus filed with the SEC pursuant to Rule 424(b) of the Securities Act of 1933, as amended, on May 9, 2019 (“IPO Prospectus”). Operating results for the interim periods disclosed herein are not necessarily indicative of the results that may be expected for a full year or any future period.</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Use of Estimates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The preparation of financial statements in conformity with GAAP requires management to make estimates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the valuation of foreclosed assets, and fair values of financial instruments can also involve significant management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Change in Capital Structure</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On March 11, 2019, the Company amended and restated its Certificate of Formation. The Amended and Restated Certificate of Formation increased the number of authorized shares of common stock, par value $1.00 per share, from 1,000,000 to 30,000,000.</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completed a 29-to-1 stock split of the Company’s outstanding shares of common stock for shareholders of record as of March 11, 2019. The stock split was payable in the form of a dividend on or about March 11, 2019. Shareholders received 29 additional shares for each share held as of the record date. All share and per share amounts in the consolidated financial statements have been retroactively adjusted to reflect this stock split for all periods presented.</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Stock Offering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The Company consummated the underwritten initial public offering of its common stock in May 2019.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the initial public offering, the Company issued and sold 3,207,000 shares of its common stock, including 507,000 shares of common stock pursuant to the underwriters’ full exercise of their option to purchase additional shares at a public offering price of $17.50 per share, for aggregate gross proceeds of $56.1 million before deducting underwriting discounts and offering expenses, and aggregate net proceeds of $51.4 million after deducting underwriting discounts and offering expenses.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Pro Forma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As a result of the revocation of the Company’s subchapter S corporation election effective May 31, 2018,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net income and earnings per share data prior to that date are not comparable with subsequent periods, which include federal income tax expense. As a result, the consolidated statements of comprehensive income in this Report include a pro forma section for the nine-month period ended September 30, 2018, as if the conversion to a subchapter C corporation had occurred effective January 1, 2018. The federal tax rate used for the pro forma nine-month period ended September 30, 2019 is 21%.</w:t>
      </w:r>
    </w:p>
    <w:p>
      <w:pPr>
        <w:sectPr>
          <w:pgSz w:w="11900" w:h="16838" w:orient="portrait"/>
          <w:cols w:equalWidth="0" w:num="1">
            <w:col w:w="11420"/>
          </w:cols>
          <w:pgMar w:left="240" w:top="115" w:right="239" w:bottom="218"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218" w:gutter="0" w:footer="0" w:header="0"/>
          <w:type w:val="continuous"/>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accordance with applicable provisions of the Internal Revenue Code of 1986, as amended, the terms of the South Plains Financial, Inc. Employee Stock Ownership Plan (“ESOP”), provided that, for so long as SPFI was a privately held company, ESOP participants would have the right, for a specified period of time, to require SPFI to repurchase shares of its common stock that were distributed to such participants by the ESOP. This repurchase obligation terminated upon the consummation of our initial public offering and listing of our common stock on the NASDAQ Global Select Market in May 2019. However, because we were privately held at December 31, 2018, the shares of common stock held by the ESOP have been reflected in our consolidated balance sheets as a line item called ESOP-owned shares, that appears between total liabilities and stockholders’ equity during that period. As a result, the value of ESOP-owned shares have been deducted from stockholders’ equity in our consolidated balance sheet for that period. For all periods following our initial public offering and continued listing of our common stock on the NASDAQ Global Select Market, the ESOP-owned shares are and will be included in stockholders’ equity.</w:t>
      </w:r>
    </w:p>
    <w:p>
      <w:pPr>
        <w:spacing w:after="0" w:line="20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Mergers and Acquisitions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On July 25, 2019, SPFI entered into an Agreement and Plan of Merger (the “Merger Agreement”)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West Texas State Bank, a Texas banking association (“WTSB”), providing for SPFI’s acquisition of WTSB through the merger of SPFI Merger Sub, Inc., a Texas corporation and wholly-owned subsidiary of SPFI (“Merger Sub”), with and into WTSB, with WTSB continuing as the surviving entity and thereafter being a wholly-owned subsidiary of SPFI (the “Merger”). Following the consummation of the Merger, WTSB will merge with and into City Bank, a Texas banking association and the wholly-owned subsidiary of the Company (“City Bank”), with City Bank surviving the merger (the “Bank Merger”). Pursuant to the terms and subject to the conditions of the Merger Agreement, the transaction provides for the payment to each outstanding share of WTSB’s common stock (except for shares held by Dissenting Shareholders (as defined in the Merger Agreement)) an amount of cash equal to the quotient of (i) $76,100,000 (subject to adjustment described in the Merger Agreement), divided by (ii) the total number of shares of WTSB common stock issued and outstanding at the time of the closing of the Merger.</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Change in Accounting Principle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Prior to January 1, 2019, the Company accounted for its cash-settled stock appreciation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(“SARs”) using the intrinsic value method, as permitted by ASC 718. As a result of the Company listing its common stock on the NASDAQ Global Select Market and becoming a reporting company with the SEC, the Company is now required to use the fair value method for these SARs. The Company’s calculation of the fair value of the SARs, as of January 1, 2019, exceeded the recorded intrinsic value by $1.6 million. ASC 250 states that an “entity shall report a change in accounting principle through retrospective application of the new accounting principle to all prior periods, unless it is impracticable to do so.” Retrospective application of the effects of a change from the intrinsic value to fair value would be impracticable due to the need to objectively determine assumptions that would be used in prior periods without using current information. Additionally, SEC Staff Accounting Bulletin Topic 14.B states that entities changing from nonpublic to public status are not permitted to apply the fair-value-based method retrospectively. Therefore, the Company recorded a cumulative-effect adjustment to retained earnings for $1.3 million ($1.6 million net of $340,000 in tax) effective January 1, 2019 and applied this change prospectively.</w:t>
      </w:r>
    </w:p>
    <w:p>
      <w:pPr>
        <w:spacing w:after="0" w:line="20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Stock-based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The Company sponsors an equity incentive plan under which options to acquire shares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common stock may be granted periodically to all full-time employees and directors of the Company or its affiliates at a specific exercise price to acquire shares of the Company’s common stock. Shares are issued out of authorized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the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2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Goodwill and Other Intangible Assets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Goodwill resulting from business combinations is generally determined as the excess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 Other intangible assets consist of customer relationship and employment agreement intangible assets and are amortized over their estimated useful lives of 5 years.</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Recent Accounting Pronouncements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Financial Accounting Standards Board (“FASB”) Accounting Standards Codification (“ASC”) </w:t>
      </w:r>
      <w:r>
        <w:rPr>
          <w:rFonts w:ascii="Times New Roman" w:cs="Times New Roman" w:eastAsia="Times New Roman" w:hAnsi="Times New Roman"/>
          <w:sz w:val="22"/>
          <w:szCs w:val="22"/>
          <w:color w:val="auto"/>
        </w:rPr>
        <w:t>constitutes GAAP for nongovernmental entities. Updates to ASC are prescribed in Accounting Standards Updates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(“ASU”), which are not authoritative until incorporated into ASC.</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i w:val="1"/>
          <w:iCs w:val="1"/>
          <w:color w:val="auto"/>
        </w:rPr>
        <w:t>ASU 2016-01 Financial Instruments - Overall (Subtopic 825-10): Recognition and Measurement of Financial Assets and Financial Liabilities</w:t>
      </w:r>
      <w:r>
        <w:rPr>
          <w:rFonts w:ascii="Times New Roman" w:cs="Times New Roman" w:eastAsia="Times New Roman" w:hAnsi="Times New Roman"/>
          <w:sz w:val="21"/>
          <w:szCs w:val="21"/>
          <w:color w:val="auto"/>
        </w:rPr>
        <w:t>. ASU 2016-01, among other things, eliminates the requirement to disclose the fair value of financial instruments 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amortized cost for entities that are not public business entities. We originally adopted the new standard effective January 1, 2018, the effective date of the guidance. Accordingly, the Company’s fair value of financial instruments at amortized cost were not disclosed in our consolidated financial statements for 2018. However, based on the Company becoming a public company in May 2019, these disclosures are now required and have been included in our consolidated financial statements presented in this Report.</w:t>
      </w:r>
    </w:p>
    <w:p>
      <w:pPr>
        <w:sectPr>
          <w:pgSz w:w="11900" w:h="16838" w:orient="portrait"/>
          <w:cols w:equalWidth="0" w:num="1">
            <w:col w:w="11420"/>
          </w:cols>
          <w:pgMar w:left="240" w:top="115" w:right="239" w:bottom="191"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91" w:gutter="0" w:footer="0" w:header="0"/>
          <w:type w:val="continuous"/>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ASU 2016-02 Leases (Topic 842). </w:t>
      </w:r>
      <w:r>
        <w:rPr>
          <w:rFonts w:ascii="Times New Roman" w:cs="Times New Roman" w:eastAsia="Times New Roman" w:hAnsi="Times New Roman"/>
          <w:sz w:val="21"/>
          <w:szCs w:val="21"/>
          <w:color w:val="auto"/>
        </w:rPr>
        <w:t>The FASB amended existing guidance that requires that lessees recognize lease assets and lease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liabilities on the balance sheet and disclose key information about leasing arrangements. The Company is in the process of determining the effect of the standard on its consolidated operating results and financial condition. These amendments are effective for the Company for annual periods beginning after December 15, 2019 and interim periods beginning after December 15, 2020.</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i w:val="1"/>
          <w:iCs w:val="1"/>
          <w:color w:val="auto"/>
        </w:rPr>
        <w:t xml:space="preserve">ASU 2016-13 Financial Instruments - Credit Losses (Topic 326). </w:t>
      </w:r>
      <w:r>
        <w:rPr>
          <w:rFonts w:ascii="Times New Roman" w:cs="Times New Roman" w:eastAsia="Times New Roman" w:hAnsi="Times New Roman"/>
          <w:sz w:val="21"/>
          <w:szCs w:val="21"/>
          <w:color w:val="auto"/>
        </w:rPr>
        <w:t>The FASB issued guidance to replace the incurred loss model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20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amortized cost and fair value of securities, with gross unrealized gains and losses, at period-end follow: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4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6"/>
        </w:trPr>
        <w:tc>
          <w:tcPr>
            <w:tcW w:w="14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September 30, 2019</w:t>
            </w:r>
          </w:p>
        </w:tc>
        <w:tc>
          <w:tcPr>
            <w:tcW w:w="4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6,901</w:t>
            </w:r>
          </w:p>
        </w:tc>
      </w:tr>
      <w:tr>
        <w:trPr>
          <w:trHeight w:val="21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41,552</w:t>
            </w:r>
          </w:p>
        </w:tc>
      </w:tr>
      <w:tr>
        <w:trPr>
          <w:trHeight w:val="216"/>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253,878</w:t>
            </w:r>
          </w:p>
        </w:tc>
      </w:tr>
      <w:tr>
        <w:trPr>
          <w:trHeight w:val="21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60,185</w:t>
            </w:r>
          </w:p>
        </w:tc>
      </w:tr>
      <w:tr>
        <w:trPr>
          <w:trHeight w:val="216"/>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38,819</w:t>
            </w:r>
          </w:p>
        </w:tc>
      </w:tr>
      <w:tr>
        <w:trPr>
          <w:trHeight w:val="27"/>
        </w:trPr>
        <w:tc>
          <w:tcPr>
            <w:tcW w:w="146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396,742</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401,335</w:t>
            </w:r>
          </w:p>
        </w:tc>
      </w:tr>
      <w:tr>
        <w:trPr>
          <w:trHeight w:val="21"/>
        </w:trPr>
        <w:tc>
          <w:tcPr>
            <w:tcW w:w="14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4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6"/>
        </w:trPr>
        <w:tc>
          <w:tcPr>
            <w:tcW w:w="4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2018</w:t>
            </w:r>
          </w:p>
        </w:tc>
        <w:tc>
          <w:tcPr>
            <w:tcW w:w="1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3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84,765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84,707</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32,310</w:t>
            </w: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182,256</w:t>
            </w:r>
          </w:p>
        </w:tc>
      </w:tr>
      <w:tr>
        <w:trPr>
          <w:trHeight w:val="223"/>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38,923</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338,196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amortized cost and fair value of securities at September 30, 2019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Available for Sale</w:t>
            </w:r>
          </w:p>
        </w:tc>
      </w:tr>
      <w:tr>
        <w:trPr>
          <w:trHeight w:val="194"/>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6,901</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After 10 years</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30,447</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349,174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396,742</w:t>
            </w:r>
          </w:p>
        </w:tc>
        <w:tc>
          <w:tcPr>
            <w:tcW w:w="100" w:type="dxa"/>
            <w:vAlign w:val="bottom"/>
          </w:tcPr>
          <w:p>
            <w:pPr>
              <w:spacing w:after="0"/>
              <w:rPr>
                <w:sz w:val="18"/>
                <w:szCs w:val="18"/>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401,335</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September 30, 2019 and December 31, 2018, there were no holdings of securities of any one issuer, other than the 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government and its agencies, in an amount greater than 10% of stockholders’ equity.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Securities with a carrying value of approximately $198.6 million and $200.0 million at September 30, 2019 and December 31, 2018, respectively, were pledged to collateralize public deposits and for other purposes as required or permitted by law.</w:t>
      </w:r>
    </w:p>
    <w:p>
      <w:pPr>
        <w:sectPr>
          <w:pgSz w:w="11900" w:h="16838" w:orient="portrait"/>
          <w:cols w:equalWidth="0" w:num="1">
            <w:col w:w="11420"/>
          </w:cols>
          <w:pgMar w:left="240" w:top="116" w:right="2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segregates securities with unrealized losses at the periods indicated, by the duration they have been in a loss position: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1"/>
                <w:szCs w:val="21"/>
                <w:color w:val="auto"/>
              </w:rPr>
            </w:pPr>
          </w:p>
        </w:tc>
        <w:tc>
          <w:tcPr>
            <w:tcW w:w="24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20" w:type="dxa"/>
            <w:vAlign w:val="bottom"/>
          </w:tcPr>
          <w:p>
            <w:pPr>
              <w:spacing w:after="0"/>
              <w:rPr>
                <w:sz w:val="21"/>
                <w:szCs w:val="21"/>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176"/>
        </w:trPr>
        <w:tc>
          <w:tcPr>
            <w:tcW w:w="33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September 30, 2019</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2018</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162,997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192,515</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295,730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were 23 securities with an unrealized loss at September 30, 2019.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September 30, 2019, management believes the impairments detailed in the table above are temporary and no impairment loss has been realized in the Company’s consolidated financial statements.</w:t>
      </w:r>
    </w:p>
    <w:p>
      <w:pPr>
        <w:spacing w:after="0" w:line="21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LOANS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Loans are summarized by category as of the periods presented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305,022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427,728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346,153</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191,647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70,338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70,209</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84,124</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78,401</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1,962,609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(24,176)</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(23,126)</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1,938,433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20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i w:val="1"/>
          <w:iCs w:val="1"/>
          <w:u w:val="single" w:color="auto"/>
          <w:color w:val="auto"/>
        </w:rPr>
        <w:t>Commercial – General and Specialized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Commercial loans are underwritten after evaluating and understanding the borrower’s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ectPr>
          <w:pgSz w:w="11900" w:h="16838" w:orient="portrait"/>
          <w:cols w:equalWidth="0" w:num="1">
            <w:col w:w="11420"/>
          </w:cols>
          <w:pgMar w:left="240" w:top="115" w:right="239" w:bottom="8"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u w:val="single" w:color="auto"/>
          <w:color w:val="auto"/>
        </w:rPr>
        <w:t>Commercial Real Estate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Commercial real estate loans are also subject to underwriting standards and processes similar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u w:val="single" w:color="auto"/>
          <w:color w:val="auto"/>
        </w:rPr>
        <w:t>Construction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Loans for residential construction are for single-family properties to developers, builders, or end-users. These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Consumer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Loans to consumers include 1-4 family residential loans, auto loans, and other loans for recreational vehicles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details the activity in the allowance for loan losses. Allocation of a portion of the allowance to one category of loans does not preclude its availability to absorb losses in other categories.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26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Loan Losses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Charge-offs</w:t>
            </w: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176"/>
        </w:trPr>
        <w:tc>
          <w:tcPr>
            <w:tcW w:w="47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September 30, 2019</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24,171</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September 30, 2018</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3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tcBorders>
              <w:top w:val="single" w:sz="8" w:color="CCEEFF"/>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26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Loan Losses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Charge-offs</w:t>
            </w: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176"/>
        </w:trPr>
        <w:tc>
          <w:tcPr>
            <w:tcW w:w="47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nine months ended September 30, 2019</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23,126</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For the nine months ended September 30, 2018</w:t>
            </w:r>
          </w:p>
        </w:tc>
        <w:tc>
          <w:tcPr>
            <w:tcW w:w="1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shows the Company’s investment in loans disaggregated based on the method of evaluating impairment: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Recorded Investment</w:t>
            </w:r>
          </w:p>
        </w:tc>
        <w:tc>
          <w:tcPr>
            <w:tcW w:w="100" w:type="dxa"/>
            <w:vAlign w:val="bottom"/>
          </w:tcPr>
          <w:p>
            <w:pPr>
              <w:spacing w:after="0"/>
              <w:rPr>
                <w:sz w:val="21"/>
                <w:szCs w:val="21"/>
                <w:color w:val="auto"/>
              </w:rPr>
            </w:pP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Allowance for Loan Losses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Individually</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Collectively</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Individually</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Collectively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Evaluated</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1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Evaluated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0" w:type="dxa"/>
            <w:vAlign w:val="bottom"/>
          </w:tcPr>
          <w:p>
            <w:pPr>
              <w:spacing w:after="0"/>
              <w:rPr>
                <w:sz w:val="1"/>
                <w:szCs w:val="1"/>
                <w:color w:val="auto"/>
              </w:rPr>
            </w:pPr>
          </w:p>
        </w:tc>
      </w:tr>
      <w:tr>
        <w:trPr>
          <w:trHeight w:val="176"/>
        </w:trPr>
        <w:tc>
          <w:tcPr>
            <w:tcW w:w="60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September 30, 2019</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520,356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316,276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396,249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356,776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212,529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70,338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1,956,648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23,737</w:t>
            </w:r>
          </w:p>
        </w:tc>
        <w:tc>
          <w:tcPr>
            <w:tcW w:w="0" w:type="dxa"/>
            <w:vAlign w:val="bottom"/>
          </w:tcPr>
          <w:p>
            <w:pPr>
              <w:spacing w:after="0"/>
              <w:rPr>
                <w:sz w:val="1"/>
                <w:szCs w:val="1"/>
                <w:color w:val="auto"/>
              </w:rPr>
            </w:pPr>
          </w:p>
        </w:tc>
      </w:tr>
      <w:tr>
        <w:trPr>
          <w:trHeight w:val="21"/>
        </w:trPr>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2018</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536,218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302,906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424,778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343,678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191,647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1,947,837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Impaired loan information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Unpaid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With No</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Allowance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176"/>
        </w:trPr>
        <w:tc>
          <w:tcPr>
            <w:tcW w:w="33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September 30, 2019</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7,661</w:t>
            </w:r>
          </w:p>
        </w:tc>
        <w:tc>
          <w:tcPr>
            <w:tcW w:w="0" w:type="dxa"/>
            <w:vAlign w:val="bottom"/>
          </w:tcPr>
          <w:p>
            <w:pPr>
              <w:spacing w:after="0"/>
              <w:rPr>
                <w:sz w:val="1"/>
                <w:szCs w:val="1"/>
                <w:color w:val="auto"/>
              </w:rPr>
            </w:pPr>
          </w:p>
        </w:tc>
      </w:tr>
      <w:tr>
        <w:trPr>
          <w:trHeight w:val="21"/>
        </w:trPr>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2018</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impaired loans $250,000 and greater were specifically evaluated for impairment. Interest income recognized using a cash-basis method on impaired loans for the nine-month period ended September 30, 2019 and the year ended December 31, 2018 was not significant. Additional funds committed to be advanced on impaired loans are not significant.</w:t>
      </w:r>
    </w:p>
    <w:p>
      <w:pPr>
        <w:sectPr>
          <w:pgSz w:w="11900" w:h="16838" w:orient="portrait"/>
          <w:cols w:equalWidth="0" w:num="1">
            <w:col w:w="11420"/>
          </w:cols>
          <w:pgMar w:left="240" w:top="116"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table below provides an age analysis on accruing past-due loans and nonaccrual loans: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More Past Due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0" w:type="dxa"/>
            <w:vAlign w:val="bottom"/>
          </w:tcPr>
          <w:p>
            <w:pPr>
              <w:spacing w:after="0"/>
              <w:rPr>
                <w:sz w:val="1"/>
                <w:szCs w:val="1"/>
                <w:color w:val="auto"/>
              </w:rPr>
            </w:pPr>
          </w:p>
        </w:tc>
      </w:tr>
      <w:tr>
        <w:trPr>
          <w:trHeight w:val="176"/>
        </w:trPr>
        <w:tc>
          <w:tcPr>
            <w:tcW w:w="74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September 30, 2019</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5,235</w:t>
            </w:r>
          </w:p>
        </w:tc>
        <w:tc>
          <w:tcPr>
            <w:tcW w:w="0" w:type="dxa"/>
            <w:vAlign w:val="bottom"/>
          </w:tcPr>
          <w:p>
            <w:pPr>
              <w:spacing w:after="0"/>
              <w:rPr>
                <w:sz w:val="1"/>
                <w:szCs w:val="1"/>
                <w:color w:val="auto"/>
              </w:rPr>
            </w:pPr>
          </w:p>
        </w:tc>
      </w:tr>
      <w:tr>
        <w:trPr>
          <w:trHeight w:val="21"/>
        </w:trPr>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internal classifications of loans: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Pass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Mention</w:t>
            </w:r>
          </w:p>
        </w:tc>
        <w:tc>
          <w:tcPr>
            <w:tcW w:w="120" w:type="dxa"/>
            <w:vAlign w:val="bottom"/>
          </w:tcPr>
          <w:p>
            <w:pPr>
              <w:spacing w:after="0"/>
              <w:rPr>
                <w:sz w:val="21"/>
                <w:szCs w:val="21"/>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6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47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September 30, 2019</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496,054</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22,133</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3,840</w:t>
            </w: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389,187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9,722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7,893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211,954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1,915,621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22,133</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1,962,609</w:t>
            </w:r>
          </w:p>
        </w:tc>
        <w:tc>
          <w:tcPr>
            <w:tcW w:w="0" w:type="dxa"/>
            <w:vAlign w:val="bottom"/>
          </w:tcPr>
          <w:p>
            <w:pPr>
              <w:spacing w:after="0"/>
              <w:rPr>
                <w:sz w:val="1"/>
                <w:szCs w:val="1"/>
                <w:color w:val="auto"/>
              </w:rPr>
            </w:pPr>
          </w:p>
        </w:tc>
      </w:tr>
      <w:tr>
        <w:trPr>
          <w:trHeight w:val="21"/>
        </w:trPr>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2018</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514,249</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17,300</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3,733</w:t>
            </w: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415,675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10,604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1,911,960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18,749</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1,957,197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were no loans restructured as troubled debt restructurings during the nine-month period ended September 30, 2019 and the year ended December 31, 2018.</w:t>
      </w:r>
    </w:p>
    <w:p>
      <w:pPr>
        <w:spacing w:after="0" w:line="19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 ARRANGEMENTS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Subordinated debt securities</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In January 2014, the Company issued $20.9 million in subordinated debt securities. These securities pay interest quarterly and mature January 2024. There was $6.5 million issued at a current rate of 4% and $14.4 million at a current rate of 5%. These rates were fixed for the first five years and then float at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prime rate, with a floor of 4% and a ceiling of 7.5%. These securities were unsecured, could be called by the Company at any time after January 2019, and they qualified for Tier 2 capital treatment, subject to regulatory limitations. In December 2018, the Company notified all holders that it intended to call these securities in January of 2019 and were given the option to subscribe to a new offering (see following paragraph) or to be redeemed. Holders of $13.4 million elected to subscribe to the new offering while holders of $7.5 million elected to have their securities redeemed in January 2019. As a result, these securities had been fully redeemed as of September 30, 2019, while the outstanding balance of these securities at December 31, 2018 was $7.5 million.</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expiration of the fixed rate periods, all securities will float at the </w:t>
      </w:r>
      <w:r>
        <w:rPr>
          <w:rFonts w:ascii="Times New Roman" w:cs="Times New Roman" w:eastAsia="Times New Roman" w:hAnsi="Times New Roman"/>
          <w:sz w:val="21"/>
          <w:szCs w:val="21"/>
          <w:i w:val="1"/>
          <w:iCs w:val="1"/>
          <w:color w:val="auto"/>
        </w:rPr>
        <w:t>Wall Street Journal</w:t>
      </w:r>
      <w:r>
        <w:rPr>
          <w:rFonts w:ascii="Times New Roman" w:cs="Times New Roman" w:eastAsia="Times New Roman" w:hAnsi="Times New Roman"/>
          <w:sz w:val="21"/>
          <w:szCs w:val="21"/>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ectPr>
          <w:pgSz w:w="11900" w:h="16838" w:orient="portrait"/>
          <w:cols w:equalWidth="0" w:num="1">
            <w:col w:w="11420"/>
          </w:cols>
          <w:pgMar w:left="240" w:top="116" w:right="239" w:bottom="681"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681" w:gutter="0" w:footer="0" w:header="0"/>
          <w:type w:val="continuous"/>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Non-Qualified Plans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Certain Company executives, as determined by the Company’s Board of Directors from time to time, were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granted SARs based on grant date values. The SARs have varying vesting provisions. Exercise and payment options for the SARs vary and are governed by the program they were issued under, as well as the specific award agreement. Prior to January 1, 2019, the Company accrued the liabilities for these SARs under the intrinsic value method. The accrual for the liabilities was $10.6 million at December 31, 2018.</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 result of the Company becoming a reporting company with the SEC, the Company is now required to use the fair value method for these SARs. The Company’s calculation of the fair value of the SARs, as of January 1, 2019, exceeded the recorded intrinsic value by $1.6 million. Therefore, the Company recorded a cumulative-effect adjustment to retained earnings for $1.3 million ($1.6 million net of $340,000 in tax) effective January 1, 2019 and applied this change prospectively.</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recorded expense of $607,000 for the increase in the intrinsic value of the SARs, prior to the change to the fair value method, and the change in fair value of the SARs at January 1, 2019. The Company also recorded $69,000 of expense related to vesting for the SARs, prior to conversion on May 6, 2019. See Note 6, Stock-based Compensation, for further discussion of the conversion.</w:t>
      </w:r>
    </w:p>
    <w:p>
      <w:pPr>
        <w:spacing w:after="0" w:line="21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Equity Incentive Plan</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fair value of each option award is estimated on the date of grant using a closed form option valuation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Options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activity in the Plan during the nine months ended September 30, 2019 is presented in the table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21"/>
                <w:szCs w:val="21"/>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176"/>
        </w:trPr>
        <w:tc>
          <w:tcPr>
            <w:tcW w:w="5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Nine Months Ended September 30, 2019</w:t>
            </w: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2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1,664,992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1,532,992</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22"/>
                <w:szCs w:val="22"/>
                <w:color w:val="auto"/>
              </w:rPr>
            </w:pPr>
          </w:p>
        </w:tc>
        <w:tc>
          <w:tcPr>
            <w:tcW w:w="2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1,100,400</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c>
          <w:tcPr>
            <w:tcW w:w="2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assumptions used to calculate the fair values of the awards is presented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5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2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 to 31.54%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w w:val="98"/>
              </w:rPr>
              <w:t>0.70%</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0.5 - 7.0 years</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 to 2.63%</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8.01</w:t>
            </w:r>
          </w:p>
        </w:tc>
      </w:tr>
    </w:tbl>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January 16, 2019, the Company approved the conversion of its previously issued SARs to stock options. There were 1,401,000 outstanding SARs that were converted effective as of May 6, 2019, which are included in the tables above. The fair value of the SARs was $11.5 million at the conversion date. During the modification of these awards from liabilities to equity, the Company accelerated the expiration date, between two and four years, on 750,000 of the stock options. As a result, the fair value of the stock options after modification was $11.2 million. However, since the fair value of the new equity awards was less than the fair value of the liability awards, no adjustment was made to the Company’s income statement. The $11.5 million was reclassified from liabilities to equity.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Restricted Stock Units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activity in the Plan during the nine months ended September 30, 2019 is presented in the table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176"/>
        </w:trPr>
        <w:tc>
          <w:tcPr>
            <w:tcW w:w="85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Nine Months Ended September 30, 2019</w:t>
            </w: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2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2019</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81,200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40" w:type="dxa"/>
            <w:vAlign w:val="bottom"/>
            <w:gridSpan w:val="2"/>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40" w:type="dxa"/>
            <w:vAlign w:val="bottom"/>
            <w:gridSpan w:val="2"/>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Restricted stock units granted under the Plan typically vests over five years, but vesting periods may vary. Compensation expense for these grants will be recognized over the vesting period of the awards based on the fair value of the stock at the issue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total unrecognized compensation cost for the awards outstanding under the Plan at September 30, 2019 was $2.9 million and will be recognized over a weighted average remaining period of 2.06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Employment Agreement</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Effective March 6, 2019, the Company entered into an employment agreement with its President. The employment agreement has an initial term of three years and will automatically renew for additional three-year terms, unless the Company or the President provides 90-days’ advance notice of non-renewal. In the event that the President’s employment is terminated by the Company without cause or by the President for good reason, each as defined in the employment agreement, the employment agreement provides that he will receive severance equal to two times the sum of his annual base salary and annual target cash incentive bonus and a lump sum payment equal to 24 months’ of the monthly premiums to continue existing healthcare coverage under the Consolidated Omnibus Budget Reconciliation Act (“COBRA”). If such involuntary termination occurs within the 24-month period following a change in control, as defined in the employment agreement, in lieu of the foregoing, the severance due would be three times the sum of annual base salary and annual target cash incentive bonus and a lump sum payment equal to 36 months’ of the monthly premiums to continue existing healthcare coverage under COBRA. Additionally, any equity and phantom equity awards would fully vest upon any termination of employment by the Company without cause or by the President for good reason.</w:t>
      </w:r>
    </w:p>
    <w:p>
      <w:pPr>
        <w:spacing w:after="0" w:line="20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Financial instruments with off-balance-sheet risk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The Company is a party to financial instruments with off-balance-sheet risk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ectPr>
          <w:pgSz w:w="11900" w:h="16838" w:orient="portrait"/>
          <w:cols w:equalWidth="0" w:num="1">
            <w:col w:w="11420"/>
          </w:cols>
          <w:pgMar w:left="240" w:top="115" w:right="239" w:bottom="276"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276" w:gutter="0" w:footer="0" w:header="0"/>
          <w:type w:val="continuous"/>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instruments whose contract amounts represent credit risk outstanding follow: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346,245</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r>
    </w:tbl>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Litigation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The Company is a defendant in legal actions arising from time to time in the ordinary course of business. Management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believes that the aggregate ultimate liability, if any, arising from these matters will not materially affect the Company’s consolidated financial statements.</w:t>
      </w:r>
    </w:p>
    <w:p>
      <w:pPr>
        <w:spacing w:after="0" w:line="19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Federal Home Loan Bank (“FHLB”) Letters of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The Company uses FHLB letters of credit to pledge to certain 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deposits. The balance of these FHLB letters of credit was $199.0 million at September 30, 2019 and December 31, 2018, respectively.</w:t>
      </w:r>
    </w:p>
    <w:p>
      <w:pPr>
        <w:spacing w:after="0" w:line="20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AND REGULATORY MATTERS</w:t>
      </w:r>
    </w:p>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July 2013, the Board of Governors of the Federal Reserve System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Common Equity Tier 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Quantitative measures established by regulation to ensure capital adequacy require the Company and its bank subsidiary to maintain minimum amounts and ratios (set forth in the following table) of total, Tier 1 and CET1 capital (as defined in the regulations) to risk-weighted assets (as defined) and of Tier 1 capital (as defined) to average assets (as defined). Management believes, as of September 30, 2019 and December 31, 2018, that the Company and its bank subsidiary met all capital adequacy requirements to which they are subject.</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September 30, 2019, the bank subsidiary was well capitalized under the regulatory framework for prompt corrective action. To be categorized as well capitalized, an institution must maintain minimum total risk-based, Tier 1 risk-based, CET1 and Tier 1 leverage ratios as set forth in the following tables. There are no conditions or events since September 30, 2019 that management believes have changed the bank subsidiary’s category.</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and its bank subsidiary’s actual capital amounts and ratios follow: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Minimum Required</w:t>
            </w:r>
          </w:p>
        </w:tc>
        <w:tc>
          <w:tcPr>
            <w:tcW w:w="160" w:type="dxa"/>
            <w:vAlign w:val="bottom"/>
          </w:tcPr>
          <w:p>
            <w:pPr>
              <w:spacing w:after="0"/>
              <w:rPr>
                <w:sz w:val="18"/>
                <w:szCs w:val="18"/>
                <w:color w:val="auto"/>
              </w:rPr>
            </w:pPr>
          </w:p>
        </w:tc>
        <w:tc>
          <w:tcPr>
            <w:tcW w:w="24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Be Well Capitalized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Under BASEL III</w:t>
            </w:r>
          </w:p>
        </w:tc>
        <w:tc>
          <w:tcPr>
            <w:tcW w:w="160" w:type="dxa"/>
            <w:vAlign w:val="bottom"/>
          </w:tcPr>
          <w:p>
            <w:pPr>
              <w:spacing w:after="0"/>
              <w:rPr>
                <w:sz w:val="18"/>
                <w:szCs w:val="18"/>
                <w:color w:val="auto"/>
              </w:rPr>
            </w:pPr>
          </w:p>
        </w:tc>
        <w:tc>
          <w:tcPr>
            <w:tcW w:w="24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Under Prompt Corrective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Fully Phased-In</w:t>
            </w:r>
          </w:p>
        </w:tc>
        <w:tc>
          <w:tcPr>
            <w:tcW w:w="160" w:type="dxa"/>
            <w:vAlign w:val="bottom"/>
          </w:tcPr>
          <w:p>
            <w:pPr>
              <w:spacing w:after="0"/>
              <w:rPr>
                <w:sz w:val="21"/>
                <w:szCs w:val="21"/>
                <w:color w:val="auto"/>
              </w:rPr>
            </w:pPr>
          </w:p>
        </w:tc>
        <w:tc>
          <w:tcPr>
            <w:tcW w:w="24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Action Provisions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30, 2019</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388,748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17.38%</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234,854</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Bank</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308,841</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234,803</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223,622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right w:val="single" w:sz="8" w:color="CCEEFF"/>
            </w:tcBorders>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Tier I Capital to Risk Weighted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337,920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190,120</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Bank</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284,485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190,079</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178,898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right w:val="single" w:sz="8" w:color="CCEEFF"/>
            </w:tcBorders>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292,920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156,569</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Bank</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284,485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156,535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145,354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right w:val="single" w:sz="8" w:color="CCEEFF"/>
            </w:tcBorders>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337,920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111,174</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Bank</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284,485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111,098</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138,872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right w:val="single" w:sz="8" w:color="CCEEFF"/>
            </w:tcBorders>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2018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309,798</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227,864</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294,572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227,806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216,958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I Capital to Risk Weighted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260,020</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184,462</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271,266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184,415</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173,567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215,020</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151,910</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271,266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151,871</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141,023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260,020</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108,033</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271,266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107,940</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134,925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206"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utilizes interest rate swap agreements as part of its asset-liability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reflects the fair value hedges included in the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80" w:type="dxa"/>
            <w:vAlign w:val="bottom"/>
          </w:tcPr>
          <w:p>
            <w:pPr>
              <w:spacing w:after="0"/>
              <w:rPr>
                <w:sz w:val="21"/>
                <w:szCs w:val="21"/>
                <w:color w:val="auto"/>
              </w:rPr>
            </w:pPr>
          </w:p>
        </w:tc>
        <w:tc>
          <w:tcPr>
            <w:tcW w:w="242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432"/>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1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10,650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897"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897" w:gutter="0" w:footer="0" w:header="0"/>
          <w:type w:val="continuous"/>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Mortgage banking derivatives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reflects the amount and fair value of mortgage banking derivatives in the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40" w:type="dxa"/>
            <w:vAlign w:val="bottom"/>
          </w:tcPr>
          <w:p>
            <w:pPr>
              <w:spacing w:after="0"/>
              <w:rPr>
                <w:sz w:val="21"/>
                <w:szCs w:val="21"/>
                <w:color w:val="auto"/>
              </w:rPr>
            </w:pPr>
          </w:p>
        </w:tc>
        <w:tc>
          <w:tcPr>
            <w:tcW w:w="24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Notional</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Notional</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432"/>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46,891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included in other assets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68,298</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46,891</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
        </w:trPr>
        <w:tc>
          <w:tcPr>
            <w:tcW w:w="30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80,524</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54,998</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included in other liabilities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80,524</w:t>
            </w:r>
          </w:p>
        </w:tc>
        <w:tc>
          <w:tcPr>
            <w:tcW w:w="3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54,998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5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factors used in the earnings per share computation follow:</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4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7"/>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24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17,985,429</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14,771,520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16,417,116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377,604</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160,606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18,363,033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14,771,520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16,577,722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c>
          <w:tcPr>
            <w:tcW w:w="0" w:type="dxa"/>
            <w:vAlign w:val="bottom"/>
          </w:tcPr>
          <w:p>
            <w:pPr>
              <w:spacing w:after="0"/>
              <w:rPr>
                <w:sz w:val="1"/>
                <w:szCs w:val="1"/>
                <w:color w:val="auto"/>
              </w:rPr>
            </w:pPr>
          </w:p>
        </w:tc>
      </w:tr>
      <w:tr>
        <w:trPr>
          <w:trHeight w:val="21"/>
        </w:trPr>
        <w:tc>
          <w:tcPr>
            <w:tcW w:w="30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3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459"/>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5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Financial results by reportable segment are detailed below:</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 Months Ended September 30, 2019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8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00" w:type="dxa"/>
            <w:vAlign w:val="bottom"/>
            <w:tcBorders>
              <w:top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26,568</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(29,109)</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10,087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8,258</w:t>
            </w:r>
          </w:p>
        </w:tc>
        <w:tc>
          <w:tcPr>
            <w:tcW w:w="0" w:type="dxa"/>
            <w:vAlign w:val="bottom"/>
          </w:tcPr>
          <w:p>
            <w:pPr>
              <w:spacing w:after="0"/>
              <w:rPr>
                <w:sz w:val="1"/>
                <w:szCs w:val="1"/>
                <w:color w:val="auto"/>
              </w:rPr>
            </w:pPr>
          </w:p>
        </w:tc>
      </w:tr>
      <w:tr>
        <w:trPr>
          <w:trHeight w:val="21"/>
        </w:trPr>
        <w:tc>
          <w:tcPr>
            <w:tcW w:w="30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 Months Ended September 30, 2018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8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00" w:type="dxa"/>
            <w:vAlign w:val="bottom"/>
            <w:tcBorders>
              <w:top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6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(3,415)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11,893</w:t>
            </w: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(28,429)</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(943)</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1,019</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411"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411" w:gutter="0" w:footer="0" w:header="0"/>
          <w:type w:val="continuous"/>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results by reportable segment are detailed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16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4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80" w:type="dxa"/>
            <w:vAlign w:val="bottom"/>
          </w:tcPr>
          <w:p>
            <w:pPr>
              <w:spacing w:after="0"/>
              <w:rPr>
                <w:sz w:val="17"/>
                <w:szCs w:val="17"/>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20" w:type="dxa"/>
            <w:vAlign w:val="bottom"/>
            <w:tcBorders>
              <w:top w:val="single" w:sz="8" w:color="auto"/>
            </w:tcBorders>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(87,279)</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(4,674)</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1,035</w:t>
            </w:r>
          </w:p>
        </w:tc>
        <w:tc>
          <w:tcPr>
            <w:tcW w:w="42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Nine Months Ended September 30, 2018</w:t>
            </w:r>
          </w:p>
        </w:tc>
        <w:tc>
          <w:tcPr>
            <w:tcW w:w="16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4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80" w:type="dxa"/>
            <w:vAlign w:val="bottom"/>
          </w:tcPr>
          <w:p>
            <w:pPr>
              <w:spacing w:after="0"/>
              <w:rPr>
                <w:sz w:val="17"/>
                <w:szCs w:val="17"/>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20" w:type="dxa"/>
            <w:vAlign w:val="bottom"/>
            <w:tcBorders>
              <w:top w:val="single" w:sz="8" w:color="auto"/>
            </w:tcBorders>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(82,332)</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1,241</w:t>
            </w:r>
          </w:p>
        </w:tc>
        <w:tc>
          <w:tcPr>
            <w:tcW w:w="42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DISCLOSURES</w:t>
      </w:r>
    </w:p>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213" w:lineRule="exact"/>
        <w:rPr>
          <w:sz w:val="20"/>
          <w:szCs w:val="20"/>
          <w:color w:val="auto"/>
        </w:rPr>
      </w:pPr>
    </w:p>
    <w:p>
      <w:pPr>
        <w:ind w:left="66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Unadjusted quoted prices in active markets for identical assets or liabilities that the reporting entity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jc w:val="both"/>
        <w:ind w:left="660" w:right="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Inputs other than quoted prices included in Level 1 that are observable for the asset or liability, either directly or indirectly.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Inputs </w:t>
      </w:r>
      <w:r>
        <w:rPr>
          <w:rFonts w:ascii="Times New Roman" w:cs="Times New Roman" w:eastAsia="Times New Roman" w:hAnsi="Times New Roman"/>
          <w:sz w:val="18"/>
          <w:szCs w:val="18"/>
          <w:color w:val="auto"/>
        </w:rPr>
        <w:t>- Unobservable inputs for determining the fair values of assets or liabilities that reflect an entity’s own assumptions about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market participants would use in pricing the assets or liabilities.</w:t>
      </w:r>
    </w:p>
    <w:p>
      <w:pPr>
        <w:sectPr>
          <w:pgSz w:w="11900" w:h="16838" w:orient="portrait"/>
          <w:cols w:equalWidth="0" w:num="1">
            <w:col w:w="11420"/>
          </w:cols>
          <w:pgMar w:left="240" w:top="115"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fair value measurements: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52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30, 2019</w:t>
            </w:r>
          </w:p>
        </w:tc>
        <w:tc>
          <w:tcPr>
            <w:tcW w:w="8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 and municipal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41,552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253,878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60,185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38,819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38,321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11,815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2018</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74,419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10,288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 and municipal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32,310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182,256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38,923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31,874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6,508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6,508</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Loans held for sale (mandatory)</w:t>
      </w:r>
      <w:r>
        <w:rPr>
          <w:rFonts w:ascii="Times New Roman" w:cs="Times New Roman" w:eastAsia="Times New Roman" w:hAnsi="Times New Roman"/>
          <w:sz w:val="22"/>
          <w:szCs w:val="22"/>
          <w:color w:val="auto"/>
        </w:rPr>
        <w:t xml:space="preserve"> – Loans held for sale originated for mandatory delivery are reported at fair value. Fair value is determined using quoted prices for similar assets, adjusted for specific attributes of that loan.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Mortgage servicing rights</w:t>
      </w:r>
      <w:r>
        <w:rPr>
          <w:rFonts w:ascii="Times New Roman" w:cs="Times New Roman" w:eastAsia="Times New Roman" w:hAnsi="Times New Roman"/>
          <w:sz w:val="22"/>
          <w:szCs w:val="22"/>
          <w:color w:val="auto"/>
        </w:rPr>
        <w:t xml:space="preserve"> – Mortgage servicing rights are reported at fair value. Fair value is based on market prices for comparable mortgage servicing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Derivatives</w:t>
      </w:r>
      <w:r>
        <w:rPr>
          <w:rFonts w:ascii="Times New Roman" w:cs="Times New Roman" w:eastAsia="Times New Roman" w:hAnsi="Times New Roman"/>
          <w:sz w:val="22"/>
          <w:szCs w:val="22"/>
          <w:color w:val="auto"/>
        </w:rPr>
        <w:t xml:space="preserve"> – Fair value of derivatives is based on valuation models using observable market data as of the measurement date.</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Impaired loans</w:t>
      </w:r>
      <w:r>
        <w:rPr>
          <w:rFonts w:ascii="Times New Roman" w:cs="Times New Roman" w:eastAsia="Times New Roman" w:hAnsi="Times New Roman"/>
          <w:sz w:val="22"/>
          <w:szCs w:val="22"/>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Foreclosed assets</w:t>
      </w:r>
      <w:r>
        <w:rPr>
          <w:rFonts w:ascii="Times New Roman" w:cs="Times New Roman" w:eastAsia="Times New Roman" w:hAnsi="Times New Roman"/>
          <w:sz w:val="22"/>
          <w:szCs w:val="22"/>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u w:val="single" w:color="auto"/>
          <w:color w:val="auto"/>
        </w:rPr>
        <w:t>Loans held for sale (best efforts)</w:t>
      </w:r>
      <w:r>
        <w:rPr>
          <w:rFonts w:ascii="Times New Roman" w:cs="Times New Roman" w:eastAsia="Times New Roman" w:hAnsi="Times New Roman"/>
          <w:sz w:val="21"/>
          <w:szCs w:val="21"/>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ectPr>
          <w:pgSz w:w="11900" w:h="16838" w:orient="portrait"/>
          <w:cols w:equalWidth="0" w:num="1">
            <w:col w:w="11420"/>
          </w:cols>
          <w:pgMar w:left="240" w:top="115"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quantitative information about non-recurring Level 3 fair value measurements: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Techniques</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Discounts</w:t>
            </w:r>
          </w:p>
        </w:tc>
        <w:tc>
          <w:tcPr>
            <w:tcW w:w="0" w:type="dxa"/>
            <w:vAlign w:val="bottom"/>
          </w:tcPr>
          <w:p>
            <w:pPr>
              <w:spacing w:after="0"/>
              <w:rPr>
                <w:sz w:val="1"/>
                <w:szCs w:val="1"/>
                <w:color w:val="auto"/>
              </w:rPr>
            </w:pPr>
          </w:p>
        </w:tc>
      </w:tr>
      <w:tr>
        <w:trPr>
          <w:trHeight w:val="176"/>
        </w:trPr>
        <w:tc>
          <w:tcPr>
            <w:tcW w:w="32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September 30, 2019</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60" w:type="dxa"/>
            <w:vAlign w:val="bottom"/>
            <w:shd w:val="clear" w:color="auto" w:fill="CCEEFF"/>
          </w:tcPr>
          <w:p>
            <w:pPr>
              <w:spacing w:after="0"/>
              <w:rPr>
                <w:sz w:val="18"/>
                <w:szCs w:val="18"/>
                <w:color w:val="auto"/>
              </w:rPr>
            </w:pPr>
          </w:p>
        </w:tc>
        <w:tc>
          <w:tcPr>
            <w:tcW w:w="2880" w:type="dxa"/>
            <w:vAlign w:val="bottom"/>
            <w:gridSpan w:val="10"/>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74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Collateral discounts and selling costs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60" w:type="dxa"/>
            <w:vAlign w:val="bottom"/>
          </w:tcPr>
          <w:p>
            <w:pPr>
              <w:spacing w:after="0"/>
              <w:rPr>
                <w:sz w:val="18"/>
                <w:szCs w:val="18"/>
                <w:color w:val="auto"/>
              </w:rPr>
            </w:pPr>
          </w:p>
        </w:tc>
        <w:tc>
          <w:tcPr>
            <w:tcW w:w="2880" w:type="dxa"/>
            <w:vAlign w:val="bottom"/>
            <w:gridSpan w:val="10"/>
          </w:tcPr>
          <w:p>
            <w:pPr>
              <w:jc w:val="right"/>
              <w:ind w:right="20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74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w w:val="99"/>
              </w:rPr>
              <w:t>Collateral discounts and selling costs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2018</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9,119</w:t>
            </w:r>
          </w:p>
        </w:tc>
        <w:tc>
          <w:tcPr>
            <w:tcW w:w="2880" w:type="dxa"/>
            <w:vAlign w:val="bottom"/>
            <w:gridSpan w:val="10"/>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74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Collateral discounts and selling costs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60" w:type="dxa"/>
            <w:vAlign w:val="bottom"/>
          </w:tcPr>
          <w:p>
            <w:pPr>
              <w:spacing w:after="0"/>
              <w:rPr>
                <w:sz w:val="20"/>
                <w:szCs w:val="20"/>
                <w:color w:val="auto"/>
              </w:rPr>
            </w:pPr>
          </w:p>
        </w:tc>
        <w:tc>
          <w:tcPr>
            <w:tcW w:w="2880" w:type="dxa"/>
            <w:vAlign w:val="bottom"/>
            <w:gridSpan w:val="10"/>
          </w:tcPr>
          <w:p>
            <w:pPr>
              <w:jc w:val="right"/>
              <w:ind w:right="20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74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w w:val="99"/>
              </w:rPr>
              <w:t>Collateral discounts and selling costs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480"/>
        </w:trPr>
        <w:tc>
          <w:tcPr>
            <w:tcW w:w="100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The estimated fair values, and related carrying amounts, of the Company’s financial instruments are as follows: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392"/>
        </w:trPr>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244,645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244,645</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Loans, net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1,938,433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1,937,819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1,937,819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11,675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Bank-owned life insurance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58,109</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2,285,974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2,008,958</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280,449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2,387</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26,472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26,472</w:t>
            </w: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392"/>
        </w:trPr>
        <w:tc>
          <w:tcPr>
            <w:tcW w:w="3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7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245,989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245,989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Loans, net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1,934,071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1,923,167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12,957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Bank-owned life insurance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57,172</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2,277,454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1,965,925</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312,524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2,278,449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2,042</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34,002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34,002</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COMBINATIONS</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September 2019, Windmark acquired the operating assets of a crop insurance agency in Texas for $2.8 million. Windmark recorded $193,000 for goodwill, which represents the excess of the cash paid compared to the fair market value of identifiable assets acquired. Fair value of the assets acquired and liabilities assumed in this transaction as of the closing date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4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4460" w:type="dxa"/>
            <w:vAlign w:val="bottom"/>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4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8"/>
                <w:szCs w:val="18"/>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r>
      <w:tr>
        <w:trPr>
          <w:trHeight w:val="257"/>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4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120" w:type="dxa"/>
            <w:vAlign w:val="bottom"/>
          </w:tcPr>
          <w:p>
            <w:pPr>
              <w:spacing w:after="0"/>
              <w:rPr>
                <w:sz w:val="18"/>
                <w:szCs w:val="18"/>
                <w:color w:val="auto"/>
              </w:rPr>
            </w:pPr>
          </w:p>
        </w:tc>
        <w:tc>
          <w:tcPr>
            <w:tcW w:w="44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w:t>
            </w:r>
          </w:p>
        </w:tc>
        <w:tc>
          <w:tcPr>
            <w:tcW w:w="4460" w:type="dxa"/>
            <w:vAlign w:val="bottom"/>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CEEFF"/>
          </w:tcPr>
          <w:p>
            <w:pPr>
              <w:spacing w:after="0"/>
              <w:rPr>
                <w:sz w:val="20"/>
                <w:szCs w:val="20"/>
                <w:color w:val="auto"/>
              </w:rPr>
            </w:pP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GOODWILL AND INTANGIBLES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Goodwill and other intangible assets are summarized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goodwill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Arising from business combinations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goodwill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 intangibles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Employment intangibles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40" w:type="dxa"/>
            <w:vAlign w:val="bottom"/>
          </w:tcPr>
          <w:p>
            <w:pPr>
              <w:spacing w:after="0"/>
              <w:rPr>
                <w:sz w:val="18"/>
                <w:szCs w:val="18"/>
                <w:color w:val="auto"/>
              </w:rPr>
            </w:pPr>
          </w:p>
        </w:tc>
        <w:tc>
          <w:tcPr>
            <w:tcW w:w="32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November 12, 2019, the Company completed its acquisition of WTSB. In connection with the Merger, the Company paid to shareholders of WTSB an aggregate of $76.1 million in cash. The Company is still evaluating the fair values of the assets and liabilities assumed in the WTSB acquisition.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prospectus filed with the Securities and Exchange Commission (the “SEC”) pursuant to Rule 424(b) of the Securities Act of 1933, as amended (the “Securities Act”), on May 9, 2019 relating to our initial public offering (the “IPO Prospectus”).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b w:val="1"/>
          <w:bCs w:val="1"/>
          <w:color w:val="auto"/>
        </w:rPr>
        <w:t>autionary Notice Regarding Forward-Looking Statements</w:t>
      </w:r>
    </w:p>
    <w:p>
      <w:pPr>
        <w:spacing w:after="0" w:line="2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There are or will be important factors that could cause our actual results to differ materially from those indicated in these forward-looking statements, including, but not limited to, the following:</w:t>
      </w:r>
    </w:p>
    <w:p>
      <w:pPr>
        <w:spacing w:after="0" w:line="194" w:lineRule="exact"/>
        <w:rPr>
          <w:sz w:val="20"/>
          <w:szCs w:val="20"/>
          <w:color w:val="auto"/>
        </w:rPr>
      </w:pPr>
    </w:p>
    <w:p>
      <w:pPr>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expansion strategy and manage our growth, including identifying and consummating suitable acquisitions, including the acquisition and integration of West Texas State Bank;</w:t>
      </w:r>
    </w:p>
    <w:p>
      <w:pPr>
        <w:ind w:left="98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particularly those affecting our market areas, as well as the concentration of our business in such market areas;</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concentrations of loans secured by real estate located in our market areas;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commercial loan portfolio, including the risk for deterioration in value of the general business assets that secure such loans;</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prices, values and sales volumes of commercial and residential real estate securing our real estate loans;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sale of crop insurance products, including termination of or substantial changes to the federal crop insurance program;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significant amount of credit that we have extended to a limited number of borrowers and in a limited geographic area;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funds deposits comprising a relatively high percentage of our deposits;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on the goodwill we have recorded or may record in connection with business acquisitions;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reputation;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 and the sufficiency of our allowance for loan losses;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management personnel;</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management team, including our ability to retain executive officers and key employees and their customer and community relationships;</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which could have an adverse effect on our profitability;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credit unions and other financial services providers;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 or difficulties we may experience when implementing new technologies;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service denials, cyber-attacks and security breaches;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error, fraudulent activity by employees or customers and inaccurate or incomplete information about our customers and counterparties;</w:t>
      </w:r>
    </w:p>
    <w:p>
      <w:pPr>
        <w:sectPr>
          <w:pgSz w:w="11900" w:h="16838" w:orient="portrait"/>
          <w:cols w:equalWidth="0" w:num="1">
            <w:col w:w="11420"/>
          </w:cols>
          <w:pgMar w:left="240" w:top="115"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8" w:name="page29"/>
    <w:bookmarkEnd w:id="28"/>
    <w:p>
      <w:pPr>
        <w:spacing w:after="0" w:line="43" w:lineRule="exact"/>
        <w:rPr>
          <w:sz w:val="20"/>
          <w:szCs w:val="20"/>
          <w:color w:val="auto"/>
        </w:rPr>
      </w:pPr>
    </w:p>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980" w:hanging="324"/>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capital requirements imposed by our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investigations or similar matters to which we may be subject, including any effect on our reputation;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acts of god, acts of war or terrorism;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and regulatory requirements, including the Dodd-Frank Act and others relating to banking, consumer protection, securities and tax matters; and</w:t>
      </w:r>
    </w:p>
    <w:p>
      <w:pPr>
        <w:jc w:val="both"/>
        <w:ind w:left="980" w:hanging="324"/>
        <w:spacing w:after="0" w:line="255"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accounting, tax, trade, monetary and fiscal matters, including the policies of the Board of Governors of the Federal Reserve System and as a result of initiatives of the Trump administration.</w:t>
      </w:r>
    </w:p>
    <w:p>
      <w:pPr>
        <w:spacing w:after="0" w:line="2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foregoing factors should not be construed as exhaustive and should be read together with the other cautionary statements included in this Form 10-Q and the risk factors set forth in our IPO Prospectus.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The Company maintains an Internet web site at </w:t>
      </w:r>
      <w:r>
        <w:rPr>
          <w:rFonts w:ascii="Times New Roman" w:cs="Times New Roman" w:eastAsia="Times New Roman" w:hAnsi="Times New Roman"/>
          <w:sz w:val="21"/>
          <w:szCs w:val="21"/>
          <w:i w:val="1"/>
          <w:iCs w:val="1"/>
          <w:color w:val="auto"/>
        </w:rPr>
        <w:t>www.spfi.bank</w:t>
      </w:r>
      <w:r>
        <w:rPr>
          <w:rFonts w:ascii="Times New Roman" w:cs="Times New Roman" w:eastAsia="Times New Roman" w:hAnsi="Times New Roman"/>
          <w:sz w:val="21"/>
          <w:szCs w:val="21"/>
          <w:color w:val="auto"/>
        </w:rPr>
        <w:t xml:space="preserve">. The Company makes available, free of charge, on its web site (under </w:t>
      </w:r>
      <w:r>
        <w:rPr>
          <w:rFonts w:ascii="Times New Roman" w:cs="Times New Roman" w:eastAsia="Times New Roman" w:hAnsi="Times New Roman"/>
          <w:sz w:val="21"/>
          <w:szCs w:val="21"/>
          <w:i w:val="1"/>
          <w:iCs w:val="1"/>
          <w:color w:val="auto"/>
        </w:rPr>
        <w:t>www.spfi.bank/financials-filings/sec-filings</w:t>
      </w:r>
      <w:r>
        <w:rPr>
          <w:rFonts w:ascii="Times New Roman" w:cs="Times New Roman" w:eastAsia="Times New Roman" w:hAnsi="Times New Roman"/>
          <w:sz w:val="21"/>
          <w:szCs w:val="21"/>
          <w:color w:val="auto"/>
        </w:rPr>
        <w:t xml:space="preserve">) the Company’s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cs="Times New Roman" w:eastAsia="Times New Roman" w:hAnsi="Times New Roman"/>
          <w:sz w:val="21"/>
          <w:szCs w:val="21"/>
          <w:i w:val="1"/>
          <w:iCs w:val="1"/>
          <w:color w:val="auto"/>
        </w:rPr>
        <w:t>www.spfi.bank/corporate-governance/documents-charters</w:t>
      </w:r>
      <w:r>
        <w:rPr>
          <w:rFonts w:ascii="Times New Roman" w:cs="Times New Roman" w:eastAsia="Times New Roman" w:hAnsi="Times New Roman"/>
          <w:sz w:val="21"/>
          <w:szCs w:val="21"/>
          <w:color w:val="auto"/>
        </w:rPr>
        <w:t xml:space="preserve">) links to the Company’s Code of Conduct and the charters for its Board committees. In addition, the SEC maintains an Internet site (at </w:t>
      </w:r>
      <w:r>
        <w:rPr>
          <w:rFonts w:ascii="Times New Roman" w:cs="Times New Roman" w:eastAsia="Times New Roman" w:hAnsi="Times New Roman"/>
          <w:sz w:val="21"/>
          <w:szCs w:val="21"/>
          <w:i w:val="1"/>
          <w:iCs w:val="1"/>
          <w:color w:val="auto"/>
        </w:rPr>
        <w:t>www.sec.gov</w:t>
      </w:r>
      <w:r>
        <w:rPr>
          <w:rFonts w:ascii="Times New Roman" w:cs="Times New Roman" w:eastAsia="Times New Roman" w:hAnsi="Times New Roman"/>
          <w:sz w:val="21"/>
          <w:szCs w:val="21"/>
          <w:color w:val="auto"/>
        </w:rPr>
        <w:t>) that contains reports, proxy and information statements, and other information regarding issuers that file electronically with the SEC.</w:t>
      </w:r>
    </w:p>
    <w:p>
      <w:pPr>
        <w:spacing w:after="0" w:line="1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Company routinely posts important information for investors on its web site (under </w:t>
      </w:r>
      <w:r>
        <w:rPr>
          <w:rFonts w:ascii="Times New Roman" w:cs="Times New Roman" w:eastAsia="Times New Roman" w:hAnsi="Times New Roman"/>
          <w:sz w:val="22"/>
          <w:szCs w:val="22"/>
          <w:i w:val="1"/>
          <w:iCs w:val="1"/>
          <w:color w:val="auto"/>
        </w:rPr>
        <w:t>www.spfi.bank</w:t>
      </w:r>
      <w:r>
        <w:rPr>
          <w:rFonts w:ascii="Times New Roman" w:cs="Times New Roman" w:eastAsia="Times New Roman" w:hAnsi="Times New Roman"/>
          <w:sz w:val="22"/>
          <w:szCs w:val="22"/>
          <w:color w:val="auto"/>
        </w:rPr>
        <w:t xml:space="preserve"> and, more specifically, under the News &amp; Events tab at </w:t>
      </w:r>
      <w:r>
        <w:rPr>
          <w:rFonts w:ascii="Times New Roman" w:cs="Times New Roman" w:eastAsia="Times New Roman" w:hAnsi="Times New Roman"/>
          <w:sz w:val="22"/>
          <w:szCs w:val="22"/>
          <w:i w:val="1"/>
          <w:iCs w:val="1"/>
          <w:color w:val="auto"/>
        </w:rPr>
        <w:t>www.spfi.bank/news-events/press-releases</w:t>
      </w:r>
      <w:r>
        <w:rPr>
          <w:rFonts w:ascii="Times New Roman" w:cs="Times New Roman" w:eastAsia="Times New Roman" w:hAnsi="Times New Roman"/>
          <w:sz w:val="22"/>
          <w:szCs w:val="22"/>
          <w:color w:val="auto"/>
        </w:rPr>
        <w:t>).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contained on, or that may be accessed through, the Company’s web site is not incorporated by reference into, and is not a part of, this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are a bank holding company headquartered in Lubbock, Texas, and our wholly-owned banking subsidiary, City Bank, is one of the largest independent banks in West Texas. We have additional banking operations in the Dallas-Fort Worth-Arlington and El Paso MSAs, as well as in the Greater Houston, Permian Basin and College Station, Texas,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 of Subchapter S Corporation Status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Beginning January 1, 1998, the Company elected to be taxed for U.S. federal income tax purposes as a subchapter S corporation (an “S Corporation”) under the provisions of Sections 1361 to 1379 of the Internal Revenue Code of 1986, as amended (the “Code”). While we were an S Corporation, our net income was not subject to, and we did not pay, U.S. federal income tax, and no provision or liability for U.S. federal income tax was included in our consolidated financial statements. Instead, for U.S. federal income tax purposes, our taxable income was “passed through” to our shareholders.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Effective May 31, 2018, the Company revoked its election to be taxed as an S Corporation, which resulted in us being taxed as a subchapter C corporation (a “C Corporation”) under the provisions of Sections 301 to 385 of the Code, and we established a deferred tax asset to reflect the S Corporation revocation. Thus, our net income is now subject to U.S. federal income tax and we bear the liability for those taxes.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result of the revocation of our S Corporation election, the net income and earnings per share data presented for any periods which contain net income prior to the revocation date will not be comparable with periods subsequent to the revocation date. Unless otherwise stated, all information contained herein, including consolidated net income, return on average assets, return on average shareholders’ equity and earnings per share, is presented as if we had converted from an S Corporation to a C Corporation as of January 1, 2018 using a statutory tax rate for U.S. federal income tax of 21.0%.</w:t>
      </w:r>
    </w:p>
    <w:p>
      <w:pPr>
        <w:sectPr>
          <w:pgSz w:w="11900" w:h="16882" w:orient="portrait"/>
          <w:cols w:equalWidth="0" w:num="1">
            <w:col w:w="11420"/>
          </w:cols>
          <w:pgMar w:left="240" w:top="115" w:right="239"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color w:val="auto"/>
        </w:rPr>
        <w:t>ESOP Repurchase Right Termination</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In accordance with applicable provisions of the Code, the terms of the South Plains Financial, Inc. Employee Stock Ownership Plan, (the “ESOP”) provided that ESOP participants have the right, for a specified period of time, to require us to repurchase shares of our common stock that are distributed to them by the ESOP. The shares of common stock held by the ESOP are reflected in our consolidated balance sheets as a line item called “ESOP owned shares” appearing between total liabilities and shareholders’ equity. As a result, the ESOP-owned shares were deducted from shareholders’ equity in our consolidated balance sheets. This repurchase right terminated upon the listing of our common stock on the NASDAQ (the “ESOP Repurchase Right Termination”), whereupon our repurchase liability was extinguished and thereafter the ESOP-owned shares are not deducted from shareholders’ equity.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On July 25, 2019, the Company entered into a definitive agreement with West Texas State Bank (“WTSB”) providing for the Company’s acquisition of WTSB in an all-cash merger valued at $76.1 million. The merger was completed on November 12,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had net income of $8.3 million for the three months ended September 30, 2019, compared to net income of $4.9 million for the three months ended September 30, 2018. Return on average equity was 11.10% and return on average assets was 1.18% for the three months ended September 30, 2019, compared to 9.08% and 0.74%, respectively, for the three months ended September 30, 2018.</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total assets increased $82.8 million, or 3.1%, to $2.80 billion at September 30, 2019, compared to $2.71 billion at December 31, 2018. Our gross loans held for investment increased $5.4 million, or 0.3%, to $1.96 billion at September 30, 2019, compared to $1.96 billion at December 31, 2018. Our securities portfolio increased $63.1 million, or 18.7%, to $401.3 million at September 30, 2019, compared to $338.2 million at December 31, 2018. Total deposits increased $8.5 million, or 0.4%, to $2.29 billion at September 30, 2019, compared to $2.28 billion at December 31, 2018.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 Forma Income Tax Expense and Net Income</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 result of our prior status as an S Corporation, we had no U.S. federal income tax expense from January 1, 2018 through May 30, 2018. The pro forma impact of being taxed as a C Corporation is illustrated in the following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0" w:type="dxa"/>
            <w:vAlign w:val="bottom"/>
          </w:tcPr>
          <w:p>
            <w:pPr>
              <w:spacing w:after="0"/>
              <w:rPr>
                <w:sz w:val="1"/>
                <w:szCs w:val="1"/>
                <w:color w:val="auto"/>
              </w:rPr>
            </w:pPr>
          </w:p>
        </w:tc>
      </w:tr>
      <w:tr>
        <w:trPr>
          <w:trHeight w:val="238"/>
        </w:trPr>
        <w:tc>
          <w:tcPr>
            <w:tcW w:w="9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 Corporation</w:t>
            </w:r>
          </w:p>
        </w:tc>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Net income</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C Corporation</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Combined effective income tax rate</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Income tax provision </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net income in this period was derived from non-taxable investment income, offset by nondeductible expenses. This has the effect of lowering the statutory tax rate.</w:t>
      </w: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statutory federal income tax rate of 21%. As our state income taxes are insignificant, they are not reflected in these calculations.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recording of the $6.7 million deferred tax asset upon the revocation of our S Corporation election.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Net Income</w:t>
      </w:r>
    </w:p>
    <w:p>
      <w:pPr>
        <w:spacing w:after="0" w:line="2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Net income increased by $3.4 million to $8.3 million for the three months ended September 30, 2019, compared to $4.9 million for the three months ended September 30, 2018. This increase was primarily the result of an increase of $1.8 million in net interest income and a decrease of $3.0 million in the provision for loan losses, offset by an increase of $1.4 million in noninterest expense.</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Net income increased by $4.2 million to $19.1 million for the nine months ended September 30, 2019, compared to $14.9 million for the nine months ended September 30, 2018. The increase was primarily the result of an increase of $5.0 million in net interest income, a decrease of $3.8 million in the provision for loan losses and an increase of $2.2 million in noninterest income, offset by an increase of $5.1 million in noninterest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Net Interest Income</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Federal Home Loan Bank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ectPr>
          <w:pgSz w:w="11900" w:h="16838" w:orient="portrait"/>
          <w:cols w:equalWidth="0" w:num="1">
            <w:col w:w="11420"/>
          </w:cols>
          <w:pgMar w:left="240" w:top="115" w:right="239" w:bottom="276"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276" w:gutter="0" w:footer="0" w:header="0"/>
          <w:type w:val="continuous"/>
        </w:sectPr>
      </w:pPr>
    </w:p>
    <w:bookmarkStart w:id="31" w:name="page32"/>
    <w:bookmarkEnd w:id="3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220" w:type="dxa"/>
            <w:vAlign w:val="bottom"/>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Total loans</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1,993,507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29,695</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1,973,505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27,699</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1,683</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75,247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1,831</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5.16</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2,467,859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4.97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2,779,346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2,643,321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NOW, savings and money market 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1,399,727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4,057</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3,533</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1,570</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16,393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payable &amp; other longer-term borrowings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20,887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1,882,232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33,024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588,840</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546,456</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2,643,321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26,671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24,976</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3.72%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8"/>
              </w:rPr>
              <w:t>4.02%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 balances include nonaccrual loans and loans held for sale.</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the annualized net interest income, on a fully tax-equivalent basis, divided by average interest-earning assets.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Total loans</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1,965,297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86,471</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77,531</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5,819</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3,351</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5,348</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3,199</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98,485</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5.12</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2,426,498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87,269</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4.81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2,598,254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NOW, savings and money market 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1,439,699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13,287</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8,664</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4,368</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3,295</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Notes payable &amp; other longer-term borrowings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1,339</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1,861,303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30,549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556,263</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522,005</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214,946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2,598,254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76,258</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71,792</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3.70%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8"/>
              </w:rPr>
              <w:t>3.96%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 balances include nonaccrual loans and loans held for sale.</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the annualized net interest income, on a fully tax-equivalent basis, divided by average interest-earning assets.</w:t>
      </w:r>
    </w:p>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Increases and decreases in interest income and interest expense result from changes in average balances (volume) of interest-earning assets and interest-bearing liabilities, as well as changes in average interest rates. The following tables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10"/>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2019 over 2018</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2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2"/>
              </w:rPr>
              <w:t>(Dollars 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increase (decrease) in interest income</w:t>
            </w: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NOW, Savings, MMDAs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increase (decrease) interest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net interest income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10"/>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2019 over 2018</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2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2"/>
              </w:rPr>
              <w:t>(Dollars 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6,270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increase (decrease) in interest income</w:t>
            </w: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NOW, Savings, MMDAs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increase (decrease) interest expense: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net interest income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Net interest income for the three months ended September 30, 2019 was $26.6 million, compared to $24.8 million for the three months ended September 30, 2018, an increase of $1.8 million, or 7.2%. The increase in net interest income was comprised of a $2.9 million, or 9.5%, increase in interest income offset by a $1.2 million, or 19.4%, increase in interest expense. The growth in interest income was primarily attributable to a $20.0 million, or 1.0%, increase in average loans outstanding for the three-month period ended September 30, 2019, compared to the three-month period ended September 30, 2018, and by an increase of 34 basis points in the yield on total loans. The increase in average loans outstanding was primarily due to seasonal agricultural production loan net fundings.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$1.2 million increase in interest expense for the three months ended September 30, 2019 was primarily related to an increase of 24 basis points in the rate paid on interest-bearing liabilities and an increase of $11.5 million, or 0.7%, in average interest-bearing deposits over the same period in 2018. Additionally, average noninterest-bearing demand deposits increased to $555.5 million at September 30, 2019 from $513.4 million at September 30, 2018.</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September 30, 2019, net interest margin and net interest spread were 4.07% and 3.67%, respectively, compared to 4.02% and 3.72% for the same period in 2018, which reflects the increases in interest income discussed above relative to the increases in interest expense.</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Net interest income for the nine months ended September 30, 2019 was $76.0 million, compared to $70.9 million for the nine months ended September 30, 2018, an increase of $5.1 million, or 7.1%. The increase in net interest income was comprised of an $11.8 million, or 13.7%, increase in interest income offset by a $6.8 million, or 43.6%, increase in interest expense. The growth in interest income was primarily attributable to a $65.4 million, or 3.4%, increase in average loans outstanding for the nine-month period ended September 30, 2019, compared to the nine-month period ended September 30, 2018, and by an increase of 42 basis</w:t>
      </w:r>
    </w:p>
    <w:p>
      <w:pPr>
        <w:sectPr>
          <w:pgSz w:w="11900" w:h="16838" w:orient="portrait"/>
          <w:cols w:equalWidth="0" w:num="1">
            <w:col w:w="11420"/>
          </w:cols>
          <w:pgMar w:left="240" w:top="114" w:right="239" w:bottom="0" w:gutter="0" w:footer="0" w:header="0"/>
        </w:sectPr>
      </w:pPr>
    </w:p>
    <w:bookmarkStart w:id="34" w:name="page35"/>
    <w:bookmarkEnd w:id="34"/>
    <w:p>
      <w:pPr>
        <w:spacing w:after="0" w:line="259" w:lineRule="auto"/>
        <w:rPr>
          <w:sz w:val="20"/>
          <w:szCs w:val="20"/>
          <w:color w:val="auto"/>
        </w:rPr>
      </w:pPr>
      <w:r>
        <w:rPr>
          <w:rFonts w:ascii="Times New Roman" w:cs="Times New Roman" w:eastAsia="Times New Roman" w:hAnsi="Times New Roman"/>
          <w:sz w:val="22"/>
          <w:szCs w:val="22"/>
          <w:color w:val="auto"/>
        </w:rPr>
        <w:t>points in the yield on total loans. The increase in average loans outstanding was primarily due to organic growth in 1-4 family residential loans and in the auto loan sector of our portfolio, offset by a decrease in the commercial – general sector.</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$6.8 million increase in interest expense for the nine months ended September 30, 2019 was primarily related to an increase of 42 basis points in the rate paid on interest-bearing liabilities and an increase of $74.1 million, or 4.4%, in average interest-bearing deposits over the same period in 2018. The increase in average interest-bearing liabilities from September 30, 2018 to September 30, 2019 was due primarily to an increase in money market accounts of $107.8 million, offset by a decrease in NOW accounts of $35.0 million. Additionally, average noninterest-bearing demand deposits increased to $524.5 million at September 30, 2019 from $491.5 million at September 30, 2018.</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nine months ended September 30, 2019, net interest margin and net interest spread were 3.96% and 3.59%, respectively, compared to 3.96% and 3.70% for the same period in 2018, which reflects the increases in interest income discussed above relative to the increases in interest expense.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Provision for Loan Losses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provision for loan losses for the three months ended September 30, 2019 was $420,000, compared to $3.4 million for the three months ended September 30, 2018. The decrease in the provision for loan losses was primarily the result of a reduction in charge-offs of $3.7 million during three months ended September 30, 2019. The provision for loan losses for the nine months ended September 30, 2019 was $1.9 million, compared to $5.7 million for the nine months ended September 30, 2018. The decrease in the provision for loan losses was primarily the result of a reduction in net charge-offs of $5.3 million for the nine months ended September 30, 2019. The allowance for loan losses as a percentage of loans held for investment was 1.23% at September 30, 2019 and 1.18% at December 31, 2018. Further discussion of the allowance for loan losses is noted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Noninterest Income</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the major components of our noninterest income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ind w:left="9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gridSpan w:val="2"/>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banking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16,667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Fiduciary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income and fees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2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13,295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fees includes the increase in the cash surrender value of life insurance, safe deposit box rental, check printing, collections, wire transfer and other miscellaneous services.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Noninterest income for the three months ended September 30, 2019 was $14.1 million, compared to $13.3 million for the three months ended September 30, 2018, an increase of $820,000, or 6.2%. Income from mortgage banking activities increased $1.4 million, or 24.8%, to $7.0 million for the three months ended September 30, 2019 from $5.6 million for the three months ended September 30, 2018. The increase was due primarily to an increase of $53.2 million in mortgage loan originations for the three months ended September 30, 2019, compared to the three months ended September 30, 2018. Income from insurance activities decreased $348,000, or 23.8%, to $1.1 million for the three months ended September 30, 2019 from $1.5 million for the three months ended September 30, 2018. The decrease was attributable to $375,000 of profit-sharing bonus revenues recognized in the third quarter of 2018.</w:t>
      </w:r>
    </w:p>
    <w:p>
      <w:pPr>
        <w:sectPr>
          <w:pgSz w:w="11900" w:h="16838" w:orient="portrait"/>
          <w:cols w:equalWidth="0" w:num="1">
            <w:col w:w="11420"/>
          </w:cols>
          <w:pgMar w:left="240" w:top="115" w:right="239" w:bottom="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0" w:gutter="0" w:footer="0" w:header="0"/>
          <w:type w:val="continuous"/>
        </w:sectPr>
      </w:pPr>
    </w:p>
    <w:bookmarkStart w:id="36" w:name="page37"/>
    <w:bookmarkEnd w:id="3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Noninterest income for the nine months ended September 30, 2019 was $39.9 million, compared to $37.7 million for the nine months ended September 30, 2018, an increase of $2.2 million, or 5.7%. Income from mortgage banking activities increased $1.8 million, or 11.1%, to $18.5 million for the nine months ended September 30, 2019 from $16.7 million for the nine months ended September 30, 2018. This increase was primarily a result of an increase of $50.0 million in mortgage loan originations for the nine months ended September 30, 2019, compared to the nine months ended September 30,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Noninterest Expense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the major components of our noninterest expense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ind w:left="9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38"/>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gridSpan w:val="2"/>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18,135</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56,044</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Bankcard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expenses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3,384</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10,077</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89,994</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expenses include items such as telephone expenses, postage, courier fees, directors’ fees, and insurance.</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Noninterest expense for the three months ended September 30, 2019 was $30.0 million compared to $28.6 million for the three months ended September 30, 2018, an increase of $1.4 million, or 4.8%. Professional services expenses, which include legal fees, audit and accounting fees, and consulting fees, increased $378,000 for the three months ended September 30, 2019, compared to the same period in 2018. This increase was primarily due to $328,000 in professional services during the three months ended September 30, 2019 related to the Company’s acquisition of WTSB.</w:t>
      </w:r>
    </w:p>
    <w:p>
      <w:pPr>
        <w:spacing w:after="0" w:line="20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Noninterest expense for the nine months ended September 30, 2019 was $90.0 million, compared to $84.9 million for the nine months ended September 30, 2018, an increase of $5.1 million, or 5.9%. Salaries and employee benefits increased $2.6 million, or 4.8%, from $53.5 million for the nine months ended September 30, 2018 to $56.0 million for the nine months ended September 30, 2019. The primary reason for this increase is the expense related to the staff that was acquired in our mortgage origination company acquisition in November 2018. The cost related to these employees during the nine months ended September 30, 2019 was $1.6 million. Additionally, commissions paid to mortgage loan originators increased $621,000, excluding commissions paid to employees from the mortgage acquisition, for the nine months ended September 30, 2019 as a result of the increased mortgage loan originations. Professional services expenses increased $866,000 for the nine months ended September 30, 2019, compared to the same period in 2018. This increase was primarily due to increased legal expenses related to the Company’s preparation for its initial public offering and related activities as well as acquisition costs for WTSB.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Total assets increased $82.8 million, or 3.1%, to $2.80 billion at September 30, 2019, compared to $2.71 billion at December 31, 2018. Our gross loans held for investment increased $5.4 million, or 0.3%, to $1.96 billion at September 30, 2019, compared to $1.96 billion at December 31, 2018. Our securities portfolio increased $63.1 million, or 18.7%, to $401.3 million at September 30, 2019, compared to $338.2 million at December 31, 2018. Total deposits increased $8.5 million, or 0.4% to $2.29 billion at September 30, 2019, compared to $2.28 billion at December 31,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Loan Portfolio</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37" w:name="page38"/>
    <w:bookmarkEnd w:id="3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table presents the balance and associated percentage of each major category in our gross loan portfolio at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60" w:type="dxa"/>
            <w:vAlign w:val="bottom"/>
          </w:tcPr>
          <w:p>
            <w:pPr>
              <w:spacing w:after="0"/>
              <w:rPr>
                <w:sz w:val="21"/>
                <w:szCs w:val="21"/>
                <w:color w:val="auto"/>
              </w:rPr>
            </w:pPr>
          </w:p>
        </w:tc>
        <w:tc>
          <w:tcPr>
            <w:tcW w:w="24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23"/>
        </w:trPr>
        <w:tc>
          <w:tcPr>
            <w:tcW w:w="4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4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520,687</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538,037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316,862</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305,022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398,909</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427,728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359,160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346,153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212,529</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191,647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70,209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78,401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4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loans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1,962,609</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1,957,197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(24,176)</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(23,126)</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w:t>
            </w:r>
          </w:p>
        </w:tc>
        <w:tc>
          <w:tcPr>
            <w:tcW w:w="1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1,938,433</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1,934,071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Loans held for investment increased $5.4 million, or 0.3%, to $1.96 billion at September 30, 2019, compared to $1.96 billion at December 31, 2018. This increase in our loans was primarily due to organic loan growth, offset by the early payoff of five relationships totaling $59.7 million.</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Bank is primarily involved in real estate, commercial, agricultural and consumer lending activities with customers throughout Texas and Eastern New Mexico. We have a collateral concentration, as 63.7% of our loans held for investment were secured by real property as of September 30, 2019, compared to 64.9% as of December 31, 2018. We believe that these loans are not concentrated in any one single property type and that they are geographically diversified throughout the markets that we serve. Although the Bank has diversified loan portfolios, its debtors’ ability to honor their contracts is substantially dependent upon the general economic conditions of the industries in which the respective debtor operates, which consist primarily of agribusiness, wholesale/retail, oil and gas and related businesses, healthcare industries and institutions of higher education.</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Commercial Real Estate</w:t>
      </w:r>
      <w:r>
        <w:rPr>
          <w:rFonts w:ascii="Times New Roman" w:cs="Times New Roman" w:eastAsia="Times New Roman" w:hAnsi="Times New Roman"/>
          <w:sz w:val="22"/>
          <w:szCs w:val="22"/>
          <w:color w:val="auto"/>
        </w:rPr>
        <w:t>. Our commercial real estate portfolio includes loans for commercial property that is owned by real estate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Commercial real estate loans decreased $17.3 million, or 3.2%, to $520.7 million as of September 30, 2019 from $538.0 million as of December 31, 2018. The decrease in commercial real estate loans during this period was mostly driven by the early payoff of two loans totaling $24.8 million, offset by organic loan growth.</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i w:val="1"/>
          <w:iCs w:val="1"/>
          <w:color w:val="auto"/>
        </w:rPr>
        <w:t>Commercial – General and Specialized</w:t>
      </w:r>
      <w:r>
        <w:rPr>
          <w:rFonts w:ascii="Times New Roman" w:cs="Times New Roman" w:eastAsia="Times New Roman" w:hAnsi="Times New Roman"/>
          <w:sz w:val="21"/>
          <w:szCs w:val="21"/>
          <w:color w:val="auto"/>
        </w:rPr>
        <w:t>. Commercial loans are underwritten after evaluating and understanding the borrower’s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and retail, construction, and other industries.</w:t>
      </w:r>
    </w:p>
    <w:p>
      <w:pPr>
        <w:sectPr>
          <w:pgSz w:w="11900" w:h="16838" w:orient="portrait"/>
          <w:cols w:equalWidth="0" w:num="1">
            <w:col w:w="11420"/>
          </w:cols>
          <w:pgMar w:left="240" w:top="116" w:right="239" w:bottom="627"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627" w:gutter="0" w:footer="0" w:header="0"/>
          <w:type w:val="continuous"/>
        </w:sectPr>
      </w:pPr>
    </w:p>
    <w:bookmarkStart w:id="38" w:name="page39"/>
    <w:bookmarkEnd w:id="3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Commercial specialized loans increased $11.9 million, or 3.9%, to $316.9 million as of September 30, 2019 from $305.0 million as of December 31, 2018. This increase was primarily due to a net increase of $16.1 million from seasonal annual fundings on agricultural production loans, as well as one large revolving line of credit having $5.7 million less outstanding at September 30, 2019.</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Commercial general loans decreased $28.8 million, or 6.7%, to $398.9 million as of September 30, 2019 from $427.7 million as of December 31, 2018. The decrease in commercial general loans was primarily due to the early payoff of three relationships totaling $34.9 million during 2019, offset by organic loan growth.</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Consumer</w:t>
      </w:r>
      <w:r>
        <w:rPr>
          <w:rFonts w:ascii="Times New Roman" w:cs="Times New Roman" w:eastAsia="Times New Roman" w:hAnsi="Times New Roman"/>
          <w:sz w:val="22"/>
          <w:szCs w:val="22"/>
          <w:color w:val="auto"/>
        </w:rPr>
        <w:t>. We utilize a computer-based credit scoring analysis to supplement our policies and procedures in underwriting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Consumer and other loans increased $34.0 million, or 5.6%, to $642.0 million as of September 30, 2019, from $608.0 million as of December 31, 2018. The increases in these loans were primarily a result of expanded lending in the auto loan portfolio in the Lubbock/South Plains market as well as an increase in 1-4 family residential loans. As of September 30, 2019, our consumer loan portfolio was comprised of $359.2 million in 1-4 family residential loans, $212.5 million in indirect auto loans, and $70.3 million in other consumer loans.</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Construction</w:t>
      </w:r>
      <w:r>
        <w:rPr>
          <w:rFonts w:ascii="Times New Roman" w:cs="Times New Roman" w:eastAsia="Times New Roman" w:hAnsi="Times New Roman"/>
          <w:sz w:val="22"/>
          <w:szCs w:val="22"/>
          <w:color w:val="auto"/>
        </w:rPr>
        <w:t>. Loans for residential construction are for single-family properties to developers, builders, or end-users. These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0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Construction loans increased $5.7 million, or 7.3%, to $84.1 million as of September 30, 2019 from $78.4 million as of December 31, 2018. The increase resulted from continued organic growth, especially in our Lubbock/South Plains and Dallas/Ft. Worth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Allowance for Loan Losses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auditors.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20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allowance for loan losses was $24.2 million at September 30, 2019, compared to $23.1 million at December 31, 2018, an increase of $1.1 million, or 4.5%.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an analysis of the allowance for loan losses at the dates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(Dollars in thousands)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96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8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24,171</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5"/>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Charge-offs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960" w:type="dxa"/>
            <w:vAlign w:val="bottom"/>
            <w:gridSpan w:val="5"/>
            <w:vMerge w:val="continue"/>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Consumer: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Charge-offs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960" w:type="dxa"/>
            <w:vAlign w:val="bottom"/>
            <w:gridSpan w:val="5"/>
            <w:vMerge w:val="continue"/>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Consumer: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23,126</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Charge-offs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960" w:type="dxa"/>
            <w:vAlign w:val="bottom"/>
            <w:gridSpan w:val="5"/>
            <w:vMerge w:val="continue"/>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2,374</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Consumer: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Net charge-offs totaled $415,000 and were 0.08% (annualized) of average loans outstanding for the three months ended September 30, 2019, compared to $4.1 million and 0.82% for the three months ended September 30, 2018. Net charge-offs totaled $853,000 and were 0.06% (annualized) of average loans outstanding for the nine months ended September 30, 2019, compared to $6.1 million and 0.43% for the nine months ended September 30, 2018. The decrease in net charge-offs for the quarter-to-date comparison was primarily the result of a $3.6 million charge-off on a commercial - general relationship during the third quarter of 2018. The decrease in net charge-offs for the year-to-date comparison was primarily the result of a $1.4 million charge-off on a commercial real estate relationship during the second quarter of 2018 as well as the third quarter 2018 charge-off noted above. The allowance for loan losses as a percentage of loans held for investment was 1.23% at September 30, 2019 and 1.18% at December 31,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1" w:name="page42"/>
    <w:bookmarkEnd w:id="4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While the entire allowance for loan losses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60" w:type="dxa"/>
            <w:vAlign w:val="bottom"/>
          </w:tcPr>
          <w:p>
            <w:pPr>
              <w:spacing w:after="0"/>
              <w:rPr>
                <w:sz w:val="21"/>
                <w:szCs w:val="21"/>
                <w:color w:val="auto"/>
              </w:rPr>
            </w:pPr>
          </w:p>
        </w:tc>
        <w:tc>
          <w:tcPr>
            <w:tcW w:w="24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5,579</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23,126</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Asset Quality</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allocation of our nonperforming assets among our different asset categories as of the dates indicated. Nonperforming loans include nonaccrual loans and loans past due 90 days or more.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0" w:type="dxa"/>
            <w:vAlign w:val="bottom"/>
          </w:tcPr>
          <w:p>
            <w:pPr>
              <w:spacing w:after="0"/>
              <w:rPr>
                <w:sz w:val="1"/>
                <w:szCs w:val="1"/>
                <w:color w:val="auto"/>
              </w:rPr>
            </w:pPr>
          </w:p>
        </w:tc>
      </w:tr>
      <w:tr>
        <w:trPr>
          <w:trHeight w:val="194"/>
        </w:trPr>
        <w:tc>
          <w:tcPr>
            <w:tcW w:w="6180" w:type="dxa"/>
            <w:vAlign w:val="bottom"/>
            <w:gridSpan w:val="2"/>
            <w:vMerge w:val="continue"/>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28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 specialized</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 general</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nonaccrual loans</w:t>
            </w:r>
          </w:p>
        </w:tc>
        <w:tc>
          <w:tcPr>
            <w:tcW w:w="2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Past due loans 90 days or more and still accruing</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real estate owned</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8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Restructured loans - nonaccrual</w:t>
            </w:r>
            <w:r>
              <w:rPr>
                <w:rFonts w:ascii="Times New Roman" w:cs="Times New Roman" w:eastAsia="Times New Roman" w:hAnsi="Times New Roman"/>
                <w:sz w:val="25"/>
                <w:szCs w:val="25"/>
                <w:color w:val="auto"/>
                <w:vertAlign w:val="superscript"/>
              </w:rPr>
              <w:t>(1)</w:t>
            </w:r>
          </w:p>
        </w:tc>
        <w:tc>
          <w:tcPr>
            <w:tcW w:w="28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Restructured loans - accruing</w:t>
            </w:r>
          </w:p>
        </w:tc>
        <w:tc>
          <w:tcPr>
            <w:tcW w:w="28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20"/>
                <w:szCs w:val="20"/>
                <w:color w:val="auto"/>
              </w:rPr>
            </w:pPr>
          </w:p>
        </w:tc>
        <w:tc>
          <w:tcPr>
            <w:tcW w:w="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Restructured loans, nonaccrual, are included in nonaccrual loans which are a component of nonperforming loans.</w:t>
      </w:r>
    </w:p>
    <w:p>
      <w:pPr>
        <w:sectPr>
          <w:pgSz w:w="11900" w:h="16838" w:orient="portrait"/>
          <w:cols w:equalWidth="0" w:num="1">
            <w:col w:w="11420"/>
          </w:cols>
          <w:pgMar w:left="240" w:top="116" w:right="239" w:bottom="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43" w:name="page44"/>
    <w:bookmarkEnd w:id="4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cases where a borrower experiences financial difficulties and we make certain concessionary modifications to contractual terms, the loan is classified as a troubled debt restructuring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We had no loans restructured as TDRs during the first nine months of 2019 or 2018. TDRs are excluded from our nonperforming loans unless they otherwise meet the definition of nonaccrual loans or past due 90 days or more.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Securities Portfolio</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fair value of the securities portfolio as of the dates presented. As of these dates, there were no securities classified as held-to-maturity.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7"/>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6"/>
                <w:szCs w:val="16"/>
                <w:color w:val="auto"/>
              </w:rPr>
            </w:pPr>
          </w:p>
        </w:tc>
        <w:tc>
          <w:tcPr>
            <w:tcW w:w="9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12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9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Gain/(Loss)</w:t>
            </w:r>
          </w:p>
        </w:tc>
        <w:tc>
          <w:tcPr>
            <w:tcW w:w="180" w:type="dxa"/>
            <w:vAlign w:val="bottom"/>
          </w:tcPr>
          <w:p>
            <w:pPr>
              <w:spacing w:after="0"/>
              <w:rPr>
                <w:sz w:val="21"/>
                <w:szCs w:val="21"/>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Gain/(Loss)</w:t>
            </w:r>
          </w:p>
        </w:tc>
        <w:tc>
          <w:tcPr>
            <w:tcW w:w="0" w:type="dxa"/>
            <w:vAlign w:val="bottom"/>
          </w:tcPr>
          <w:p>
            <w:pPr>
              <w:spacing w:after="0"/>
              <w:rPr>
                <w:sz w:val="1"/>
                <w:szCs w:val="1"/>
                <w:color w:val="auto"/>
              </w:rPr>
            </w:pPr>
          </w:p>
        </w:tc>
      </w:tr>
      <w:tr>
        <w:trPr>
          <w:trHeight w:val="238"/>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6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(Dollars in</w:t>
            </w:r>
          </w:p>
        </w:tc>
        <w:tc>
          <w:tcPr>
            <w:tcW w:w="220" w:type="dxa"/>
            <w:vAlign w:val="bottom"/>
          </w:tcPr>
          <w:p>
            <w:pPr>
              <w:spacing w:after="0"/>
              <w:rPr>
                <w:sz w:val="20"/>
                <w:szCs w:val="20"/>
                <w:color w:val="auto"/>
              </w:rPr>
            </w:pPr>
          </w:p>
        </w:tc>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84,765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84,707</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32,205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184,267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39,799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6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396,742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341,036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338,196</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w w:val="85"/>
              </w:rPr>
              <w:t>37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Certain securities have fair values less than amortized cost and, therefore, contain unrealized losses. At September 30, 2019,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of September 30, 2019</w:t>
            </w:r>
          </w:p>
        </w:tc>
        <w:tc>
          <w:tcPr>
            <w:tcW w:w="7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jc w:val="center"/>
              <w:ind w:right="5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Due in One</w:t>
            </w:r>
          </w:p>
        </w:tc>
        <w:tc>
          <w:tcPr>
            <w:tcW w:w="120" w:type="dxa"/>
            <w:vAlign w:val="bottom"/>
          </w:tcPr>
          <w:p>
            <w:pPr>
              <w:spacing w:after="0"/>
              <w:rPr>
                <w:sz w:val="16"/>
                <w:szCs w:val="16"/>
                <w:color w:val="auto"/>
              </w:rPr>
            </w:pPr>
          </w:p>
        </w:tc>
        <w:tc>
          <w:tcPr>
            <w:tcW w:w="1960" w:type="dxa"/>
            <w:vAlign w:val="bottom"/>
            <w:gridSpan w:val="4"/>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20" w:type="dxa"/>
            <w:vAlign w:val="bottom"/>
          </w:tcPr>
          <w:p>
            <w:pPr>
              <w:spacing w:after="0"/>
              <w:rPr>
                <w:sz w:val="16"/>
                <w:szCs w:val="16"/>
                <w:color w:val="auto"/>
              </w:rPr>
            </w:pPr>
          </w:p>
        </w:tc>
        <w:tc>
          <w:tcPr>
            <w:tcW w:w="1960" w:type="dxa"/>
            <w:vAlign w:val="bottom"/>
            <w:gridSpan w:val="4"/>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Due after Five Year</w:t>
            </w:r>
          </w:p>
        </w:tc>
        <w:tc>
          <w:tcPr>
            <w:tcW w:w="160" w:type="dxa"/>
            <w:vAlign w:val="bottom"/>
          </w:tcPr>
          <w:p>
            <w:pPr>
              <w:spacing w:after="0"/>
              <w:rPr>
                <w:sz w:val="16"/>
                <w:szCs w:val="16"/>
                <w:color w:val="auto"/>
              </w:rPr>
            </w:pPr>
          </w:p>
        </w:tc>
        <w:tc>
          <w:tcPr>
            <w:tcW w:w="1660" w:type="dxa"/>
            <w:vAlign w:val="bottom"/>
            <w:gridSpan w:val="3"/>
          </w:tcPr>
          <w:p>
            <w:pPr>
              <w:ind w:left="40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Year or Less</w:t>
            </w:r>
          </w:p>
        </w:tc>
        <w:tc>
          <w:tcPr>
            <w:tcW w:w="120" w:type="dxa"/>
            <w:vAlign w:val="bottom"/>
          </w:tcPr>
          <w:p>
            <w:pPr>
              <w:spacing w:after="0"/>
              <w:rPr>
                <w:sz w:val="21"/>
                <w:szCs w:val="21"/>
                <w:color w:val="auto"/>
              </w:rPr>
            </w:pPr>
          </w:p>
        </w:tc>
        <w:tc>
          <w:tcPr>
            <w:tcW w:w="19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20" w:type="dxa"/>
            <w:vAlign w:val="bottom"/>
          </w:tcPr>
          <w:p>
            <w:pPr>
              <w:spacing w:after="0"/>
              <w:rPr>
                <w:sz w:val="21"/>
                <w:szCs w:val="21"/>
                <w:color w:val="auto"/>
              </w:rPr>
            </w:pPr>
          </w:p>
        </w:tc>
        <w:tc>
          <w:tcPr>
            <w:tcW w:w="196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Through Ten Years</w:t>
            </w:r>
          </w:p>
        </w:tc>
        <w:tc>
          <w:tcPr>
            <w:tcW w:w="160" w:type="dxa"/>
            <w:vAlign w:val="bottom"/>
          </w:tcPr>
          <w:p>
            <w:pPr>
              <w:spacing w:after="0"/>
              <w:rPr>
                <w:sz w:val="21"/>
                <w:szCs w:val="21"/>
                <w:color w:val="auto"/>
              </w:rPr>
            </w:pPr>
          </w:p>
        </w:tc>
        <w:tc>
          <w:tcPr>
            <w:tcW w:w="18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3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Amortized</w:t>
            </w:r>
          </w:p>
        </w:tc>
        <w:tc>
          <w:tcPr>
            <w:tcW w:w="2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26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29,816</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60" w:type="dxa"/>
            <w:vAlign w:val="bottom"/>
            <w:tcBorders>
              <w:lef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25,139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225,689</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60,244</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36,972</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2.82</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35,573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352,721</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2.71%</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jc w:val="center"/>
              <w:ind w:right="5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Due in One</w:t>
            </w:r>
          </w:p>
        </w:tc>
        <w:tc>
          <w:tcPr>
            <w:tcW w:w="120" w:type="dxa"/>
            <w:vAlign w:val="bottom"/>
          </w:tcPr>
          <w:p>
            <w:pPr>
              <w:spacing w:after="0"/>
              <w:rPr>
                <w:sz w:val="16"/>
                <w:szCs w:val="16"/>
                <w:color w:val="auto"/>
              </w:rPr>
            </w:pPr>
          </w:p>
        </w:tc>
        <w:tc>
          <w:tcPr>
            <w:tcW w:w="1960" w:type="dxa"/>
            <w:vAlign w:val="bottom"/>
            <w:gridSpan w:val="4"/>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20" w:type="dxa"/>
            <w:vAlign w:val="bottom"/>
          </w:tcPr>
          <w:p>
            <w:pPr>
              <w:spacing w:after="0"/>
              <w:rPr>
                <w:sz w:val="16"/>
                <w:szCs w:val="16"/>
                <w:color w:val="auto"/>
              </w:rPr>
            </w:pPr>
          </w:p>
        </w:tc>
        <w:tc>
          <w:tcPr>
            <w:tcW w:w="1960" w:type="dxa"/>
            <w:vAlign w:val="bottom"/>
            <w:gridSpan w:val="4"/>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160" w:type="dxa"/>
            <w:vAlign w:val="bottom"/>
          </w:tcPr>
          <w:p>
            <w:pPr>
              <w:spacing w:after="0"/>
              <w:rPr>
                <w:sz w:val="16"/>
                <w:szCs w:val="16"/>
                <w:color w:val="auto"/>
              </w:rPr>
            </w:pPr>
          </w:p>
        </w:tc>
        <w:tc>
          <w:tcPr>
            <w:tcW w:w="1660" w:type="dxa"/>
            <w:vAlign w:val="bottom"/>
            <w:gridSpan w:val="3"/>
          </w:tcPr>
          <w:p>
            <w:pPr>
              <w:ind w:left="40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Year or Less</w:t>
            </w:r>
          </w:p>
        </w:tc>
        <w:tc>
          <w:tcPr>
            <w:tcW w:w="120" w:type="dxa"/>
            <w:vAlign w:val="bottom"/>
          </w:tcPr>
          <w:p>
            <w:pPr>
              <w:spacing w:after="0"/>
              <w:rPr>
                <w:sz w:val="21"/>
                <w:szCs w:val="21"/>
                <w:color w:val="auto"/>
              </w:rPr>
            </w:pPr>
          </w:p>
        </w:tc>
        <w:tc>
          <w:tcPr>
            <w:tcW w:w="19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20" w:type="dxa"/>
            <w:vAlign w:val="bottom"/>
          </w:tcPr>
          <w:p>
            <w:pPr>
              <w:spacing w:after="0"/>
              <w:rPr>
                <w:sz w:val="21"/>
                <w:szCs w:val="21"/>
                <w:color w:val="auto"/>
              </w:rPr>
            </w:pPr>
          </w:p>
        </w:tc>
        <w:tc>
          <w:tcPr>
            <w:tcW w:w="196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Through Ten Years</w:t>
            </w:r>
          </w:p>
        </w:tc>
        <w:tc>
          <w:tcPr>
            <w:tcW w:w="160" w:type="dxa"/>
            <w:vAlign w:val="bottom"/>
          </w:tcPr>
          <w:p>
            <w:pPr>
              <w:spacing w:after="0"/>
              <w:rPr>
                <w:sz w:val="21"/>
                <w:szCs w:val="21"/>
                <w:color w:val="auto"/>
              </w:rPr>
            </w:pPr>
          </w:p>
        </w:tc>
        <w:tc>
          <w:tcPr>
            <w:tcW w:w="18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3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Amortized</w:t>
            </w:r>
          </w:p>
        </w:tc>
        <w:tc>
          <w:tcPr>
            <w:tcW w:w="2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26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22,740</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3.01%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6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32,037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152,133</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2.96%</w:t>
            </w:r>
          </w:p>
        </w:tc>
        <w:tc>
          <w:tcPr>
            <w:tcW w:w="0" w:type="dxa"/>
            <w:vAlign w:val="bottom"/>
          </w:tcPr>
          <w:p>
            <w:pPr>
              <w:spacing w:after="0"/>
              <w:rPr>
                <w:sz w:val="1"/>
                <w:szCs w:val="1"/>
                <w:color w:val="auto"/>
              </w:rPr>
            </w:pPr>
          </w:p>
        </w:tc>
      </w:tr>
      <w:tr>
        <w:trPr>
          <w:trHeight w:val="198"/>
        </w:trPr>
        <w:tc>
          <w:tcPr>
            <w:tcW w:w="3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39,799</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2.82%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77,918</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2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41,032</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214,672</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2.94%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securities portfolio increased $63.1 million, or 18.7%, to $401.3 million at September 30, 2019, compared to $338.2 million at December 31, 2018. The increase was due to investing excess liquidity from the Company’s interest-bearing deposit account with the Federal Reserve Bank of Dallas (the “Federal Reserve”) during the third quarter of 2019.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Deposits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20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Total deposits at September 30, 2019 were $2.29 billion, representing an increase of $8.5 million, or 0.4%, compared to $2.28 billion at December 31, 2018. As of September 30, 2019, 24.4% of total deposits were comprised of noninterest-bearing demand accounts, 61.8% of interest-bearing non-maturity accounts and 13.8% of time deposits.</w:t>
      </w:r>
    </w:p>
    <w:p>
      <w:pPr>
        <w:sectPr>
          <w:pgSz w:w="11900" w:h="16838" w:orient="portrait"/>
          <w:cols w:equalWidth="0" w:num="1">
            <w:col w:w="11420"/>
          </w:cols>
          <w:pgMar w:left="240" w:top="115"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45" w:name="page46"/>
    <w:bookmarkEnd w:id="4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shows the deposit mix as of the dates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60" w:type="dxa"/>
            <w:vAlign w:val="bottom"/>
          </w:tcPr>
          <w:p>
            <w:pPr>
              <w:spacing w:after="0"/>
              <w:rPr>
                <w:sz w:val="21"/>
                <w:szCs w:val="21"/>
                <w:color w:val="auto"/>
              </w:rPr>
            </w:pPr>
          </w:p>
        </w:tc>
        <w:tc>
          <w:tcPr>
            <w:tcW w:w="24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23"/>
        </w:trPr>
        <w:tc>
          <w:tcPr>
            <w:tcW w:w="5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556,233</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510,067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and other transaction accounts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259,230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277,041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and other savings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1,154,859</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1,178,809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315,652</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311,537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2,285,974</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2,277,454</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set forth the remaining maturity of time deposits of $100,000 and greater as of the date indicated:</w:t>
      </w:r>
    </w:p>
    <w:p>
      <w:pPr>
        <w:sectPr>
          <w:pgSz w:w="11900" w:h="16838" w:orient="portrait"/>
          <w:cols w:equalWidth="0" w:num="1">
            <w:col w:w="11420"/>
          </w:cols>
          <w:pgMar w:left="240" w:top="116" w:right="239" w:bottom="0" w:gutter="0" w:footer="0" w:header="0"/>
        </w:sect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3804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$100,000 or greater with remaining maturity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After three months through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six months through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After twelve months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4" w:lineRule="exact"/>
        <w:rPr>
          <w:sz w:val="20"/>
          <w:szCs w:val="20"/>
          <w:color w:val="auto"/>
        </w:rPr>
      </w:pPr>
    </w:p>
    <w:p>
      <w:pPr>
        <w:ind w:left="643" w:hanging="643"/>
        <w:spacing w:after="0"/>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23,165</w:t>
      </w:r>
    </w:p>
    <w:p>
      <w:pPr>
        <w:spacing w:after="0" w:line="27" w:lineRule="exact"/>
        <w:rPr>
          <w:rFonts w:ascii="Times New Roman" w:cs="Times New Roman" w:eastAsia="Times New Roman" w:hAnsi="Times New Roman"/>
          <w:sz w:val="18"/>
          <w:szCs w:val="18"/>
          <w:color w:val="auto"/>
        </w:rPr>
      </w:pPr>
    </w:p>
    <w:p>
      <w:pPr>
        <w:ind w:left="6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39,853</w:t>
      </w:r>
    </w:p>
    <w:p>
      <w:pPr>
        <w:spacing w:after="0" w:line="9" w:lineRule="exact"/>
        <w:rPr>
          <w:rFonts w:ascii="Times New Roman" w:cs="Times New Roman" w:eastAsia="Times New Roman" w:hAnsi="Times New Roman"/>
          <w:sz w:val="18"/>
          <w:szCs w:val="18"/>
          <w:color w:val="auto"/>
        </w:rPr>
      </w:pPr>
    </w:p>
    <w:p>
      <w:pPr>
        <w:ind w:left="6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51,169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123,144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ind w:left="543" w:hanging="543"/>
        <w:spacing w:after="0"/>
        <w:tabs>
          <w:tab w:leader="none" w:pos="5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237,331</w:t>
      </w:r>
    </w:p>
    <w:p>
      <w:pPr>
        <w:spacing w:after="0" w:line="200" w:lineRule="exact"/>
        <w:rPr>
          <w:sz w:val="20"/>
          <w:szCs w:val="20"/>
          <w:color w:val="auto"/>
        </w:rPr>
      </w:pPr>
    </w:p>
    <w:p>
      <w:pPr>
        <w:sectPr>
          <w:pgSz w:w="11900" w:h="16838" w:orient="portrait"/>
          <w:cols w:equalWidth="0" w:num="2">
            <w:col w:w="9457" w:space="720"/>
            <w:col w:w="1243"/>
          </w:cols>
          <w:pgMar w:left="240" w:top="116" w:right="239" w:bottom="0" w:gutter="0" w:footer="0" w:header="0"/>
          <w:type w:val="continuous"/>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Borrowed Funds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deposits, we utilize advances from the FHLB and other borrowings as a supplementary funding source to finance our operations.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FHLB Advances</w:t>
      </w:r>
      <w:r>
        <w:rPr>
          <w:rFonts w:ascii="Times New Roman" w:cs="Times New Roman" w:eastAsia="Times New Roman" w:hAnsi="Times New Roman"/>
          <w:sz w:val="22"/>
          <w:szCs w:val="22"/>
          <w:color w:val="auto"/>
        </w:rPr>
        <w:t>. The FHLB allows us to borrow, both short and long-term, on a blanket floating lien status collateralized by first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mortgage loans and commercial real estate loans as well as FHLB stock. At September 30, 2019 and December 31, 2018, we had maximum borrowing capacity from the FHLB of $737.4 million and $724.8 million, respectively. We had $199.0 million in off-balance sheet liabilities for letters of credit at September 30, 2019 and December 31, 2018. These letters of credit are used to pledge as collateral for public funds deposits. We had no overnight FHLB borrowings as of September 30, 2019 and December 31, 2018. We had long-term FHLB borrowings of $95.0 million as of September 30, 2019 and December 31, 2018. As of September 30, 2019 and December 31, 2018, total remaining borrowing capacity of $432.6 million and $425.4 million, respectively, was available under this arrangement. Our current FHLB borrowings mature within seven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our FHLB borrowings as of and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As of/For the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As of/For the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46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8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Pr>
          <w:p>
            <w:pPr>
              <w:spacing w:after="0"/>
              <w:rPr>
                <w:sz w:val="19"/>
                <w:szCs w:val="19"/>
                <w:color w:val="auto"/>
              </w:rPr>
            </w:pPr>
          </w:p>
        </w:tc>
      </w:tr>
      <w:tr>
        <w:trPr>
          <w:trHeight w:val="216"/>
        </w:trPr>
        <w:tc>
          <w:tcPr>
            <w:tcW w:w="5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outstanding at end of the period</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95,000</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95,000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95,000</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95,000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at end of the period</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month-end balance during the period</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95,000</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95,000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95,000</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95,000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Average balance outstanding during the period</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95,000</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95,000</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95,000</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95,000</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interest rate during the period</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bl>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Federal Reserve Bank of Dallas</w:t>
      </w:r>
      <w:r>
        <w:rPr>
          <w:rFonts w:ascii="Times New Roman" w:cs="Times New Roman" w:eastAsia="Times New Roman" w:hAnsi="Times New Roman"/>
          <w:sz w:val="22"/>
          <w:szCs w:val="22"/>
          <w:color w:val="auto"/>
        </w:rPr>
        <w:t>. The Bank has a line of credit with the Federal Reserve. The amount of the line is determined on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monthly basis by the Federal Reserve. The line is collateralized by a blanket floating lien on all agriculture, commercial and consumer loans. The amount of the line was $556.1 million and $531.9 million at September 30, 2019 and December 31, 2018, respectively. The line was not used during the three or nine month periods ended September 30, 2019 or the three or nine month periods ended September 30, 2018.</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i w:val="1"/>
          <w:iCs w:val="1"/>
          <w:color w:val="auto"/>
        </w:rPr>
        <w:t>Lines of Credit</w:t>
      </w:r>
      <w:r>
        <w:rPr>
          <w:rFonts w:ascii="Times New Roman" w:cs="Times New Roman" w:eastAsia="Times New Roman" w:hAnsi="Times New Roman"/>
          <w:sz w:val="21"/>
          <w:szCs w:val="21"/>
          <w:color w:val="auto"/>
        </w:rPr>
        <w:t>. The Bank has uncollateralized lines of credit with multiple banks as a source of funding for liquidity management.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total amount of the lines was $135.0 million as of September 30, 2019 and December 31, 2018. The lines were not used during the three or nine month periods ended September 30, 2019 or the three or nine month periods ending September 30, 2018.</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Subordinated Debt Securities</w:t>
      </w:r>
      <w:r>
        <w:rPr>
          <w:rFonts w:ascii="Times New Roman" w:cs="Times New Roman" w:eastAsia="Times New Roman" w:hAnsi="Times New Roman"/>
          <w:sz w:val="22"/>
          <w:szCs w:val="22"/>
          <w:color w:val="auto"/>
        </w:rPr>
        <w:t>. In January 2014, the Company issued $20.9 million in subordinated debt securities. These 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pay interest quarterly and mature January 2024. There was $14.4 million issued at an initial rate of 5.0% and $6.5 million issued at an initial rate of 4.0% at September 30, 2019. These rates are fixed for five years from issuance and then float at the </w:t>
      </w:r>
      <w:r>
        <w:rPr>
          <w:rFonts w:ascii="Times New Roman" w:cs="Times New Roman" w:eastAsia="Times New Roman" w:hAnsi="Times New Roman"/>
          <w:sz w:val="22"/>
          <w:szCs w:val="22"/>
          <w:i w:val="1"/>
          <w:iCs w:val="1"/>
          <w:color w:val="auto"/>
        </w:rPr>
        <w:t>Wall Street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Journal </w:t>
      </w:r>
      <w:r>
        <w:rPr>
          <w:rFonts w:ascii="Times New Roman" w:cs="Times New Roman" w:eastAsia="Times New Roman" w:hAnsi="Times New Roman"/>
          <w:sz w:val="22"/>
          <w:szCs w:val="22"/>
          <w:color w:val="auto"/>
        </w:rPr>
        <w:t>prime rate, with a floor of 4.0% and a ceiling of 7.5%. The securities are unsecured and could be called by the Company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after January 2019, and they qualify for tier 2 capital treatment, subject to regulatory limitations. In December 2018, we notified all holders of our subordinated debt securities that we intended to call these securities in January 2019 and provided holders the option to exchange their current subordinated debt securities for newly-issued subordinated debt securities or to have their securities be redeemed. Holders of $13.4 million in subordinated debt securities elected to exchange their securities while holders of $7.5 million in subordinated debt securities elected to have their securities redeemed.</w:t>
      </w:r>
    </w:p>
    <w:p>
      <w:pPr>
        <w:sectPr>
          <w:pgSz w:w="11900" w:h="16838" w:orient="portrait"/>
          <w:cols w:equalWidth="0" w:num="1">
            <w:col w:w="11420"/>
          </w:cols>
          <w:pgMar w:left="240" w:top="116" w:right="239" w:bottom="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47" w:name="page48"/>
    <w:bookmarkEnd w:id="4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In December 2018, the Company issued $26.5 million in subordinated debt securities, including $13.4 million issued in exchange for our previously issued notes as described above. Securities totaling $12.4 million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t>
      </w:r>
      <w:r>
        <w:rPr>
          <w:rFonts w:ascii="Times New Roman" w:cs="Times New Roman" w:eastAsia="Times New Roman" w:hAnsi="Times New Roman"/>
          <w:sz w:val="22"/>
          <w:szCs w:val="22"/>
          <w:i w:val="1"/>
          <w:iCs w:val="1"/>
          <w:color w:val="auto"/>
        </w:rPr>
        <w:t>Wall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Street Journal </w:t>
      </w:r>
      <w:r>
        <w:rPr>
          <w:rFonts w:ascii="Times New Roman" w:cs="Times New Roman" w:eastAsia="Times New Roman" w:hAnsi="Times New Roman"/>
          <w:sz w:val="22"/>
          <w:szCs w:val="22"/>
          <w:color w:val="auto"/>
        </w:rPr>
        <w:t>prime rate, with a floor of 4.5% and a ceiling of 7.5%. These securities pay interest quarterly, are unsecured,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be called by the Company at any time after the remaining maturity is five years or less. Additionally, these securities qualify for tier 2 capital treatment, subject to regulatory limitations. The balance of subordinated debt securities as of September 30, 2019 was $26.5 million, compared to $34.0 million as of December 31, 2018.</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Junior Subordinated Deferrable Interest Debentures and Trust Preferred Securities</w:t>
      </w:r>
      <w:r>
        <w:rPr>
          <w:rFonts w:ascii="Times New Roman" w:cs="Times New Roman" w:eastAsia="Times New Roman" w:hAnsi="Times New Roman"/>
          <w:sz w:val="22"/>
          <w:szCs w:val="22"/>
          <w:color w:val="auto"/>
        </w:rPr>
        <w:t>. Between March 2004 and June 2007,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September 30, 2019 and December 31, 2018.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chart below indicates certain information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 of</w:t>
            </w:r>
          </w:p>
        </w:tc>
        <w:tc>
          <w:tcPr>
            <w:tcW w:w="100" w:type="dxa"/>
            <w:vAlign w:val="bottom"/>
          </w:tcPr>
          <w:p>
            <w:pPr>
              <w:spacing w:after="0"/>
              <w:rPr>
                <w:sz w:val="18"/>
                <w:szCs w:val="18"/>
                <w:color w:val="auto"/>
              </w:rPr>
            </w:pPr>
          </w:p>
        </w:tc>
        <w:tc>
          <w:tcPr>
            <w:tcW w:w="1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Interest Rate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c>
          <w:tcPr>
            <w:tcW w:w="100" w:type="dxa"/>
            <w:vAlign w:val="bottom"/>
          </w:tcPr>
          <w:p>
            <w:pPr>
              <w:spacing w:after="0"/>
              <w:rPr>
                <w:sz w:val="18"/>
                <w:szCs w:val="18"/>
                <w:color w:val="auto"/>
              </w:rPr>
            </w:pPr>
          </w:p>
        </w:tc>
        <w:tc>
          <w:tcPr>
            <w:tcW w:w="17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Trust Preferred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Trust Preferred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c>
          <w:tcPr>
            <w:tcW w:w="100" w:type="dxa"/>
            <w:vAlign w:val="bottom"/>
          </w:tcPr>
          <w:p>
            <w:pPr>
              <w:spacing w:after="0"/>
              <w:rPr>
                <w:sz w:val="17"/>
                <w:szCs w:val="17"/>
                <w:color w:val="auto"/>
              </w:rPr>
            </w:pPr>
          </w:p>
        </w:tc>
        <w:tc>
          <w:tcPr>
            <w:tcW w:w="1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and</w:t>
            </w:r>
          </w:p>
        </w:tc>
        <w:tc>
          <w:tcPr>
            <w:tcW w:w="0" w:type="dxa"/>
            <w:vAlign w:val="bottom"/>
          </w:tcPr>
          <w:p>
            <w:pPr>
              <w:spacing w:after="0"/>
              <w:rPr>
                <w:sz w:val="1"/>
                <w:szCs w:val="1"/>
                <w:color w:val="auto"/>
              </w:rPr>
            </w:pPr>
          </w:p>
        </w:tc>
      </w:tr>
      <w:tr>
        <w:trPr>
          <w:trHeight w:val="248"/>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Trust</w:t>
            </w:r>
          </w:p>
        </w:tc>
        <w:tc>
          <w:tcPr>
            <w:tcW w:w="100" w:type="dxa"/>
            <w:vAlign w:val="bottom"/>
          </w:tcPr>
          <w:p>
            <w:pPr>
              <w:spacing w:after="0"/>
              <w:rPr>
                <w:sz w:val="21"/>
                <w:szCs w:val="21"/>
                <w:color w:val="auto"/>
              </w:rPr>
            </w:pPr>
          </w:p>
        </w:tc>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Debentures</w:t>
            </w:r>
          </w:p>
        </w:tc>
        <w:tc>
          <w:tcPr>
            <w:tcW w:w="1820" w:type="dxa"/>
            <w:vAlign w:val="bottom"/>
          </w:tcPr>
          <w:p>
            <w:pPr>
              <w:jc w:val="center"/>
              <w:spacing w:after="0" w:line="249" w:lineRule="exact"/>
              <w:rPr>
                <w:sz w:val="20"/>
                <w:szCs w:val="20"/>
                <w:color w:val="auto"/>
              </w:rPr>
            </w:pPr>
            <w:r>
              <w:rPr>
                <w:rFonts w:ascii="Times New Roman" w:cs="Times New Roman" w:eastAsia="Times New Roman" w:hAnsi="Times New Roman"/>
                <w:sz w:val="17"/>
                <w:szCs w:val="17"/>
                <w:b w:val="1"/>
                <w:bCs w:val="1"/>
                <w:color w:val="auto"/>
              </w:rPr>
              <w:t>Debentures</w:t>
            </w:r>
            <w:r>
              <w:rPr>
                <w:rFonts w:ascii="Times New Roman" w:cs="Times New Roman" w:eastAsia="Times New Roman" w:hAnsi="Times New Roman"/>
                <w:sz w:val="28"/>
                <w:szCs w:val="28"/>
                <w:b w:val="1"/>
                <w:bCs w:val="1"/>
                <w:color w:val="auto"/>
                <w:vertAlign w:val="superscript"/>
              </w:rPr>
              <w:t>(1)</w:t>
            </w:r>
          </w:p>
        </w:tc>
        <w:tc>
          <w:tcPr>
            <w:tcW w:w="100" w:type="dxa"/>
            <w:vAlign w:val="bottom"/>
          </w:tcPr>
          <w:p>
            <w:pPr>
              <w:spacing w:after="0"/>
              <w:rPr>
                <w:sz w:val="21"/>
                <w:szCs w:val="21"/>
                <w:color w:val="auto"/>
              </w:rPr>
            </w:pPr>
          </w:p>
        </w:tc>
        <w:tc>
          <w:tcPr>
            <w:tcW w:w="1700" w:type="dxa"/>
            <w:vAlign w:val="bottom"/>
          </w:tcPr>
          <w:p>
            <w:pPr>
              <w:ind w:left="240"/>
              <w:spacing w:after="0" w:line="249" w:lineRule="exact"/>
              <w:rPr>
                <w:sz w:val="20"/>
                <w:szCs w:val="20"/>
                <w:color w:val="auto"/>
              </w:rPr>
            </w:pPr>
            <w:r>
              <w:rPr>
                <w:rFonts w:ascii="Times New Roman" w:cs="Times New Roman" w:eastAsia="Times New Roman" w:hAnsi="Times New Roman"/>
                <w:sz w:val="17"/>
                <w:szCs w:val="17"/>
                <w:b w:val="1"/>
                <w:bCs w:val="1"/>
                <w:color w:val="auto"/>
              </w:rPr>
              <w:t>Debentures</w:t>
            </w:r>
            <w:r>
              <w:rPr>
                <w:rFonts w:ascii="Times New Roman" w:cs="Times New Roman" w:eastAsia="Times New Roman" w:hAnsi="Times New Roman"/>
                <w:sz w:val="28"/>
                <w:szCs w:val="28"/>
                <w:b w:val="1"/>
                <w:bCs w:val="1"/>
                <w:color w:val="auto"/>
                <w:vertAlign w:val="superscript"/>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160" w:type="dxa"/>
            <w:vAlign w:val="bottom"/>
            <w:gridSpan w:val="4"/>
          </w:tcPr>
          <w:p>
            <w:pPr>
              <w:jc w:val="center"/>
              <w:ind w:right="1371"/>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w w:val="99"/>
              </w:rPr>
              <w:t>3-mo. LIBOR + 265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Plains Financial Capital Trust III</w:t>
            </w:r>
          </w:p>
        </w:tc>
        <w:tc>
          <w:tcPr>
            <w:tcW w:w="18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10,310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6"/>
              </w:rPr>
              <w:t>bps; 4.91%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w w:val="99"/>
              </w:rPr>
              <w:t>3-mo. LIBOR + 139</w:t>
            </w:r>
          </w:p>
        </w:tc>
        <w:tc>
          <w:tcPr>
            <w:tcW w:w="0" w:type="dxa"/>
            <w:vAlign w:val="bottom"/>
          </w:tcPr>
          <w:p>
            <w:pPr>
              <w:spacing w:after="0"/>
              <w:rPr>
                <w:sz w:val="1"/>
                <w:szCs w:val="1"/>
                <w:color w:val="auto"/>
              </w:rPr>
            </w:pPr>
          </w:p>
        </w:tc>
      </w:t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Plains Financial Capital Trust IV</w:t>
            </w:r>
          </w:p>
        </w:tc>
        <w:tc>
          <w:tcPr>
            <w:tcW w:w="18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20,619</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20"/>
                <w:szCs w:val="20"/>
                <w:color w:val="auto"/>
              </w:rPr>
            </w:pPr>
          </w:p>
        </w:tc>
        <w:tc>
          <w:tcPr>
            <w:tcW w:w="17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6"/>
              </w:rPr>
              <w:t>bps; 3.51%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w w:val="99"/>
              </w:rPr>
              <w:t>3-mo. LIBOR + 150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Plains Financial Capital Trust V</w:t>
            </w:r>
          </w:p>
        </w:tc>
        <w:tc>
          <w:tcPr>
            <w:tcW w:w="18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15,464</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6"/>
              </w:rPr>
              <w:t>bps; 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46,393</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Company’s option.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quarterly with principal due at maturity.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as of last reset date, prior to September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Liquidity</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(the “ALCO Committee”), reviews this information to determine if the projected future net interest income levels would be acceptable. The Company attempts to stay within acceptable net interest income levels.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ectPr>
          <w:pgSz w:w="11900" w:h="16838" w:orient="portrait"/>
          <w:cols w:equalWidth="0" w:num="1">
            <w:col w:w="11420"/>
          </w:cols>
          <w:pgMar w:left="240" w:top="116" w:right="239" w:bottom="492"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492" w:gutter="0" w:footer="0" w:header="0"/>
          <w:type w:val="continuous"/>
        </w:sectPr>
      </w:pPr>
    </w:p>
    <w:bookmarkStart w:id="48" w:name="page49"/>
    <w:bookmarkEnd w:id="4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Capital Requirements</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Total shareholders’ equity increased to $299.0 million as of September 30, 2019, compared to $212.8 million as of December 31, 2018, taking into account the ESOP Repurchase Right Termination, an increase of $86.2 million, or 40.5%. The increase from December 31, 2018 was primarily the result of $51.4 million in net proceeds from the Company’s initial public offering, $19.1 million in net earnings for the nine months ended September 30, 2019, a change in accumulated other comprehensive income of $5.9 million, related to unrealized gains/losses on securities available for sale, and the modification of the Company’s cash-settled stock appreciation rights that previously were accounted for as liabilities to equity classified stock options in the amount of $11.5 million. The increases were offset by a $1.3 million cumulative-effect adjustment to retained earnings for a change in accounting principle. This related to the Company changing the accounting method for its stock appreciation rights from the intrinsic value method to fair value. See Note 1, Summary of Significant Accounting Policies, in the notes to the consolidated financial statements included elsewhere in this Form 10-Q regarding further details on this change. See also Note 6, Stock-Based Compensation, for further details on the modification.</w:t>
      </w:r>
    </w:p>
    <w:p>
      <w:pPr>
        <w:spacing w:after="0" w:line="20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At September 30, 2019, both we and the Bank met all the capital adequacy requirements to which we and the Bank were subject. At September 30, 2019, the Bank was “well capitalized” under the regulatory framework for prompt corrective action. Management believes that no conditions or events have occurred since September 30, 2019 that would materially adversely change such capital classifications. From time to time, we may need to raise additional capital to support our and the Bank’s further growth and to maintain our “well capitalized” status.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our and the Bank’s regulatory capital ratios as of the dates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60" w:type="dxa"/>
            <w:vAlign w:val="bottom"/>
          </w:tcPr>
          <w:p>
            <w:pPr>
              <w:spacing w:after="0"/>
              <w:rPr>
                <w:sz w:val="21"/>
                <w:szCs w:val="21"/>
                <w:color w:val="auto"/>
              </w:rPr>
            </w:pPr>
          </w:p>
        </w:tc>
        <w:tc>
          <w:tcPr>
            <w:tcW w:w="24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South Plains Financial, Inc.</w:t>
            </w:r>
            <w:r>
              <w:rPr>
                <w:rFonts w:ascii="Times New Roman" w:cs="Times New Roman" w:eastAsia="Times New Roman" w:hAnsi="Times New Roman"/>
                <w:sz w:val="18"/>
                <w:szCs w:val="18"/>
                <w:color w:val="auto"/>
              </w:rPr>
              <w:t>:</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420" w:type="dxa"/>
            <w:vAlign w:val="bottom"/>
            <w:gridSpan w:val="4"/>
            <w:vMerge w:val="continue"/>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388,748</w:t>
            </w:r>
          </w:p>
        </w:tc>
        <w:tc>
          <w:tcPr>
            <w:tcW w:w="14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17.38%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309,798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337,920</w:t>
            </w:r>
          </w:p>
        </w:tc>
        <w:tc>
          <w:tcPr>
            <w:tcW w:w="1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15.11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260,020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292,920</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13.10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215,020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337,920</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3"/>
              </w:rPr>
              <w:t>12.17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260,020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City Bank:</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308,841</w:t>
            </w:r>
          </w:p>
        </w:tc>
        <w:tc>
          <w:tcPr>
            <w:tcW w:w="14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13.81%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294,572</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284,485</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3"/>
              </w:rPr>
              <w:t>12.72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271,266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284,485</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12.72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271,266</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284,485</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3"/>
              </w:rPr>
              <w:t>10.25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271,266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Off-Balance Sheet Arrangements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Because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commitments we have made as of the dates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7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(Dollars in</w:t>
            </w:r>
          </w:p>
        </w:tc>
        <w:tc>
          <w:tcPr>
            <w:tcW w:w="220" w:type="dxa"/>
            <w:vAlign w:val="bottom"/>
            <w:gridSpan w:val="2"/>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376,155</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346,245</w:t>
            </w: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r>
      <w:tr>
        <w:trPr>
          <w:trHeight w:val="257"/>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386,122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351,307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See “Borrowed Funds - FHLB Advances” herein for a discussion for amounts of letters of credit.</w:t>
      </w: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 Rate Sensitivity and Market Risk</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ectPr>
          <w:pgSz w:w="11900" w:h="16838" w:orient="portrait"/>
          <w:cols w:equalWidth="0" w:num="1">
            <w:col w:w="11420"/>
          </w:cols>
          <w:pgMar w:left="240" w:top="116" w:right="239" w:bottom="58"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summarize the simulated change in net interest income over a 12-month horizon as of the dates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040" w:type="dxa"/>
            <w:vAlign w:val="bottom"/>
            <w:gridSpan w:val="2"/>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100" w:type="dxa"/>
            <w:vAlign w:val="bottom"/>
          </w:tcPr>
          <w:p>
            <w:pPr>
              <w:spacing w:after="0"/>
              <w:rPr>
                <w:sz w:val="16"/>
                <w:szCs w:val="16"/>
                <w:color w:val="auto"/>
              </w:rPr>
            </w:pPr>
          </w:p>
        </w:tc>
      </w:tr>
      <w:tr>
        <w:trPr>
          <w:trHeight w:val="198"/>
        </w:trPr>
        <w:tc>
          <w:tcPr>
            <w:tcW w:w="55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Change in Interest Rates (Basis Points)</w:t>
            </w:r>
          </w:p>
        </w:tc>
        <w:tc>
          <w:tcPr>
            <w:tcW w:w="4180" w:type="dxa"/>
            <w:vAlign w:val="bottom"/>
            <w:gridSpan w:val="4"/>
          </w:tcPr>
          <w:p>
            <w:pPr>
              <w:jc w:val="center"/>
              <w:ind w:left="2310"/>
              <w:spacing w:after="0" w:line="198" w:lineRule="exact"/>
              <w:rPr>
                <w:sz w:val="20"/>
                <w:szCs w:val="20"/>
                <w:color w:val="auto"/>
              </w:rPr>
            </w:pPr>
            <w:r>
              <w:rPr>
                <w:rFonts w:ascii="Times New Roman" w:cs="Times New Roman" w:eastAsia="Times New Roman" w:hAnsi="Times New Roman"/>
                <w:sz w:val="18"/>
                <w:szCs w:val="18"/>
                <w:b w:val="1"/>
                <w:bCs w:val="1"/>
                <w:color w:val="auto"/>
              </w:rPr>
              <w:t>Net Interest Income</w:t>
            </w:r>
          </w:p>
        </w:tc>
        <w:tc>
          <w:tcPr>
            <w:tcW w:w="1720" w:type="dxa"/>
            <w:vAlign w:val="bottom"/>
            <w:gridSpan w:val="3"/>
          </w:tcPr>
          <w:p>
            <w:pPr>
              <w:jc w:val="center"/>
              <w:ind w:right="20"/>
              <w:spacing w:after="0" w:line="198" w:lineRule="exact"/>
              <w:rPr>
                <w:sz w:val="20"/>
                <w:szCs w:val="20"/>
                <w:color w:val="auto"/>
              </w:rPr>
            </w:pPr>
            <w:r>
              <w:rPr>
                <w:rFonts w:ascii="Times New Roman" w:cs="Times New Roman" w:eastAsia="Times New Roman" w:hAnsi="Times New Roman"/>
                <w:sz w:val="18"/>
                <w:szCs w:val="18"/>
                <w:b w:val="1"/>
                <w:bCs w:val="1"/>
                <w:color w:val="auto"/>
              </w:rPr>
              <w:t>Net Interest Income</w:t>
            </w:r>
          </w:p>
        </w:tc>
      </w:tr>
      <w:tr>
        <w:trPr>
          <w:trHeight w:val="28"/>
        </w:trPr>
        <w:tc>
          <w:tcPr>
            <w:tcW w:w="20" w:type="dxa"/>
            <w:vAlign w:val="bottom"/>
          </w:tcPr>
          <w:p>
            <w:pPr>
              <w:spacing w:after="0"/>
              <w:rPr>
                <w:sz w:val="2"/>
                <w:szCs w:val="2"/>
                <w:color w:val="auto"/>
              </w:rPr>
            </w:pPr>
          </w:p>
        </w:tc>
        <w:tc>
          <w:tcPr>
            <w:tcW w:w="2980" w:type="dxa"/>
            <w:vAlign w:val="bottom"/>
            <w:tcBorders>
              <w:top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25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2520" w:type="dxa"/>
            <w:vAlign w:val="bottom"/>
          </w:tcPr>
          <w:p>
            <w:pPr>
              <w:spacing w:after="0"/>
              <w:rPr>
                <w:sz w:val="18"/>
                <w:szCs w:val="18"/>
                <w:color w:val="auto"/>
              </w:rPr>
            </w:pPr>
          </w:p>
        </w:tc>
        <w:tc>
          <w:tcPr>
            <w:tcW w:w="4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25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2520" w:type="dxa"/>
            <w:vAlign w:val="bottom"/>
          </w:tcPr>
          <w:p>
            <w:pPr>
              <w:spacing w:after="0"/>
              <w:rPr>
                <w:sz w:val="20"/>
                <w:szCs w:val="20"/>
                <w:color w:val="auto"/>
              </w:rPr>
            </w:pPr>
          </w:p>
        </w:tc>
        <w:tc>
          <w:tcPr>
            <w:tcW w:w="41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Impact of Inflation</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Our accounting and reporting policies conform to GAAP and the prevailing practices in the banking industry. However, we also evaluate our performance based on certain additional financial measures discussed in this Form 10-Q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non-GAAP financial measures that we discuss in this Form 10-Q should not be considered in isolation or as a substitute for the most directly comparable or other financial measures calculated in accordance with GAAP. Moreover, the manner in which we calculate the non-GAAP financial measures that we discuss in this Form 10-Q may differ from that of other companies reporting measures with similar names. It is important to understand how other banking organizations calculate their financial measures with names similar to the non-GAAP financial measures we have discussed in this Form 10-Q when comparing such non-GAAP financial measures.</w:t>
      </w:r>
    </w:p>
    <w:p>
      <w:pPr>
        <w:sectPr>
          <w:pgSz w:w="11900" w:h="16838" w:orient="portrait"/>
          <w:cols w:equalWidth="0" w:num="1">
            <w:col w:w="11420"/>
          </w:cols>
          <w:pgMar w:left="240" w:top="116" w:right="239" w:bottom="1059"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059" w:gutter="0" w:footer="0" w:header="0"/>
          <w:type w:val="continuous"/>
        </w:sectPr>
      </w:pPr>
    </w:p>
    <w:bookmarkStart w:id="52" w:name="page53"/>
    <w:bookmarkEnd w:id="5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Tangible Book Value Per Common Share</w:t>
      </w:r>
      <w:r>
        <w:rPr>
          <w:rFonts w:ascii="Times New Roman" w:cs="Times New Roman" w:eastAsia="Times New Roman" w:hAnsi="Times New Roman"/>
          <w:sz w:val="22"/>
          <w:szCs w:val="22"/>
          <w:color w:val="auto"/>
        </w:rPr>
        <w:t>. Tangible book value per share is a non-GAAP measure generally used by investors,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20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Tangible Common Equity to Tangible Assets</w:t>
      </w:r>
      <w:r>
        <w:rPr>
          <w:rFonts w:ascii="Times New Roman" w:cs="Times New Roman" w:eastAsia="Times New Roman" w:hAnsi="Times New Roman"/>
          <w:sz w:val="22"/>
          <w:szCs w:val="22"/>
          <w:color w:val="auto"/>
        </w:rPr>
        <w:t>. Tangible common equity to tangible assets is a non-GAAP measure generally used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299,027</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Tangible common equity</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296,563</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2,795,582</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(2,464)</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Tangible assets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2,793,118</w:t>
            </w:r>
          </w:p>
        </w:tc>
        <w:tc>
          <w:tcPr>
            <w:tcW w:w="2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2,712,745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18,004,323</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14,771,520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Book value per share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Tangible book value per share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00" w:type="dxa"/>
            <w:vAlign w:val="bottom"/>
          </w:tcPr>
          <w:p>
            <w:pPr>
              <w:spacing w:after="0"/>
              <w:rPr>
                <w:sz w:val="20"/>
                <w:szCs w:val="20"/>
                <w:color w:val="auto"/>
              </w:rPr>
            </w:pP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September 30, 2019.</w:t>
      </w:r>
    </w:p>
    <w:p>
      <w:pPr>
        <w:spacing w:after="0" w:line="1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Basis of Presentation and Consolidation. </w:t>
      </w:r>
      <w:r>
        <w:rPr>
          <w:rFonts w:ascii="Times New Roman" w:cs="Times New Roman" w:eastAsia="Times New Roman" w:hAnsi="Times New Roman"/>
          <w:sz w:val="21"/>
          <w:szCs w:val="21"/>
          <w:color w:val="auto"/>
        </w:rPr>
        <w:t>The consolidated financial statements include the accounts of the Company and its wholly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owned consolidated subsidiaries. All significant intercompany balances and transactions have been eliminated in consolidation.</w:t>
      </w:r>
    </w:p>
    <w:p>
      <w:pPr>
        <w:sectPr>
          <w:pgSz w:w="11900" w:h="16838" w:orient="portrait"/>
          <w:cols w:equalWidth="0" w:num="1">
            <w:col w:w="11420"/>
          </w:cols>
          <w:pgMar w:left="240" w:top="116" w:right="239" w:bottom="627"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627" w:gutter="0" w:footer="0" w:header="0"/>
          <w:type w:val="continuous"/>
        </w:sectPr>
      </w:pPr>
    </w:p>
    <w:bookmarkStart w:id="53" w:name="page54"/>
    <w:bookmarkEnd w:id="5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Cash and Cash Equivalents. </w:t>
      </w:r>
      <w:r>
        <w:rPr>
          <w:rFonts w:ascii="Times New Roman" w:cs="Times New Roman" w:eastAsia="Times New Roman" w:hAnsi="Times New Roman"/>
          <w:sz w:val="22"/>
          <w:szCs w:val="22"/>
          <w:color w:val="auto"/>
        </w:rPr>
        <w:t>The Company includes all cash on hand, balances due from other banks, and Federal funds sold,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have original maturities within three months, as cash and cash equivalents.</w:t>
      </w:r>
    </w:p>
    <w:p>
      <w:pPr>
        <w:spacing w:after="0" w:line="1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Investment securities may be classified into trading, held-to-maturity, or available-for-sale portfolios. Securities that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 than temporary are included in gain or loss on sale of securities. The cost of securities sold is based on the specific identification method.</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Loans. </w:t>
      </w:r>
      <w:r>
        <w:rPr>
          <w:rFonts w:ascii="Times New Roman" w:cs="Times New Roman" w:eastAsia="Times New Roman" w:hAnsi="Times New Roman"/>
          <w:sz w:val="22"/>
          <w:szCs w:val="22"/>
          <w:color w:val="auto"/>
        </w:rPr>
        <w:t>Loans that management has the intent and ability to hold for the foreseeable future or until maturity or payoff are reported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Allowance for Loan Losses. </w:t>
      </w:r>
      <w:r>
        <w:rPr>
          <w:rFonts w:ascii="Times New Roman" w:cs="Times New Roman" w:eastAsia="Times New Roman" w:hAnsi="Times New Roman"/>
          <w:sz w:val="22"/>
          <w:szCs w:val="22"/>
          <w:color w:val="auto"/>
        </w:rPr>
        <w:t>The allowance for loan losses is established as losses are estimated to have occurred through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ectPr>
          <w:pgSz w:w="11900" w:h="16838" w:orient="portrait"/>
          <w:cols w:equalWidth="0" w:num="1">
            <w:col w:w="11420"/>
          </w:cols>
          <w:pgMar w:left="240" w:top="116" w:right="239" w:bottom="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0" w:gutter="0" w:footer="0" w:header="0"/>
          <w:type w:val="continuous"/>
        </w:sectPr>
      </w:pPr>
    </w:p>
    <w:bookmarkStart w:id="54" w:name="page55"/>
    <w:bookmarkEnd w:id="5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Loans Held for Sale. </w:t>
      </w:r>
      <w:r>
        <w:rPr>
          <w:rFonts w:ascii="Times New Roman" w:cs="Times New Roman" w:eastAsia="Times New Roman" w:hAnsi="Times New Roman"/>
          <w:sz w:val="22"/>
          <w:szCs w:val="22"/>
          <w:color w:val="auto"/>
        </w:rPr>
        <w:t>Loans held for sale are comprised of residential mortgage loans. Loans that are originated for best efforts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Goodwill and Other Intangible Assets. </w:t>
      </w:r>
      <w:r>
        <w:rPr>
          <w:rFonts w:ascii="Times New Roman" w:cs="Times New Roman" w:eastAsia="Times New Roman" w:hAnsi="Times New Roman"/>
          <w:sz w:val="22"/>
          <w:szCs w:val="22"/>
          <w:color w:val="auto"/>
        </w:rPr>
        <w:t>Goodwill resulting from business combinations is generally determined as the excess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Recently Issued Accounting Pronouncements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See Note 1, Summary of Significant Accounting Policies, in the notes to the consolidated financial statements included elsewhere in this Form 10-Q regarding the impact of new accounting pronouncements which we have adopted.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Evaluation of Disclosure Controls and Procedures</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Internal Control over Financial Reporting</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There were no changes in the Company’s internal control over financial reporting (as such term is defined in Rules 13a-15(f) and 15d-15(f) under the Exchange Act) that occurred during the three months ended September 30, 2019 that have materially affected, or are reasonably likely to materially affect, the Company’s internal control over financial reporting.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5" w:name="page56"/>
    <w:bookmarkEnd w:id="5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and its subsidiaries are subject to various legal actions, as described in the IPO Prospectus. There are no material developments in the legal actions described in the IPO Prospectus. Except as described in the IPO Prospectus, we are not presently involved in any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evaluating an investment in any of our securities, investors should consider carefully, among other things, information under the heading “Cautionary Note Regarding Forward-Looking Statements” in this Form 10-Q and the risk factors previously disclosed under the heading “Risk Factors” in our IPO Prospectus filed with the SEC on May 9, 2019 pursuant to Rule 424(b) of the Securities Act, in connection with the initial public offering of our common stock. There have been no material changes in the risk factors disclosed by the Company in its IPO Prospectus.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We had no sales of equity securities by the Company during the period covered by this Form 10-Q that were not registered with the SEC under the Securities Act. In May 2019, we issued and sold 3,207,000 shares of our common stock, including 507,000 shares of common stock sold pursuant to the underwriters’ full exercise of their option to purchase additional shares, in our initial public offering at an offering price of $17.50 per share, for aggregate gross proceeds of $56.1 million before deducting underwriting discounts and offering expenses, and aggregate net proceeds of $51.4 million after deducting underwriting discounts and offering expenses. All of the shares issued and sold in the initial public offering were registered under the Securities Act pursuant to a Registration Statement on Form S-1 (File No. 333-230851), which was declared effective by the SEC on May 8, 2019. We made no payments to our directors, officers or persons owning ten percent or more of our common stock or to their associates, or to our affiliates in connection with the issuance and sale of the securities registered. Keefe, Bruyette &amp; Woods, Inc., a Stifel Company, and Sandler O’Neill + Partners, L.P. acted as joint book-running managers for the offering. The offering commenced on May 8, 2019, did not terminate until the sale of all of the shares offered, and was closed on May 13, 2019. We used all of the proceeds from this offering, plus cash on hand, to pay the merger consideration in the WTSB acquisition.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6" w:name="page57"/>
    <w:bookmarkEnd w:id="5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4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July 25, 2019, by and between South Plains Financial, Inc., SPFI Merger Sub, Inc., City Bank and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West Texas State Bank (certain schedules and exhibits have been omitted pursuant to Item 601(b)(2) of Regulation S-K; the registrant agrees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furnish copies of any such omitted schedules or exhibits to the SEC upon request) (incorporated by reference to Exhibit 2.1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Form 8-K filed with the Commission on July 25, 2019 (File No. 001-38895))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Formation of South Plains Financial, Inc. (incorporated by reference to Exhibit 3.1 to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S-1 filed with the Commission on April 12, 2019) (File No. 333-230851)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Bylaws of South Plains Financial, Inc. (incorporated by reference to Exhibit 3.2 to the Company’s Form S-1 filed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the Commission on April 12, 2019) (File No. 333-230851)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gridSpan w:val="3"/>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WTSB Voting Agreement, dated July 25, 2019, by and among South Plains Financial, Inc., West Texas State Bank and the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West Texas State Bank party thereto (incorporated by reference to Exhibit 10.1 to the Company’s Form 8-K filed with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Commission on July 25, 2019 (File No. 001-38895))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WTSB Director Support Agreement, dated July 25, 2019, by and among South Plains Financial, Inc., West Texas State Bank and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each non-employee director of West Texas State Bank (incorporated by reference to Exhibit 10.2 to the Company’s Form 8-K filed with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on July 25, 2019 (File No. 001-38895))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gridSpan w:val="4"/>
          </w:tcPr>
          <w:p>
            <w:pPr>
              <w:spacing w:after="0" w:line="17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3"/>
              </w:rPr>
            </w:pPr>
            <w:hyperlink w:anchor="page60">
              <w:r>
                <w:rPr>
                  <w:rFonts w:ascii="Times New Roman" w:cs="Times New Roman" w:eastAsia="Times New Roman" w:hAnsi="Times New Roman"/>
                  <w:sz w:val="18"/>
                  <w:szCs w:val="18"/>
                  <w:color w:val="0000EE"/>
                  <w:w w:val="93"/>
                </w:rPr>
                <w:t>31.</w:t>
              </w:r>
              <w:r>
                <w:rPr>
                  <w:rFonts w:ascii="Times New Roman" w:cs="Times New Roman" w:eastAsia="Times New Roman" w:hAnsi="Times New Roman"/>
                  <w:sz w:val="18"/>
                  <w:szCs w:val="18"/>
                  <w:u w:val="single" w:color="auto"/>
                  <w:color w:val="0000EE"/>
                  <w:w w:val="93"/>
                </w:rPr>
                <w:t>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gridSpan w:val="5"/>
          </w:tcPr>
          <w:p>
            <w:pPr>
              <w:spacing w:after="0" w:line="17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160" w:type="dxa"/>
            <w:vAlign w:val="bottom"/>
          </w:tcPr>
          <w:p>
            <w:pPr>
              <w:spacing w:after="0"/>
              <w:rPr>
                <w:sz w:val="15"/>
                <w:szCs w:val="15"/>
                <w:color w:val="auto"/>
              </w:rPr>
            </w:pPr>
          </w:p>
        </w:tc>
        <w:tc>
          <w:tcPr>
            <w:tcW w:w="10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160" w:type="dxa"/>
            <w:vAlign w:val="bottom"/>
            <w:shd w:val="clear" w:color="auto" w:fill="CCEEFF"/>
          </w:tcPr>
          <w:p>
            <w:pPr>
              <w:spacing w:after="0"/>
              <w:rPr>
                <w:sz w:val="17"/>
                <w:szCs w:val="17"/>
                <w:color w:val="auto"/>
              </w:rPr>
            </w:pPr>
          </w:p>
        </w:tc>
        <w:tc>
          <w:tcPr>
            <w:tcW w:w="10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 w:type="dxa"/>
            <w:vAlign w:val="bottom"/>
            <w:tcBorders>
              <w:top w:val="single" w:sz="8" w:color="0000EE"/>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14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The following material from South Plains Financial, Inc.’s Form 10-Q for the quarter ended September 30, 2019, formatted in XBRL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(eXtensible Business Reporting Language), filed herewith: (i) Consolidated Balance Sheets, (ii) Consolidated Statements of Comprehensive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Income, (iii) Consolidated Statements of Changes in Stockholders’ Equity, (iv) Consolidated Statements of Cash Flows, and (v) Notes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Filed with this Form 10-Q</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222222"/>
        </w:rPr>
        <w:t>**</w:t>
      </w:r>
      <w:r>
        <w:rPr>
          <w:sz w:val="20"/>
          <w:szCs w:val="20"/>
          <w:color w:val="auto"/>
        </w:rPr>
        <w:tab/>
      </w:r>
      <w:r>
        <w:rPr>
          <w:rFonts w:ascii="Times New Roman" w:cs="Times New Roman" w:eastAsia="Times New Roman" w:hAnsi="Times New Roman"/>
          <w:sz w:val="17"/>
          <w:szCs w:val="17"/>
          <w:color w:val="222222"/>
        </w:rPr>
        <w:t>Furnished with this Form 10-Q</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7" w:name="page58"/>
    <w:bookmarkEnd w:id="5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0" w:val="left"/>
          <w:tab w:leader="none" w:pos="5700" w:val="left"/>
          <w:tab w:leader="none" w:pos="8000" w:val="left"/>
        </w:tabs>
        <w:rPr>
          <w:sz w:val="20"/>
          <w:szCs w:val="20"/>
          <w:color w:val="auto"/>
        </w:rPr>
      </w:pPr>
      <w:r>
        <w:rPr>
          <w:rFonts w:ascii="Times New Roman" w:cs="Times New Roman" w:eastAsia="Times New Roman" w:hAnsi="Times New Roman"/>
          <w:sz w:val="18"/>
          <w:szCs w:val="18"/>
          <w:color w:val="auto"/>
        </w:rPr>
        <w:t>Date:</w:t>
        <w:tab/>
        <w:t>November 13,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spacing w:after="0"/>
        <w:tabs>
          <w:tab w:leader="none" w:pos="560" w:val="left"/>
          <w:tab w:leader="none" w:pos="5700" w:val="left"/>
          <w:tab w:leader="none" w:pos="7920" w:val="left"/>
        </w:tabs>
        <w:rPr>
          <w:sz w:val="20"/>
          <w:szCs w:val="20"/>
          <w:color w:val="auto"/>
        </w:rPr>
      </w:pPr>
      <w:r>
        <w:rPr>
          <w:rFonts w:ascii="Times New Roman" w:cs="Times New Roman" w:eastAsia="Times New Roman" w:hAnsi="Times New Roman"/>
          <w:sz w:val="18"/>
          <w:szCs w:val="18"/>
          <w:color w:val="auto"/>
        </w:rPr>
        <w:t>Date:</w:t>
        <w:tab/>
        <w:t>November 13,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18" w:lineRule="exact"/>
        <w:rPr>
          <w:sz w:val="20"/>
          <w:szCs w:val="20"/>
          <w:color w:val="auto"/>
        </w:rPr>
      </w:pPr>
    </w:p>
    <w:p>
      <w:pPr>
        <w:ind w:left="1400" w:right="1380" w:firstLine="76"/>
        <w:spacing w:after="0" w:line="258" w:lineRule="auto"/>
        <w:rPr>
          <w:sz w:val="20"/>
          <w:szCs w:val="20"/>
          <w:color w:val="auto"/>
        </w:rPr>
      </w:pPr>
      <w:r>
        <w:rPr>
          <w:rFonts w:ascii="Times New Roman" w:cs="Times New Roman" w:eastAsia="Times New Roman" w:hAnsi="Times New Roman"/>
          <w:sz w:val="21"/>
          <w:szCs w:val="21"/>
          <w:b w:val="1"/>
          <w:bCs w:val="1"/>
          <w:color w:val="auto"/>
        </w:rPr>
        <w:t>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Curtis C. Griffith, certify that:</w:t>
      </w:r>
    </w:p>
    <w:p>
      <w:pPr>
        <w:spacing w:after="0" w:line="242"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Form10-Q of South Plains Financial, Inc. (the “registrant”) for the quarter ended September 30, 2019 (this “report”);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700" w:val="left"/>
          <w:tab w:leader="none" w:pos="8100" w:val="left"/>
        </w:tabs>
        <w:rPr>
          <w:sz w:val="20"/>
          <w:szCs w:val="20"/>
          <w:color w:val="auto"/>
        </w:rPr>
      </w:pPr>
      <w:r>
        <w:rPr>
          <w:rFonts w:ascii="Times New Roman" w:cs="Times New Roman" w:eastAsia="Times New Roman" w:hAnsi="Times New Roman"/>
          <w:sz w:val="18"/>
          <w:szCs w:val="18"/>
          <w:color w:val="auto"/>
        </w:rPr>
        <w:t>Date: November 13,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18" w:lineRule="exact"/>
        <w:rPr>
          <w:sz w:val="20"/>
          <w:szCs w:val="20"/>
          <w:color w:val="auto"/>
        </w:rPr>
      </w:pPr>
    </w:p>
    <w:p>
      <w:pPr>
        <w:ind w:left="1400" w:right="1380" w:firstLine="76"/>
        <w:spacing w:after="0" w:line="258" w:lineRule="auto"/>
        <w:rPr>
          <w:sz w:val="20"/>
          <w:szCs w:val="20"/>
          <w:color w:val="auto"/>
        </w:rPr>
      </w:pPr>
      <w:r>
        <w:rPr>
          <w:rFonts w:ascii="Times New Roman" w:cs="Times New Roman" w:eastAsia="Times New Roman" w:hAnsi="Times New Roman"/>
          <w:sz w:val="21"/>
          <w:szCs w:val="21"/>
          <w:b w:val="1"/>
          <w:bCs w:val="1"/>
          <w:color w:val="auto"/>
        </w:rPr>
        <w:t>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Steven B. Crockett, certify that:</w:t>
      </w:r>
    </w:p>
    <w:p>
      <w:pPr>
        <w:spacing w:after="0" w:line="242" w:lineRule="exact"/>
        <w:rPr>
          <w:sz w:val="20"/>
          <w:szCs w:val="20"/>
          <w:color w:val="auto"/>
        </w:rPr>
      </w:pPr>
    </w:p>
    <w:p>
      <w:pPr>
        <w:ind w:left="340" w:right="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September 30, 2019 (this “report”);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700" w:val="left"/>
          <w:tab w:leader="none" w:pos="8040" w:val="left"/>
        </w:tabs>
        <w:rPr>
          <w:sz w:val="20"/>
          <w:szCs w:val="20"/>
          <w:color w:val="auto"/>
        </w:rPr>
      </w:pPr>
      <w:r>
        <w:rPr>
          <w:rFonts w:ascii="Times New Roman" w:cs="Times New Roman" w:eastAsia="Times New Roman" w:hAnsi="Times New Roman"/>
          <w:sz w:val="18"/>
          <w:szCs w:val="18"/>
          <w:color w:val="auto"/>
        </w:rPr>
        <w:t>Date: November 13,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ind w:left="290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connection with the Quarterly Report on Form 10-Q of South Plains Financial, Inc. (the “Company”) for the quarter ended September 30, 2019 (the “Report”), as filed with the Securities and Exchange Commission on the date hereof, I certify, pursuant to 18 U.S.C. § 1350, as adopted pursuant to § 906 of the Sarbanes-Oxley Act of 2002, that to the best of my knowledge:</w:t>
      </w:r>
    </w:p>
    <w:p>
      <w:pPr>
        <w:spacing w:after="0" w:line="21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2019</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Curtis C. Griffith</w:t>
            </w:r>
          </w:p>
        </w:tc>
      </w:tr>
      <w:tr>
        <w:trPr>
          <w:trHeight w:val="198"/>
        </w:trPr>
        <w:tc>
          <w:tcPr>
            <w:tcW w:w="38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Curtis C. Griffith</w:t>
            </w:r>
          </w:p>
        </w:tc>
      </w:tr>
      <w:tr>
        <w:trPr>
          <w:trHeight w:val="234"/>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r>
        <w:trPr>
          <w:trHeight w:val="601"/>
        </w:trPr>
        <w:tc>
          <w:tcPr>
            <w:tcW w:w="38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ind w:left="290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connection with the Quarterly Report on Form 10-Q of South Plains Financial, Inc. (the “Company”) for the quarter ended September 30, 2019 (the “Report”), as filed with the Securities and Exchange Commission on the date hereof, I certify, pursuant to 18 U.S.C. § 1350, as adopted pursuant to § 906 of the Sarbanes-Oxley Act of 2002, that to the best of my knowledge:</w:t>
      </w:r>
    </w:p>
    <w:p>
      <w:pPr>
        <w:spacing w:after="0" w:line="21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2019</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B. Crockett</w:t>
            </w:r>
          </w:p>
        </w:tc>
      </w:tr>
      <w:tr>
        <w:trPr>
          <w:trHeight w:val="198"/>
        </w:trPr>
        <w:tc>
          <w:tcPr>
            <w:tcW w:w="38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Steven B. Crockett</w:t>
            </w:r>
          </w:p>
        </w:tc>
      </w:tr>
      <w:tr>
        <w:trPr>
          <w:trHeight w:val="234"/>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601"/>
        </w:trPr>
        <w:tc>
          <w:tcPr>
            <w:tcW w:w="38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65" Type="http://schemas.openxmlformats.org/officeDocument/2006/relationships/hyperlink" Target="http://www.sec.gov/Archives/edgar/data/1163668/000114036119013399/ex2_1.htm" TargetMode="External"/><Relationship Id="rId66" Type="http://schemas.openxmlformats.org/officeDocument/2006/relationships/hyperlink" Target="http://www.sec.gov/Archives/edgar/data/1163668/000114036119007042/s002614x4_ex3-1.htm" TargetMode="External"/><Relationship Id="rId67" Type="http://schemas.openxmlformats.org/officeDocument/2006/relationships/hyperlink" Target="http://www.sec.gov/Archives/edgar/data/1163668/000114036119007042/s002614x4_ex3-2.htm" TargetMode="External"/><Relationship Id="rId68" Type="http://schemas.openxmlformats.org/officeDocument/2006/relationships/hyperlink" Target="http://www.sec.gov/Archives/edgar/data/1163668/000114036119013399/ex10_1.htm" TargetMode="External"/><Relationship Id="rId69" Type="http://schemas.openxmlformats.org/officeDocument/2006/relationships/hyperlink" Target="http://www.sec.gov/Archives/edgar/data/1163668/000114036119013399/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2019-12-28T01:30:04Z</dcterms:created>
  <dcterms:modified xsi:type="dcterms:W3CDTF">2019-12-28T01:30:04Z</dcterms:modified>
</cp:coreProperties>
</file>