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1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2020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2520"/>
        <w:spacing w:after="0"/>
        <w:rPr>
          <w:sz w:val="20"/>
          <w:szCs w:val="20"/>
          <w:color w:val="auto"/>
        </w:rPr>
      </w:pPr>
      <w:r>
        <w:rPr>
          <w:rFonts w:ascii="Arial" w:cs="Arial" w:eastAsia="Arial" w:hAnsi="Arial"/>
          <w:sz w:val="22"/>
          <w:szCs w:val="22"/>
          <w:b w:val="1"/>
          <w:bCs w:val="1"/>
          <w:color w:val="auto"/>
        </w:rPr>
        <w:t>For the transition period from ______________ to_______________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001-38895</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8"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850"/>
              <w:spacing w:after="0"/>
              <w:rPr>
                <w:sz w:val="20"/>
                <w:szCs w:val="20"/>
                <w:color w:val="auto"/>
              </w:rPr>
            </w:pPr>
            <w:r>
              <w:rPr>
                <w:rFonts w:ascii="Arial" w:cs="Arial" w:eastAsia="Arial" w:hAnsi="Arial"/>
                <w:sz w:val="18"/>
                <w:szCs w:val="18"/>
                <w:b w:val="1"/>
                <w:bCs w:val="1"/>
                <w:color w:val="auto"/>
              </w:rPr>
              <w:t>75-2453320</w:t>
            </w:r>
          </w:p>
        </w:tc>
      </w:tr>
      <w:tr>
        <w:trPr>
          <w:trHeight w:val="23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6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16"/>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1050"/>
              <w:spacing w:after="0"/>
              <w:rPr>
                <w:sz w:val="20"/>
                <w:szCs w:val="20"/>
                <w:color w:val="auto"/>
              </w:rPr>
            </w:pPr>
            <w:r>
              <w:rPr>
                <w:rFonts w:ascii="Arial" w:cs="Arial" w:eastAsia="Arial" w:hAnsi="Arial"/>
                <w:sz w:val="18"/>
                <w:szCs w:val="18"/>
                <w:b w:val="1"/>
                <w:bCs w:val="1"/>
                <w:color w:val="auto"/>
              </w:rPr>
              <w:t>79407</w:t>
            </w:r>
          </w:p>
        </w:tc>
      </w:tr>
      <w:tr>
        <w:trPr>
          <w:trHeight w:val="23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60" w:type="dxa"/>
            <w:vAlign w:val="bottom"/>
          </w:tcPr>
          <w:p>
            <w:pPr>
              <w:jc w:val="center"/>
              <w:ind w:left="950"/>
              <w:spacing w:after="0"/>
              <w:rPr>
                <w:sz w:val="20"/>
                <w:szCs w:val="20"/>
                <w:color w:val="auto"/>
              </w:rPr>
            </w:pPr>
            <w:r>
              <w:rPr>
                <w:rFonts w:ascii="Arial" w:cs="Arial" w:eastAsia="Arial" w:hAnsi="Arial"/>
                <w:sz w:val="18"/>
                <w:szCs w:val="18"/>
                <w:b w:val="1"/>
                <w:bCs w:val="1"/>
                <w:color w:val="auto"/>
                <w:w w:val="94"/>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 (806) 792-7101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Trading Symbol(s)</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34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320" w:type="dxa"/>
            <w:vAlign w:val="bottom"/>
          </w:tcPr>
          <w:p>
            <w:pPr>
              <w:spacing w:after="0"/>
              <w:rPr>
                <w:sz w:val="20"/>
                <w:szCs w:val="20"/>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12(g) of the Act: None</w:t>
      </w:r>
    </w:p>
    <w:p>
      <w:pPr>
        <w:spacing w:after="0" w:line="207" w:lineRule="exact"/>
        <w:rPr>
          <w:sz w:val="24"/>
          <w:szCs w:val="24"/>
          <w:color w:val="auto"/>
        </w:rPr>
      </w:pPr>
    </w:p>
    <w:p>
      <w:pPr>
        <w:spacing w:after="0" w:line="297"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22"/>
          <w:szCs w:val="22"/>
          <w:color w:val="auto"/>
        </w:rPr>
        <w:t>☐</w:t>
      </w:r>
      <w:r>
        <w:rPr>
          <w:rFonts w:ascii="Arial" w:cs="Arial" w:eastAsia="Arial" w:hAnsi="Arial"/>
          <w:sz w:val="22"/>
          <w:szCs w:val="22"/>
          <w:color w:val="auto"/>
        </w:rPr>
        <w:t xml:space="preserve"> NO </w:t>
      </w:r>
      <w:r>
        <w:rPr>
          <w:rFonts w:ascii="Arial Unicode MS" w:cs="Arial Unicode MS" w:eastAsia="Arial Unicode MS" w:hAnsi="Arial Unicode MS"/>
          <w:sz w:val="22"/>
          <w:szCs w:val="22"/>
          <w:color w:val="auto"/>
        </w:rPr>
        <w:t>☒</w:t>
      </w:r>
    </w:p>
    <w:p>
      <w:pPr>
        <w:spacing w:after="0" w:line="163" w:lineRule="exact"/>
        <w:rPr>
          <w:sz w:val="24"/>
          <w:szCs w:val="24"/>
          <w:color w:val="auto"/>
        </w:rPr>
      </w:pPr>
    </w:p>
    <w:p>
      <w:pPr>
        <w:spacing w:after="0" w:line="255" w:lineRule="exact"/>
        <w:rPr>
          <w:sz w:val="20"/>
          <w:szCs w:val="20"/>
          <w:color w:val="auto"/>
        </w:rPr>
      </w:pPr>
      <w:r>
        <w:rPr>
          <w:rFonts w:ascii="Arial" w:cs="Arial" w:eastAsia="Arial" w:hAnsi="Arial"/>
          <w:sz w:val="19"/>
          <w:szCs w:val="19"/>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NO </w:t>
      </w:r>
      <w:r>
        <w:rPr>
          <w:rFonts w:ascii="Arial Unicode MS" w:cs="Arial Unicode MS" w:eastAsia="Arial Unicode MS" w:hAnsi="Arial Unicode MS"/>
          <w:sz w:val="19"/>
          <w:szCs w:val="19"/>
          <w:color w:val="auto"/>
        </w:rPr>
        <w:t>☒</w:t>
      </w:r>
    </w:p>
    <w:p>
      <w:pPr>
        <w:spacing w:after="0" w:line="271" w:lineRule="exact"/>
        <w:rPr>
          <w:sz w:val="24"/>
          <w:szCs w:val="24"/>
          <w:color w:val="auto"/>
        </w:rPr>
      </w:pPr>
    </w:p>
    <w:p>
      <w:pPr>
        <w:jc w:val="both"/>
        <w:ind w:right="2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21"/>
          <w:szCs w:val="21"/>
          <w:color w:val="auto"/>
        </w:rPr>
        <w:t>☒</w:t>
      </w:r>
      <w:r>
        <w:rPr>
          <w:rFonts w:ascii="Arial" w:cs="Arial" w:eastAsia="Arial" w:hAnsi="Arial"/>
          <w:sz w:val="21"/>
          <w:szCs w:val="21"/>
          <w:color w:val="auto"/>
        </w:rPr>
        <w:t xml:space="preserve"> NO </w:t>
      </w:r>
      <w:r>
        <w:rPr>
          <w:rFonts w:ascii="Arial Unicode MS" w:cs="Arial Unicode MS" w:eastAsia="Arial Unicode MS" w:hAnsi="Arial Unicode MS"/>
          <w:sz w:val="21"/>
          <w:szCs w:val="21"/>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22"/>
          <w:szCs w:val="22"/>
          <w:color w:val="auto"/>
        </w:rPr>
        <w:t>☒</w:t>
      </w:r>
      <w:r>
        <w:rPr>
          <w:rFonts w:ascii="Arial" w:cs="Arial" w:eastAsia="Arial" w:hAnsi="Arial"/>
          <w:sz w:val="22"/>
          <w:szCs w:val="22"/>
          <w:color w:val="auto"/>
        </w:rPr>
        <w:t xml:space="preserve"> NO </w:t>
      </w:r>
      <w:r>
        <w:rPr>
          <w:rFonts w:ascii="Arial Unicode MS" w:cs="Arial Unicode MS" w:eastAsia="Arial Unicode MS" w:hAnsi="Arial Unicode MS"/>
          <w:sz w:val="22"/>
          <w:szCs w:val="22"/>
          <w:color w:val="auto"/>
        </w:rPr>
        <w:t>☐</w:t>
      </w:r>
    </w:p>
    <w:p>
      <w:pPr>
        <w:spacing w:after="0" w:line="188"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2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9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2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920"/>
              <w:spacing w:after="0"/>
              <w:rPr>
                <w:sz w:val="20"/>
                <w:szCs w:val="20"/>
                <w:color w:val="auto"/>
              </w:rPr>
            </w:pPr>
            <w:r>
              <w:rPr>
                <w:rFonts w:ascii="Arial" w:cs="Arial" w:eastAsia="Arial" w:hAnsi="Arial"/>
                <w:sz w:val="18"/>
                <w:szCs w:val="18"/>
                <w:color w:val="auto"/>
                <w:w w:val="93"/>
              </w:rPr>
              <w:t>Smaller reporting company</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tcPr>
          <w:p>
            <w:pPr>
              <w:ind w:left="1920"/>
              <w:spacing w:after="0"/>
              <w:rPr>
                <w:sz w:val="20"/>
                <w:szCs w:val="20"/>
                <w:color w:val="auto"/>
              </w:rPr>
            </w:pPr>
            <w:r>
              <w:rPr>
                <w:rFonts w:ascii="Arial" w:cs="Arial" w:eastAsia="Arial" w:hAnsi="Arial"/>
                <w:sz w:val="18"/>
                <w:szCs w:val="18"/>
                <w:color w:val="auto"/>
                <w:w w:val="94"/>
              </w:rPr>
              <w:t>Emerging growth company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9"/>
          <w:szCs w:val="19"/>
          <w:color w:val="auto"/>
        </w:rPr>
        <w:t>☐</w:t>
      </w:r>
    </w:p>
    <w:p>
      <w:pPr>
        <w:spacing w:after="0" w:line="189" w:lineRule="exact"/>
        <w:rPr>
          <w:sz w:val="24"/>
          <w:szCs w:val="24"/>
          <w:color w:val="auto"/>
        </w:rPr>
      </w:pPr>
    </w:p>
    <w:p>
      <w:pPr>
        <w:jc w:val="both"/>
        <w:spacing w:after="0" w:line="271" w:lineRule="exact"/>
        <w:rPr>
          <w:sz w:val="20"/>
          <w:szCs w:val="20"/>
          <w:color w:val="auto"/>
        </w:rPr>
      </w:pPr>
      <w:r>
        <w:rPr>
          <w:rFonts w:ascii="Arial" w:cs="Arial" w:eastAsia="Arial" w:hAnsi="Arial"/>
          <w:sz w:val="22"/>
          <w:szCs w:val="22"/>
          <w:color w:val="auto"/>
        </w:rPr>
        <w:t xml:space="preserve">Indicate by check mark whether the registrant has </w:t>
      </w:r>
      <w:r>
        <w:rPr>
          <w:rFonts w:ascii="Arial Unicode MS" w:cs="Arial Unicode MS" w:eastAsia="Arial Unicode MS" w:hAnsi="Arial Unicode MS"/>
          <w:sz w:val="22"/>
          <w:szCs w:val="22"/>
          <w:color w:val="auto"/>
        </w:rPr>
        <w:t></w:t>
      </w:r>
      <w:r>
        <w:rPr>
          <w:rFonts w:ascii="Arial" w:cs="Arial" w:eastAsia="Arial" w:hAnsi="Arial"/>
          <w:sz w:val="22"/>
          <w:szCs w:val="22"/>
          <w:color w:val="auto"/>
        </w:rPr>
        <w:t>led a report on and attestation to its management’s assessment of the e</w:t>
      </w:r>
      <w:r>
        <w:rPr>
          <w:rFonts w:ascii="Arial Unicode MS" w:cs="Arial Unicode MS" w:eastAsia="Arial Unicode MS" w:hAnsi="Arial Unicode MS"/>
          <w:sz w:val="22"/>
          <w:szCs w:val="22"/>
          <w:color w:val="auto"/>
        </w:rPr>
        <w:t>ﬀ</w:t>
      </w:r>
      <w:r>
        <w:rPr>
          <w:rFonts w:ascii="Arial" w:cs="Arial" w:eastAsia="Arial" w:hAnsi="Arial"/>
          <w:sz w:val="22"/>
          <w:szCs w:val="22"/>
          <w:color w:val="auto"/>
        </w:rPr>
        <w:t xml:space="preserve">ectiveness of its internal control over </w:t>
      </w:r>
      <w:r>
        <w:rPr>
          <w:rFonts w:ascii="Arial Unicode MS" w:cs="Arial Unicode MS" w:eastAsia="Arial Unicode MS" w:hAnsi="Arial Unicode MS"/>
          <w:sz w:val="22"/>
          <w:szCs w:val="22"/>
          <w:color w:val="auto"/>
        </w:rPr>
        <w:t></w:t>
      </w:r>
      <w:r>
        <w:rPr>
          <w:rFonts w:ascii="Arial" w:cs="Arial" w:eastAsia="Arial" w:hAnsi="Arial"/>
          <w:sz w:val="22"/>
          <w:szCs w:val="22"/>
          <w:color w:val="auto"/>
        </w:rPr>
        <w:t xml:space="preserve">nancial reporting under Section 404(b) of the Sarbanes-Oxley Act (15 U.S.C. 7262(b)) by the registered public accounting </w:t>
      </w:r>
      <w:r>
        <w:rPr>
          <w:rFonts w:ascii="Arial Unicode MS" w:cs="Arial Unicode MS" w:eastAsia="Arial Unicode MS" w:hAnsi="Arial Unicode MS"/>
          <w:sz w:val="22"/>
          <w:szCs w:val="22"/>
          <w:color w:val="auto"/>
        </w:rPr>
        <w:t></w:t>
      </w:r>
      <w:r>
        <w:rPr>
          <w:rFonts w:ascii="Arial" w:cs="Arial" w:eastAsia="Arial" w:hAnsi="Arial"/>
          <w:sz w:val="22"/>
          <w:szCs w:val="22"/>
          <w:color w:val="auto"/>
        </w:rPr>
        <w:t xml:space="preserve">rm that prepared or issued its audit report. </w:t>
      </w:r>
      <w:r>
        <w:rPr>
          <w:rFonts w:ascii="Arial Unicode MS" w:cs="Arial Unicode MS" w:eastAsia="Arial Unicode MS" w:hAnsi="Arial Unicode MS"/>
          <w:sz w:val="22"/>
          <w:szCs w:val="22"/>
          <w:color w:val="auto"/>
        </w:rPr>
        <w:t>☐</w:t>
      </w:r>
    </w:p>
    <w:p>
      <w:pPr>
        <w:sectPr>
          <w:pgSz w:w="11900" w:h="16857" w:orient="portrait"/>
          <w:cols w:equalWidth="0" w:num="1">
            <w:col w:w="11240"/>
          </w:cols>
          <w:pgMar w:left="320" w:top="535" w:right="339" w:bottom="0" w:gutter="0" w:footer="0" w:header="0"/>
        </w:sectPr>
      </w:pPr>
    </w:p>
    <w:bookmarkStart w:id="1" w:name="page2"/>
    <w:bookmarkEnd w:id="1"/>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The aggregate market value of the voting and non-voting common equity held by non-affiliates of the registrant, based on the closing price of the shares of common stock on The NASDAQ Stock Market, LLC on June 30, 2020, was $191.4 million.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The number of shares of registrant’s common stock outstanding as of March 10, 2021 was 18,044,388.</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DOCUMENTS INCORPORATED BY REFERENCE</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Portions of the registrant’s Definitive Proxy Statement relating to the Annual Meeting of Shareholders, scheduled to be held on May 18,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960" w:type="dxa"/>
            <w:vAlign w:val="bottom"/>
          </w:tcPr>
          <w:p>
            <w:pPr>
              <w:spacing w:after="0"/>
              <w:rPr>
                <w:sz w:val="24"/>
                <w:szCs w:val="24"/>
                <w:color w:val="auto"/>
              </w:rPr>
            </w:pPr>
          </w:p>
        </w:tc>
        <w:tc>
          <w:tcPr>
            <w:tcW w:w="9160" w:type="dxa"/>
            <w:vAlign w:val="bottom"/>
          </w:tcPr>
          <w:p>
            <w:pPr>
              <w:ind w:left="3500"/>
              <w:spacing w:after="0"/>
              <w:rPr>
                <w:sz w:val="20"/>
                <w:szCs w:val="20"/>
                <w:color w:val="auto"/>
              </w:rPr>
            </w:pPr>
            <w:r>
              <w:rPr>
                <w:rFonts w:ascii="Arial" w:cs="Arial" w:eastAsia="Arial" w:hAnsi="Arial"/>
                <w:sz w:val="22"/>
                <w:szCs w:val="22"/>
                <w:b w:val="1"/>
                <w:bCs w:val="1"/>
                <w:color w:val="auto"/>
              </w:rPr>
              <w:t>TABLE OF CONTENTS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160" w:type="dxa"/>
            <w:vAlign w:val="bottom"/>
          </w:tcPr>
          <w:p>
            <w:pPr>
              <w:spacing w:after="0"/>
              <w:rPr>
                <w:sz w:val="24"/>
                <w:szCs w:val="2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960" w:type="dxa"/>
            <w:vAlign w:val="bottom"/>
            <w:vMerge w:val="continue"/>
          </w:tcPr>
          <w:p>
            <w:pPr>
              <w:spacing w:after="0"/>
              <w:rPr>
                <w:sz w:val="18"/>
                <w:szCs w:val="18"/>
                <w:color w:val="auto"/>
              </w:rPr>
            </w:pPr>
          </w:p>
        </w:tc>
        <w:tc>
          <w:tcPr>
            <w:tcW w:w="9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1.</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1A</w:t>
            </w:r>
          </w:p>
        </w:tc>
        <w:tc>
          <w:tcPr>
            <w:tcW w:w="916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1B</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Unresolved Staff Comments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2.</w:t>
            </w:r>
          </w:p>
        </w:tc>
        <w:tc>
          <w:tcPr>
            <w:tcW w:w="9160" w:type="dxa"/>
            <w:vAlign w:val="bottom"/>
          </w:tcPr>
          <w:p>
            <w:pPr>
              <w:ind w:left="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Properties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3.</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Legal Proceedings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4.</w:t>
            </w:r>
          </w:p>
        </w:tc>
        <w:tc>
          <w:tcPr>
            <w:tcW w:w="9160" w:type="dxa"/>
            <w:vAlign w:val="bottom"/>
          </w:tcPr>
          <w:p>
            <w:pPr>
              <w:ind w:left="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Mine Safety Disclosures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5.</w:t>
            </w:r>
          </w:p>
        </w:tc>
        <w:tc>
          <w:tcPr>
            <w:tcW w:w="9160" w:type="dxa"/>
            <w:vAlign w:val="bottom"/>
          </w:tcPr>
          <w:p>
            <w:pPr>
              <w:ind w:left="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6.</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Selected Financial Data</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7.</w:t>
            </w:r>
          </w:p>
        </w:tc>
        <w:tc>
          <w:tcPr>
            <w:tcW w:w="9160" w:type="dxa"/>
            <w:vAlign w:val="bottom"/>
          </w:tcPr>
          <w:p>
            <w:pPr>
              <w:ind w:left="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7A.</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Quantitative and Qualitative Disclosures About Market Risk</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8.</w:t>
            </w:r>
          </w:p>
        </w:tc>
        <w:tc>
          <w:tcPr>
            <w:tcW w:w="9160" w:type="dxa"/>
            <w:vAlign w:val="bottom"/>
          </w:tcPr>
          <w:p>
            <w:pPr>
              <w:ind w:left="8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Financial Statements and Supplementary Data</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9.</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Changes in and Disagreements With Accountants on Accounting and Financial Disclosure</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102</w:t>
            </w: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9A.</w:t>
            </w:r>
          </w:p>
        </w:tc>
        <w:tc>
          <w:tcPr>
            <w:tcW w:w="9160" w:type="dxa"/>
            <w:vAlign w:val="bottom"/>
          </w:tcPr>
          <w:p>
            <w:pPr>
              <w:ind w:left="8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Controls and Procedures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102</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9B.</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Other Information</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10.</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Directors, Executive Officers and Corporate Governance</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11.</w:t>
            </w:r>
          </w:p>
        </w:tc>
        <w:tc>
          <w:tcPr>
            <w:tcW w:w="9160" w:type="dxa"/>
            <w:vAlign w:val="bottom"/>
          </w:tcPr>
          <w:p>
            <w:pPr>
              <w:ind w:left="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Executive Compensation</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12.</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Security Ownership of Certain Beneficial Owners and Management and Related Stockholder Matters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13.</w:t>
            </w:r>
          </w:p>
        </w:tc>
        <w:tc>
          <w:tcPr>
            <w:tcW w:w="9160" w:type="dxa"/>
            <w:vAlign w:val="bottom"/>
          </w:tcPr>
          <w:p>
            <w:pPr>
              <w:ind w:left="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Certain Relationships and Related Transactions, and Director Independence</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14.</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Principal Accounting Fees and Services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15.</w:t>
            </w:r>
          </w:p>
        </w:tc>
        <w:tc>
          <w:tcPr>
            <w:tcW w:w="9160" w:type="dxa"/>
            <w:vAlign w:val="bottom"/>
            <w:shd w:val="clear" w:color="auto" w:fill="CCEEFF"/>
          </w:tcPr>
          <w:p>
            <w:pPr>
              <w:ind w:left="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Exhibits, Financial Statement Schedules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Item 16.</w:t>
            </w:r>
          </w:p>
        </w:tc>
        <w:tc>
          <w:tcPr>
            <w:tcW w:w="9160" w:type="dxa"/>
            <w:vAlign w:val="bottom"/>
          </w:tcPr>
          <w:p>
            <w:pPr>
              <w:ind w:left="8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Form 10-K Summary</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106</w:t>
            </w: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SIGNATURES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0" w:type="dxa"/>
            <w:vAlign w:val="bottom"/>
          </w:tcPr>
          <w:p>
            <w:pPr>
              <w:spacing w:after="0"/>
              <w:rPr>
                <w:sz w:val="1"/>
                <w:szCs w:val="1"/>
                <w:color w:val="auto"/>
              </w:rPr>
            </w:pPr>
          </w:p>
        </w:tc>
      </w:tr>
      <w:tr>
        <w:trPr>
          <w:trHeight w:val="582"/>
        </w:trPr>
        <w:tc>
          <w:tcPr>
            <w:tcW w:w="960" w:type="dxa"/>
            <w:vAlign w:val="bottom"/>
          </w:tcPr>
          <w:p>
            <w:pPr>
              <w:spacing w:after="0"/>
              <w:rPr>
                <w:sz w:val="24"/>
                <w:szCs w:val="24"/>
                <w:color w:val="auto"/>
              </w:rPr>
            </w:pPr>
          </w:p>
        </w:tc>
        <w:tc>
          <w:tcPr>
            <w:tcW w:w="9160" w:type="dxa"/>
            <w:vAlign w:val="bottom"/>
          </w:tcPr>
          <w:p>
            <w:pPr>
              <w:ind w:left="4620"/>
              <w:spacing w:after="0"/>
              <w:rPr>
                <w:sz w:val="20"/>
                <w:szCs w:val="20"/>
                <w:color w:val="auto"/>
              </w:rPr>
            </w:pPr>
            <w:r>
              <w:rPr>
                <w:rFonts w:ascii="Arial" w:cs="Arial" w:eastAsia="Arial" w:hAnsi="Arial"/>
                <w:sz w:val="14"/>
                <w:szCs w:val="14"/>
                <w:color w:val="auto"/>
              </w:rPr>
              <w:t>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960" w:type="dxa"/>
            <w:vAlign w:val="bottom"/>
            <w:tcBorders>
              <w:bottom w:val="single" w:sz="8" w:color="auto"/>
            </w:tcBorders>
          </w:tcPr>
          <w:p>
            <w:pPr>
              <w:spacing w:after="0"/>
              <w:rPr>
                <w:sz w:val="4"/>
                <w:szCs w:val="4"/>
                <w:color w:val="auto"/>
              </w:rPr>
            </w:pPr>
          </w:p>
        </w:tc>
        <w:tc>
          <w:tcPr>
            <w:tcW w:w="9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This Annual Report on Form 10-K (“Report”) contains statements that we believe are “forward-looking statements” within the meaning of Section 27A of the Securities Act of 1933, as amended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8" w:lineRule="exact"/>
        <w:rPr>
          <w:sz w:val="20"/>
          <w:szCs w:val="20"/>
          <w:color w:val="auto"/>
        </w:rPr>
      </w:pPr>
    </w:p>
    <w:p>
      <w:pPr>
        <w:ind w:right="460" w:firstLine="324"/>
        <w:spacing w:after="0" w:line="250" w:lineRule="auto"/>
        <w:rPr>
          <w:sz w:val="20"/>
          <w:szCs w:val="20"/>
          <w:color w:val="auto"/>
        </w:rPr>
      </w:pPr>
      <w:r>
        <w:rPr>
          <w:rFonts w:ascii="Arial" w:cs="Arial" w:eastAsia="Arial" w:hAnsi="Arial"/>
          <w:sz w:val="22"/>
          <w:szCs w:val="22"/>
          <w:color w:val="auto"/>
        </w:rPr>
        <w:t>There are or will be important factors that could cause our actual results to differ materially from those indicated in these forward-looking statements, including, but not limited to, the following:</w:t>
      </w:r>
    </w:p>
    <w:p>
      <w:pPr>
        <w:spacing w:after="0" w:line="20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execute our expansion strategy and manage our growth, including identifying and consummating suitable acquisitions;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and economic conditions, particularly those affecting our market areas, as well as the concentration of our business in such market areas;</w:t>
      </w:r>
    </w:p>
    <w:p>
      <w:pPr>
        <w:spacing w:after="0" w:line="275"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duration and severity of the ongoing COVID-19 pandemic, the response of governmental authorities to the COVID-19 pandemic and our participation in COVID-19-related government programs such as the Paycheck Protection Program (the “PPP”) administered by the Small Business Administration (the “SBA”) and created under the Coronavirus Aid, Relief, and Economic Security Act (the “CARES Act”);</w:t>
      </w:r>
    </w:p>
    <w:p>
      <w:pPr>
        <w:spacing w:after="0" w:line="19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the sale of crop insurance products, including termination of or substantial changes to the federal crop insurance program;</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ectPr>
          <w:pgSz w:w="11900" w:h="16838" w:orient="portrait"/>
          <w:cols w:equalWidth="0" w:num="1">
            <w:col w:w="11240"/>
          </w:cols>
          <w:pgMar w:left="320" w:top="122" w:right="3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employee error, fraudulent activity by employees or customers and inaccurate or incomplete information about our customers and counterparties;</w:t>
      </w:r>
    </w:p>
    <w:p>
      <w:pPr>
        <w:spacing w:after="0" w:line="27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coronavirus), other international or domestic calamities, and other matters beyond our control;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tariffs and trade barriers;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Biden administration.</w:t>
      </w:r>
    </w:p>
    <w:p>
      <w:pPr>
        <w:spacing w:after="0" w:line="203" w:lineRule="exact"/>
        <w:rPr>
          <w:sz w:val="20"/>
          <w:szCs w:val="20"/>
          <w:color w:val="auto"/>
        </w:rPr>
      </w:pPr>
    </w:p>
    <w:p>
      <w:pPr>
        <w:ind w:right="80" w:firstLine="324"/>
        <w:spacing w:after="0" w:line="275" w:lineRule="auto"/>
        <w:rPr>
          <w:sz w:val="20"/>
          <w:szCs w:val="20"/>
          <w:color w:val="auto"/>
        </w:rPr>
      </w:pPr>
      <w:r>
        <w:rPr>
          <w:rFonts w:ascii="Arial" w:cs="Arial" w:eastAsia="Arial" w:hAnsi="Arial"/>
          <w:sz w:val="19"/>
          <w:szCs w:val="19"/>
          <w:color w:val="auto"/>
        </w:rPr>
        <w:t>The foregoing factors should not be construed as exhaustive and should be read together with the other cautionary statements included in this Report and the “Risk Factors” set forth under Part I, Item IA of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South Plains Financial, Inc. (the “Company” or “SPFI”) is a bank holding company headquartered in Lubbock, Texas, and City Bank, SPFI’s wholly-owned banking subsidiary, is one of the largest independent banks in West Texas (“City Bank” or “Bank”). The Company is hereafter collectively referred to as “we,” “us” or “our.”</w:t>
      </w:r>
    </w:p>
    <w:p>
      <w:pPr>
        <w:spacing w:after="0" w:line="213"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70"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We had total assets of $3.60 billion, gross loans held for investment of $2.22 billion, total deposits of $2.97 billion, and total shareholders’ equity of $370.0 million as of December 31, 2020.</w:t>
      </w:r>
    </w:p>
    <w:p>
      <w:pPr>
        <w:spacing w:after="0" w:line="202"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Our history dates back nearly 80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 We acquired West Texas State Bank of Odessa, Texas, approximately $430 million in assets, in 2019 and merged it into the Bank.</w:t>
      </w:r>
    </w:p>
    <w:p>
      <w:pPr>
        <w:spacing w:after="0" w:line="182"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We currently operate 25 full-service banking locations across seven geographic markets resulting from six acquisitions, de novo branches, and the formation of a de novo bank in Ruidoso, New Mexico, which we later merged into the Bank. We also operate 13 loan production offices both in our banking markets and in certain key areas in Texas that focus on mortgage loan origination.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the markets that we serve.</w:t>
      </w:r>
    </w:p>
    <w:p>
      <w:pPr>
        <w:spacing w:after="0" w:line="177" w:lineRule="exact"/>
        <w:rPr>
          <w:sz w:val="20"/>
          <w:szCs w:val="20"/>
          <w:color w:val="auto"/>
        </w:rPr>
      </w:pPr>
    </w:p>
    <w:p>
      <w:pPr>
        <w:jc w:val="both"/>
        <w:ind w:right="20" w:firstLine="323"/>
        <w:spacing w:after="0" w:line="250" w:lineRule="auto"/>
        <w:rPr>
          <w:sz w:val="20"/>
          <w:szCs w:val="20"/>
          <w:color w:val="auto"/>
        </w:rPr>
      </w:pPr>
      <w:r>
        <w:rPr>
          <w:rFonts w:ascii="Arial" w:cs="Arial" w:eastAsia="Arial" w:hAnsi="Arial"/>
          <w:sz w:val="22"/>
          <w:szCs w:val="22"/>
          <w:color w:val="auto"/>
        </w:rPr>
        <w:t>We operate in two reportable segments of business, community banking, which includes City Bank, our sole banking subsidiary, and insurance, which includes Windmark Insurance Agency, Inc. (“Windmark”).</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Activities</w:t>
      </w:r>
    </w:p>
    <w:p>
      <w:pPr>
        <w:spacing w:after="0" w:line="239" w:lineRule="exact"/>
        <w:rPr>
          <w:sz w:val="20"/>
          <w:szCs w:val="20"/>
          <w:color w:val="auto"/>
        </w:rPr>
      </w:pPr>
    </w:p>
    <w:p>
      <w:pPr>
        <w:jc w:val="both"/>
        <w:ind w:firstLine="323"/>
        <w:spacing w:after="0" w:line="236" w:lineRule="auto"/>
        <w:rPr>
          <w:sz w:val="20"/>
          <w:szCs w:val="20"/>
          <w:color w:val="auto"/>
        </w:rPr>
      </w:pPr>
      <w:r>
        <w:rPr>
          <w:rFonts w:ascii="Arial" w:cs="Arial" w:eastAsia="Arial" w:hAnsi="Arial"/>
          <w:sz w:val="22"/>
          <w:szCs w:val="22"/>
          <w:color w:val="auto"/>
        </w:rPr>
        <w:t>On July 25, 2019, we entered into an Agreement and Plan of Merger with West Texas State Bank, a Texas banking association (“WTSB”), providing for our acquisition of WTSB through the merger of SPFI Merger Sub, Inc., a Texas corporation and wholly-owned subsidiary of SPFI, with and into WTSB, with WTSB continuing as the surviving entity and thereafter being a wholly-owned subsidiary of SPFI. The merger was consummated on November 12, 2019 and WTSB merged with and into City Bank, with City Bank surviving the merger.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Area</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operate in the following markets (deposit information is as of December 31, 2020):</w:t>
      </w:r>
    </w:p>
    <w:p>
      <w:pPr>
        <w:spacing w:after="0" w:line="233"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u w:val="single" w:color="auto"/>
          <w:color w:val="auto"/>
        </w:rPr>
        <w:t>Lubbock/South Plains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We operate 10 branches holding $1.9 billion of deposits in the Lubbock MSA and the surrounding South Plains region.</w:t>
      </w:r>
    </w:p>
    <w:p>
      <w:pPr>
        <w:spacing w:after="0" w:line="202" w:lineRule="exact"/>
        <w:rPr>
          <w:sz w:val="20"/>
          <w:szCs w:val="20"/>
          <w:color w:val="auto"/>
        </w:rPr>
      </w:pPr>
    </w:p>
    <w:p>
      <w:pPr>
        <w:ind w:right="800"/>
        <w:spacing w:after="0" w:line="250" w:lineRule="auto"/>
        <w:rPr>
          <w:sz w:val="20"/>
          <w:szCs w:val="20"/>
          <w:color w:val="auto"/>
        </w:rPr>
      </w:pPr>
      <w:r>
        <w:rPr>
          <w:rFonts w:ascii="Arial" w:cs="Arial" w:eastAsia="Arial" w:hAnsi="Arial"/>
          <w:sz w:val="22"/>
          <w:szCs w:val="22"/>
          <w:u w:val="single" w:color="auto"/>
          <w:color w:val="auto"/>
        </w:rPr>
        <w:t>Dallas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We operate three branches with $367.5 million of deposits and seven mortgage offices in the Dallas-Fort Worth-Arlington MSA, which we refer to as the Dallas-Fort Worth metroplex.</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El Paso</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We operate two bank branches with $156.7 million of deposits and one mortgage office in the El Paso MSA.</w:t>
      </w:r>
    </w:p>
    <w:p>
      <w:pPr>
        <w:spacing w:after="0" w:line="24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u w:val="single" w:color="auto"/>
          <w:color w:val="auto"/>
        </w:rPr>
        <w:t>Houston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We operate one branch with $33.8 million of deposits in the Houston-The Woodlands-Sugarland MSA, which we refer to as Greater Houston. This branch is located in the city of Houston.</w:t>
      </w:r>
    </w:p>
    <w:p>
      <w:pPr>
        <w:sectPr>
          <w:pgSz w:w="11900" w:h="16838" w:orient="portrait"/>
          <w:cols w:equalWidth="0" w:num="1">
            <w:col w:w="11240"/>
          </w:cols>
          <w:pgMar w:left="320" w:top="121" w:right="339" w:bottom="197"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97"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u w:val="single" w:color="auto"/>
          <w:color w:val="auto"/>
        </w:rPr>
        <w:t>Bryan/College Station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We operate one branch and one mortgage office in the city of College Station, Texas, which has $62.5 million in deposits. We refer to the Bryan-College Station MSA as Bryan/College Station.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Permian Basin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We operate six branches with $270.9 million of deposits in the Permian Basin region of Texas.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Ruidoso/Eastern New Mexico</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We operate two branches with $144.1 million of deposits in the village of Ruidoso, New Mexico.</w:t>
      </w:r>
    </w:p>
    <w:p>
      <w:pPr>
        <w:spacing w:after="0" w:line="268"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We believe our exposure to these dynamic and complementary markets provides us with economic diversification and the opportunity for expansion across Texas and New Mexico.</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9"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insurance companies,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215"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Resources</w:t>
      </w:r>
    </w:p>
    <w:p>
      <w:pPr>
        <w:spacing w:after="0" w:line="239"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As of December 31, 2020, we had approximately 682 total employees, which included 623 full-time employees and 59 part-time employees. None of our employees are covered under a collective bargaining agreement and management considers its employee relations to be satisfactory.</w:t>
      </w:r>
    </w:p>
    <w:p>
      <w:pPr>
        <w:spacing w:after="0" w:line="213"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believe our ability to attract and retain employees is a key to our success. Accordingly, we strive to offer competitive salaries and employee benefits to all employees and monitor salaries in our market areas. In addition to competitive base salaries and benefits, additional employee programs include annual bonus opportunities, Company matched 401(k) Plan, healthcare and insurance benefits, health savings and flexible spending accounts, long term care and long term disability benefits, life insurance benefits, a robust wellness program, and paid time off.</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Lending Activities</w:t>
      </w:r>
    </w:p>
    <w:p>
      <w:pPr>
        <w:spacing w:after="0" w:line="23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b w:val="1"/>
          <w:bCs w:val="1"/>
          <w:i w:val="1"/>
          <w:iCs w:val="1"/>
          <w:color w:val="auto"/>
        </w:rPr>
        <w:t>General</w:t>
      </w:r>
      <w:r>
        <w:rPr>
          <w:rFonts w:ascii="Arial" w:cs="Arial" w:eastAsia="Arial" w:hAnsi="Arial"/>
          <w:sz w:val="22"/>
          <w:szCs w:val="22"/>
          <w:color w:val="auto"/>
        </w:rPr>
        <w:t>. We adhere to what we believe are disciplined underwriting standards, but also remain cognizant of serving the credit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needs of customers in 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These components, together with active credit management, are the foundation of our credit culture, which we believe is critical to enhancing the long-term value of our organization to our customers, employees, shareholders and communities.</w:t>
      </w:r>
    </w:p>
    <w:p>
      <w:pPr>
        <w:spacing w:after="0" w:line="218"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b w:val="1"/>
          <w:bCs w:val="1"/>
          <w:i w:val="1"/>
          <w:iCs w:val="1"/>
          <w:color w:val="auto"/>
        </w:rPr>
        <w:t>Credit Concentrations</w:t>
      </w:r>
      <w:r>
        <w:rPr>
          <w:rFonts w:ascii="Arial" w:cs="Arial" w:eastAsia="Arial" w:hAnsi="Arial"/>
          <w:sz w:val="19"/>
          <w:szCs w:val="19"/>
          <w:color w:val="auto"/>
        </w:rPr>
        <w:t>. In connection with the management of our credit portfolio, we actively manage the composition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loan portfolio, including credit concentrations. Our loan approval policies establish concentrations limits with respect to industry and loan product type to enhance portfolio diversification. Commercial real estate concentrations are monitored by the Board of Directors (“Board”) of the Bank, at least quarterly and the limits are reviewed bi-monthly as part of our credit analytics Board Credit Risk Committee program. The Board Credit Risk Committee is comprised of outside directors and two Bank officers, including the Chairman of the Board and the Bank’s Chief Executive Officer.</w:t>
      </w:r>
    </w:p>
    <w:p>
      <w:pPr>
        <w:sectPr>
          <w:pgSz w:w="11900" w:h="16838" w:orient="portrait"/>
          <w:cols w:equalWidth="0" w:num="1">
            <w:col w:w="11240"/>
          </w:cols>
          <w:pgMar w:left="320" w:top="121" w:right="3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b w:val="1"/>
          <w:bCs w:val="1"/>
          <w:i w:val="1"/>
          <w:iCs w:val="1"/>
          <w:color w:val="auto"/>
        </w:rPr>
        <w:t>Loan Approval Process</w:t>
      </w:r>
      <w:r>
        <w:rPr>
          <w:rFonts w:ascii="Arial" w:cs="Arial" w:eastAsia="Arial" w:hAnsi="Arial"/>
          <w:sz w:val="21"/>
          <w:szCs w:val="21"/>
          <w:color w:val="auto"/>
        </w:rPr>
        <w:t>. We seek to achieve an appropriate balance between prudent, disciplined underwriting and flexibility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our decision-making and responsiveness to our customers. Our Board requires loans to relationships in excess of $15 million to be approved by the Board Credit Risk Committee. As of December 31, 2020, the Bank had a legal lending limit of approximately $91.7 million. As of that date, our 20 largest borrowing relationships ranged from approximately $13.9 million to $36.7 million (including unfunded commitments) and totaled approximately $421.4 million in total commitments (representing, in the aggregate, 16.1% of our total outstanding commitments).</w:t>
      </w:r>
    </w:p>
    <w:p>
      <w:pPr>
        <w:spacing w:after="0" w:line="204"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Our credit approval policies provide for various levels of officer and senior management lending authority for new credits and renewals, which are based on position, capability and experience. Loans in excess of an individual officer’s lending limit up to $1 million may be approved by one of three senior lending and credit officers. Loans to relationships between $1 million and $15 million are approved by our Lending Market Committee or the Executive Loan Committee depending on size. These limits are reviewed periodically by the Bank’s Board. We believe that our credit approval process provides for thorough underwriting and efficient decision-making.</w:t>
      </w:r>
    </w:p>
    <w:p>
      <w:pPr>
        <w:spacing w:after="0" w:line="21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b w:val="1"/>
          <w:bCs w:val="1"/>
          <w:i w:val="1"/>
          <w:iCs w:val="1"/>
          <w:color w:val="auto"/>
        </w:rPr>
        <w:t>Credit Risk Management</w:t>
      </w:r>
      <w:r>
        <w:rPr>
          <w:rFonts w:ascii="Arial" w:cs="Arial" w:eastAsia="Arial" w:hAnsi="Arial"/>
          <w:sz w:val="19"/>
          <w:szCs w:val="19"/>
          <w:color w:val="auto"/>
        </w:rPr>
        <w:t>. Credit risk management involves a partnership between our loan officers and our credit approval,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credit administration and collections personnel. Loan delinquencies and exceptions are constantly monitored by credit personnel and consultations with lenders occur as often as daily. Our evaluation program for our loan officers includes significant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spacing w:after="0" w:line="174"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Our policies require rapid notification of delinquency and prompt initiation of collection actions. Loan officers, credit administration personnel, and senior management proactively support collection activities.</w:t>
      </w:r>
    </w:p>
    <w:p>
      <w:pPr>
        <w:spacing w:after="0" w:line="202"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In accordance with our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211"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two to three visits per year and, in combination with our internal loan review function, attempts to achieve a combined penetration of at least 60%.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 and lending strategies.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We manage our securities portfolio primarily for liquidity purposes, including depositor and borrower funding requirements and availability as collateral for public fund deposits, with a secondary focus on interest income. Our portfolio is classified as either available-for-sale or held-to-maturity and can be used for pledging on public deposits, selling under repurchase agreements and meeting unforeseen liquidity needs. The investments are a variety of high-grade securities, including government agency securities, government guaranteed mortgage backed securities and municipal securities.</w:t>
      </w:r>
    </w:p>
    <w:p>
      <w:pPr>
        <w:spacing w:after="0" w:line="174"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Our investment policy is reviewed annually by the Bank’s Board. Overall investment goals are established by the Bank’s Board and the Bank’s Investment/Asset Liability Committee. The Bank’s Board has delegated the responsibility of monitoring our investment activities to the Investment/Asset Liability Committee.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of Funds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w:t>
      </w:r>
    </w:p>
    <w:p>
      <w:pPr>
        <w:spacing w:after="0" w:line="233"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21"/>
          <w:szCs w:val="21"/>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ectPr>
          <w:pgSz w:w="11900" w:h="16838" w:orient="portrait"/>
          <w:cols w:equalWidth="0" w:num="1">
            <w:col w:w="11240"/>
          </w:cols>
          <w:pgMar w:left="320" w:top="121" w:right="339" w:bottom="17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Borrowings</w:t>
      </w:r>
    </w:p>
    <w:p>
      <w:pPr>
        <w:spacing w:after="0" w:line="233"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In addition to deposits, we utilize advances from the Federal Home Loan Bank of Dallas (the “FHLB”), and other borrowings, such as a line of credit with the Federal Reserve Bank of Dallas (the “FRB”), uncollateralized lines of credit with multiple banks, subordinated debt securities, and junior subordinated deferrable interest debentures as supplementary funding sources to finance our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Banking Services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Mortgage Banking</w:t>
      </w:r>
    </w:p>
    <w:p>
      <w:pPr>
        <w:spacing w:after="0" w:line="23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Our mortgage originations totaled $1.4 billion for the year ended December 31, 2020. In 2020, we sold approximately 97% of the mortgages we originated. We originate mortgages primarily from our branches or loan production offices in Lubbock, El Paso, College Station, Abilene, Arlington, Austin, Beaumont, Dallas, Dripping Springs, Forney, Fort Worth, Grand Prairie, Houston, Midland, and Southlake, Texas. We refer to our loan production offices as mortgage offices. While our mortgage operation represents a sizable component of our total noninterest income, comprising 64%, or $65.0 million, for the year ended December 31, 2020, we view the mortgage business as an ancillary part of our operations. Within our mortgage origination portfolio, refinances of existing mortgages represented 53% of total mortgage originations in 2020. We retain mortgage servicing rights from time to time when we sell mortgages to third parties. As of December 31, 2020, we serviced $1.2 billion of mortgages that we originated and sold to third parties.</w:t>
      </w:r>
    </w:p>
    <w:p>
      <w:pPr>
        <w:spacing w:after="0" w:line="211"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21"/>
          <w:szCs w:val="21"/>
          <w:color w:val="auto"/>
        </w:rPr>
        <w:t>We leverage a variety of digital reporting tools to increase the efficiency of the underwriting process, enhance loan production and boost overall margins while keeping expenses to a minimum. We have recently added mortgage offices in the Fort Worth metropolitan area and further expansion opportunities will continue to be explored. New market expansion will depend primarily on opportunities to hire and retain high quality loan origination staff.</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Insurance</w:t>
      </w:r>
    </w:p>
    <w:p>
      <w:pPr>
        <w:spacing w:after="0" w:line="23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Windmark Insurance, a wholly-owned subsidiary of the Bank, offers a variety of crop insurance products through our offices in Texas and Colorado and by acting as the general agency for independent agents in 17 states. Windmark Insurance’s operations contributed $7.6 million of total revenues for the year ended December 31, 2020. That revenue was derived from a total premium base of over $122 million. Crop insurance is offered to producers of many different crops from 14 approved providers who operate under agreements with the U.S. Department of Agriculture (“USDA”). We conduct business with five of these approved providers. The USDA shares underwriting losses with those providers and also reimburses them for certain administrative and operational expenses. Our revenue is based on a share of those reimbursements and profit sharing when underwriting losses are minimized by those providers. This program has been in place under prior federal farm bills and has been reauthorized until December 31, 2023 under the recently enacted Agriculture Improvement Act of 2018, more commonly referred to as the 2018 Farm Bill.</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Trust Services</w:t>
      </w:r>
    </w:p>
    <w:p>
      <w:pPr>
        <w:spacing w:after="0" w:line="233" w:lineRule="exact"/>
        <w:rPr>
          <w:sz w:val="20"/>
          <w:szCs w:val="20"/>
          <w:color w:val="auto"/>
        </w:rPr>
      </w:pPr>
    </w:p>
    <w:p>
      <w:pPr>
        <w:jc w:val="both"/>
        <w:ind w:firstLine="323"/>
        <w:spacing w:after="0" w:line="248" w:lineRule="auto"/>
        <w:rPr>
          <w:sz w:val="20"/>
          <w:szCs w:val="20"/>
          <w:color w:val="auto"/>
        </w:rPr>
      </w:pPr>
      <w:r>
        <w:rPr>
          <w:rFonts w:ascii="Arial" w:cs="Arial" w:eastAsia="Arial" w:hAnsi="Arial"/>
          <w:sz w:val="21"/>
          <w:szCs w:val="21"/>
          <w:color w:val="auto"/>
        </w:rPr>
        <w:t>City Bank Trust, a division of City Bank, provides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IRAs, simplified employee pensions plans, ESOPs, defined benefit plans, profit-sharing plans, Keoghs and managed IRAs. Our trust department had $333 million of assets under management at December 31, 2020, and contributed $3.2 million of fee income for the year ended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Investment Services</w:t>
      </w:r>
    </w:p>
    <w:p>
      <w:pPr>
        <w:spacing w:after="0" w:line="233" w:lineRule="exact"/>
        <w:rPr>
          <w:sz w:val="20"/>
          <w:szCs w:val="20"/>
          <w:color w:val="auto"/>
        </w:rPr>
      </w:pPr>
    </w:p>
    <w:p>
      <w:pPr>
        <w:jc w:val="both"/>
        <w:ind w:firstLine="323"/>
        <w:spacing w:after="0" w:line="236" w:lineRule="auto"/>
        <w:rPr>
          <w:sz w:val="20"/>
          <w:szCs w:val="20"/>
          <w:color w:val="auto"/>
        </w:rPr>
      </w:pPr>
      <w:r>
        <w:rPr>
          <w:rFonts w:ascii="Arial" w:cs="Arial" w:eastAsia="Arial" w:hAnsi="Arial"/>
          <w:sz w:val="22"/>
          <w:szCs w:val="22"/>
          <w:color w:val="auto"/>
        </w:rPr>
        <w:t>The Investment Center at City Bank provides a variety of investments offered through Raymond James Financial Services, Inc. (Member FINRA/SIPC) including self-directed IRAs, money market funds, 401(k) plans, mutual funds, annuities and tax-deferred annuities, stocks and bonds, investments for non-U.S. residents, treasury bills, treasury notes and bonds and tax-exempt municipal bonds. Gross revenue for 2020 was $1.7 million with $586.4 million in assets under management at December 31,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SUPERVISION AND REGULATION</w:t>
      </w:r>
    </w:p>
    <w:p>
      <w:pPr>
        <w:spacing w:after="0" w:line="23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Texas Department of Banking (“TDB”), the Federal Reserve, the Federal Deposit Insurance Corporation (“FDIC”), and the Consumer Finance Protection Bureau (“CFPB”). Furthermore, tax laws administered by the Internal Revenue Service (“IRS”), and state taxing authorities, accounting rules developed by the Financial Accounting Standards Board (“FASB”), securities laws administered by the Securities and Exchange Commission (“SEC”), and state securities authorities and anti-money laundering, or AML, laws enforced by the U.S. Department of the Treasury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188"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Deposit Insurance Fund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218"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179"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Capital Requirements</w:t>
      </w:r>
    </w:p>
    <w:p>
      <w:pPr>
        <w:spacing w:after="0" w:line="23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184"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The Basel III Capital Rules require the Bank and the Company, to comply with four minimum capital standards: a tier 1 leverage ratio of at least 4.0%; a common equity tier 1, or CET1, to risk-weighted assets ratio of 4.5%; a tier 1 capital to risk-weighted assets ratio of at least 6.0%; and a total capital to risk-weighted assets ratio of at 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ectPr>
          <w:pgSz w:w="11900" w:h="16838" w:orient="portrait"/>
          <w:cols w:equalWidth="0" w:num="1">
            <w:col w:w="11240"/>
          </w:cols>
          <w:pgMar w:left="320" w:top="122" w:right="339" w:bottom="899"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99"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The Basel III Capital Rules also establish a “capital conservation buffer” of 2.5% above the regulatory minimum risk-based capital requirements. The capital conservation buffer requirement was phased in beginning in January 2016 and, as of January 2019, is now fully implemented. An institution is subject to limitations on certain activities, including payment of dividends, share repurchases and discretionary bonuses to executive officers, if its capital level is below the buffered ratio.</w:t>
      </w:r>
    </w:p>
    <w:p>
      <w:pPr>
        <w:spacing w:after="0" w:line="170"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The Basel III minimum capital ratios as applicable to the Bank, and to the Company, in 2019 after the full phase-in period of the capital conservation buffer are summarized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Basel III</w:t>
            </w: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Basel III</w:t>
            </w: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Basel III</w:t>
            </w:r>
          </w:p>
        </w:tc>
      </w:tr>
      <w:tr>
        <w:trPr>
          <w:trHeight w:val="216"/>
        </w:trPr>
        <w:tc>
          <w:tcPr>
            <w:tcW w:w="72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Minimum</w:t>
            </w: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Additional</w:t>
            </w: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Ratio with</w:t>
            </w:r>
          </w:p>
        </w:tc>
      </w:tr>
      <w:tr>
        <w:trPr>
          <w:trHeight w:val="216"/>
        </w:trPr>
        <w:tc>
          <w:tcPr>
            <w:tcW w:w="72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for Capital</w:t>
            </w: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Capital</w:t>
            </w: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Capital</w:t>
            </w:r>
          </w:p>
        </w:tc>
      </w:tr>
      <w:tr>
        <w:trPr>
          <w:trHeight w:val="216"/>
        </w:trPr>
        <w:tc>
          <w:tcPr>
            <w:tcW w:w="72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Adequacy</w:t>
            </w: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Conservation</w:t>
            </w: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Conservation</w:t>
            </w:r>
          </w:p>
        </w:tc>
      </w:tr>
      <w:tr>
        <w:trPr>
          <w:trHeight w:val="241"/>
        </w:trPr>
        <w:tc>
          <w:tcPr>
            <w:tcW w:w="7220" w:type="dxa"/>
            <w:vAlign w:val="bottom"/>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Purposes</w:t>
            </w:r>
          </w:p>
        </w:tc>
        <w:tc>
          <w:tcPr>
            <w:tcW w:w="13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Buffer</w:t>
            </w: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Buffer</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 (total capital to risk-weighted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Tier 1 risk based capital (tier 1 to risk-weighted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1380" w:type="dxa"/>
            <w:vAlign w:val="bottom"/>
          </w:tcPr>
          <w:p>
            <w:pPr>
              <w:jc w:val="right"/>
              <w:spacing w:after="0"/>
              <w:rPr>
                <w:sz w:val="20"/>
                <w:szCs w:val="20"/>
                <w:color w:val="auto"/>
              </w:rPr>
            </w:pPr>
            <w:r>
              <w:rPr>
                <w:rFonts w:ascii="Arial" w:cs="Arial" w:eastAsia="Arial" w:hAnsi="Arial"/>
                <w:sz w:val="18"/>
                <w:szCs w:val="18"/>
                <w:color w:val="auto"/>
              </w:rPr>
              <w:t>2.50%</w:t>
            </w:r>
          </w:p>
        </w:tc>
        <w:tc>
          <w:tcPr>
            <w:tcW w:w="130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risk based capital (CET1 to risk-weighted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Tier 1 leverage ratio (tier 1 to average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4.00%</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4.00%</w:t>
            </w:r>
          </w:p>
        </w:tc>
      </w:tr>
    </w:tbl>
    <w:p>
      <w:pPr>
        <w:spacing w:after="0" w:line="207"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commercial real estate mortgages. Additional aspects of the Basel III Capital Rules’ risk-weighting requirements that are relevant to the Company and the Bank include:</w:t>
      </w:r>
    </w:p>
    <w:p>
      <w:pPr>
        <w:spacing w:after="0" w:line="195"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assigning exposures secured by single-family residential properties to either a 50% risk weight for first-lien mortgages that meet prudent underwriting standards or a 100% risk weight category for all other mortgages;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applying a 150% risk weight instead of a 100% risk weight for certain high-volatility commercial real estate, or HVCRE, loans, or acquisition, development, and construction, or ADC, loans; and</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203"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As of December 31, 2020, the Company’s and the Bank’s capital ratios exceeded the minimum capital adequacy guideline percentage requirements under the Basel III Capital Rules on a fully phased-in basis.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Community Bank Leverage Ratio</w:t>
      </w:r>
    </w:p>
    <w:p>
      <w:pPr>
        <w:spacing w:after="0" w:line="239"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On September 17, 2019, the federal banking agencies jointly finalized a rule effective as of January 1, 2020 and intended to simplify the regulatory capital requirements described above for qualifying community banking organizations, or QCBO, that opt into the Community Bank Leverage Ratio, or CBLR, framework, as required by Section 201 of the EGRRCPA. The final rule became effective on January 1, 2020, and the CBLR framework became available for banks to use beginning with their March 31, 2020 Call Reports. Under the final rule, if a QCBO opts into the CBLR framework and meets all requirements under the framework, it will be considered to have met the well-capitalized ratio requirements under the Prompt Corrective Action regulations described below and will not be required to report or calculate risk-based capital.</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 QCBO, is defined as a bank, savings association, bank holding company or savings and loan holding company with:</w:t>
      </w:r>
    </w:p>
    <w:p>
      <w:pPr>
        <w:spacing w:after="0" w:line="27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CBLR of greater than 9%;</w:t>
      </w:r>
    </w:p>
    <w:p>
      <w:pPr>
        <w:sectPr>
          <w:pgSz w:w="11900" w:h="16838" w:orient="portrait"/>
          <w:cols w:equalWidth="0" w:num="1">
            <w:col w:w="11240"/>
          </w:cols>
          <w:pgMar w:left="320" w:top="122" w:right="339" w:bottom="76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6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consolidated assets of less than $10 billion;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off-balance sheet exposures (excluding derivatives other than credit derivatives and unconditionally cancelable commitments) of 25% or less of total consolidated assets;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trading assets and trading liabilities of 5% or less of total consolidated assets;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non-advanced approaches institution.</w:t>
      </w:r>
    </w:p>
    <w:p>
      <w:pPr>
        <w:spacing w:after="0" w:line="245"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The numerator of the CBLR is referred to as “CBLR tangible equity” and is calculated as the QCBO’s total capital as reported in compliance with the reporting instructions to the Call Report or the FR Y-9C, or Reporting Instructions (prior to including non-controlling interests in consolidated subsidiaries) less:</w:t>
      </w:r>
    </w:p>
    <w:p>
      <w:pPr>
        <w:spacing w:after="0" w:line="22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Accumulated other comprehensive income, or AOCI;</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Intangible assets, calculated in accordance with Reporting Instructions, other than mortgage servicing assets;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tax assets that arise from net operating loss and tax credit carry forwards net of any related valuations allowances.</w:t>
      </w:r>
    </w:p>
    <w:p>
      <w:pPr>
        <w:spacing w:after="0" w:line="245" w:lineRule="exact"/>
        <w:rPr>
          <w:sz w:val="20"/>
          <w:szCs w:val="20"/>
          <w:color w:val="auto"/>
        </w:rPr>
      </w:pPr>
    </w:p>
    <w:p>
      <w:pPr>
        <w:jc w:val="both"/>
        <w:ind w:right="20" w:firstLine="323"/>
        <w:spacing w:after="0" w:line="250" w:lineRule="auto"/>
        <w:rPr>
          <w:sz w:val="20"/>
          <w:szCs w:val="20"/>
          <w:color w:val="auto"/>
        </w:rPr>
      </w:pPr>
      <w:r>
        <w:rPr>
          <w:rFonts w:ascii="Arial" w:cs="Arial" w:eastAsia="Arial" w:hAnsi="Arial"/>
          <w:sz w:val="22"/>
          <w:szCs w:val="22"/>
          <w:color w:val="auto"/>
        </w:rPr>
        <w:t>The denominator of the CBLR is the QCBO’s average assets, calculated in accordance with Reporting Instructions and less intangible assets and deferred tax assets deducted from CBLR tangible equity.</w:t>
      </w:r>
    </w:p>
    <w:p>
      <w:pPr>
        <w:spacing w:after="0" w:line="202"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However, Section 4012 of the CARES Act required that the CBLR be temporarily lowered to 8%. The federal regulators issued a rule implementing the lower CBLR effective April 23, 2020. The rule also established a two-quarter grace period for a QCBO whose leverage ratio falls below the 8% CBLR requirement so long as the QCBO maintains a leverage ratio of 7% or greater. Another rule was issued to transition back to the 9% CBLR by increasing the ratio to 8.5% for the calendar year 2021 and 9% thereafter. Although the Company and the Bank are QCBOs, the Company and the Bank have currently not elected to opt in to the CBLR framework at this time and will continue to follow the Basel III capital requirements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Prompt Corrective Action</w:t>
      </w:r>
    </w:p>
    <w:p>
      <w:pPr>
        <w:spacing w:after="0" w:line="23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The Federal Deposit Insurance Act (“FDIA”)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w:t>
      </w:r>
    </w:p>
    <w:p>
      <w:pPr>
        <w:spacing w:after="0" w:line="184"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 “Significantly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185"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174"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212" w:lineRule="exact"/>
        <w:rPr>
          <w:sz w:val="20"/>
          <w:szCs w:val="20"/>
          <w:color w:val="auto"/>
        </w:rPr>
      </w:pPr>
    </w:p>
    <w:p>
      <w:pPr>
        <w:jc w:val="both"/>
        <w:ind w:right="20" w:firstLine="323"/>
        <w:spacing w:after="0" w:line="250" w:lineRule="auto"/>
        <w:rPr>
          <w:sz w:val="20"/>
          <w:szCs w:val="20"/>
          <w:color w:val="auto"/>
        </w:rPr>
      </w:pPr>
      <w:r>
        <w:rPr>
          <w:rFonts w:ascii="Arial" w:cs="Arial" w:eastAsia="Arial" w:hAnsi="Arial"/>
          <w:sz w:val="22"/>
          <w:szCs w:val="22"/>
          <w:color w:val="auto"/>
        </w:rPr>
        <w:t>As of December 31, 2020, the Bank met the requirements for being deemed “well-capitalized” for purposes of the prompt corrective action regulations.</w:t>
      </w:r>
    </w:p>
    <w:p>
      <w:pPr>
        <w:sectPr>
          <w:pgSz w:w="11900" w:h="16838" w:orient="portrait"/>
          <w:cols w:equalWidth="0" w:num="1">
            <w:col w:w="11240"/>
          </w:cols>
          <w:pgMar w:left="320" w:top="122" w:right="339" w:bottom="166"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66"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Enforcement Powers of Federal and State Banking Agencies</w:t>
      </w:r>
    </w:p>
    <w:p>
      <w:pPr>
        <w:spacing w:after="0" w:line="239"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b w:val="1"/>
          <w:bCs w:val="1"/>
          <w:i w:val="1"/>
          <w:iCs w:val="1"/>
          <w:color w:val="auto"/>
        </w:rPr>
        <w:t>General</w:t>
      </w:r>
      <w:r>
        <w:rPr>
          <w:rFonts w:ascii="Arial" w:cs="Arial" w:eastAsia="Arial" w:hAnsi="Arial"/>
          <w:sz w:val="22"/>
          <w:szCs w:val="22"/>
          <w:color w:val="auto"/>
        </w:rPr>
        <w:t>. As a bank holding company, the Company is subject to regulation and supervision by the Federal Reserve under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Bank Holding Company 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21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b w:val="1"/>
          <w:bCs w:val="1"/>
          <w:i w:val="1"/>
          <w:iCs w:val="1"/>
          <w:color w:val="auto"/>
        </w:rPr>
        <w:t>Acquisitions, Activities and Change in Control</w:t>
      </w:r>
      <w:r>
        <w:rPr>
          <w:rFonts w:ascii="Arial" w:cs="Arial" w:eastAsia="Arial" w:hAnsi="Arial"/>
          <w:sz w:val="21"/>
          <w:szCs w:val="21"/>
          <w:color w:val="auto"/>
        </w:rPr>
        <w:t>. The BHCA generally requires the prior approval by the Federal Reserve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any merger involving a bank 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Community Reinvestment Act (“CRA”) and the effectiveness of all organizations involved in the merger or acquisition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spacing w:after="0" w:line="208"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Subject to certain conditions (including deposit concentration limits established by the BHCA and the Dodd-Frank Act),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185"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The BHCA also prohibits any company from acquiring “control” of it’s a bank or bank holding company without prior notice to the appropriate federal bank regulator. “Control” is conclusively presumed to exist upon the acquisition of 25% or more of the outstanding voting securities of a bank or bank holding company, but may arise based on the facts and circumstances even with ownership below 5.00% up to 24.99% ownership. On September 30, 2020, the Federal Reserve’s final rule revising the Federal Reserve’s regulations related to determinations of whether a company has “control” over another company, including a bank holding company or a bank, for purposes of the BHCA, became effective. The final rule created a tiered system of non-control presumptions based upon the percentage of any class of voting securities held by an acquirer and the presence of other indicia of control, The final rule’s four categories of tiered presumptions of non-control, based upon the percentage of ownership of any class of voting securities held by an acquirer, are (i) less than 5%, (ii) 5% to 9.99%, (iii) 10% to 14.99%, and (iv) 15% to 24.99%. By codifying the non-control presumptions, the final rule provides greater transparency with respect to the total level of equity, representative directors, management interlocks, limiting contractual provisions and business relationships that would be permissible to the Federal Reserve in order to avoid a determination of control. The Federal Reserve’s final rule applies to control determinations under the BHCA, but does not apply to the Change in Bank Control Act, as amended (the “CIBC Act”).</w:t>
      </w:r>
    </w:p>
    <w:p>
      <w:pPr>
        <w:spacing w:after="0" w:line="183"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The CIBC Act provides that a person, which includes a natural person or entity, directly or indirectly, has “control” of a bank or bank holding company if it (i) owns, controls, or has the power to vote 25% or more of the voting securities of the bank or bank holding company, (ii) controls the election of directors, trustees, or general partners of the company, (iii) has a controlling influence over the management or policies of the company, or (iv) conditions in any manner the transfer of 25% or more of the voting securities of the company upon the transfer of 25 % or more of the outstanding shares of any class of voting securities of another company. Accordingly, the CIBC Act requires that prior to the acquisition of any class of voting securities of a bank or bank holding company that prior notice to the Federal Reserve be provided, if, immediately after the transaction, the acquiring person (or persons acting in concert) will own, control, or hold the power to vote 25% or more of any class of voting securities of the bank or bank holding company. A rebuttable presumption of control arises under the CIBC Act where a person (or persons acting in concert) controls 10% or more (but less than 25%) of a class of the voting securities of a bank or bank holding (i) which</w:t>
      </w:r>
    </w:p>
    <w:p>
      <w:pPr>
        <w:sectPr>
          <w:pgSz w:w="11900" w:h="16838" w:orient="portrait"/>
          <w:cols w:equalWidth="0" w:num="1">
            <w:col w:w="11240"/>
          </w:cols>
          <w:pgMar w:left="320" w:top="122" w:right="339" w:bottom="0" w:gutter="0" w:footer="0" w:header="0"/>
        </w:sectPr>
      </w:pPr>
    </w:p>
    <w:bookmarkStart w:id="14" w:name="page15"/>
    <w:bookmarkEnd w:id="14"/>
    <w:p>
      <w:pPr>
        <w:spacing w:after="0" w:line="251" w:lineRule="auto"/>
        <w:rPr>
          <w:sz w:val="20"/>
          <w:szCs w:val="20"/>
          <w:color w:val="auto"/>
        </w:rPr>
      </w:pPr>
      <w:r>
        <w:rPr>
          <w:rFonts w:ascii="Arial" w:cs="Arial" w:eastAsia="Arial" w:hAnsi="Arial"/>
          <w:sz w:val="22"/>
          <w:szCs w:val="22"/>
          <w:color w:val="auto"/>
        </w:rPr>
        <w:t>has registered securities under the Exchange Act, such as the Company, or (ii) no other person owns, controls, or holds the power to vote a greater percentage of any class of voting securities immediately after the transaction.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b w:val="1"/>
          <w:bCs w:val="1"/>
          <w:i w:val="1"/>
          <w:iCs w:val="1"/>
          <w:color w:val="auto"/>
        </w:rPr>
        <w:t>Permissible Activities</w:t>
      </w:r>
      <w:r>
        <w:rPr>
          <w:rFonts w:ascii="Arial" w:cs="Arial" w:eastAsia="Arial" w:hAnsi="Arial"/>
          <w:sz w:val="19"/>
          <w:szCs w:val="19"/>
          <w:color w:val="auto"/>
        </w:rPr>
        <w:t>. The BHCA generally prohibits the Company from controlling or engaging in any business other than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In connection with the Dodd-Frank Act, Section 13 of the BHCA, commonly known as the “Volcker Rule,” was amended to generally prohibit banking entities from engaging in the short-term proprietary trading of securities and derivatives for their own account and barred them from having certain relationships with hedge funds or private equity funds. However, Section 203 of the EGRRCPA, exempts community banks from the restrictions of the Volcker Rule if (i) the community bank, and every entity that controls it, has total consolidated assets equal to or less than $10 billion; and (ii) trading assets and liabilities of the community bank, and every entity that controls it, is equal to or less than 5% of its total consolidated assets. As the consolidated assets of the Company are less than $10 billion and the Company does not currently exceed the 5% threshold, this aspect of the Volcker Rule does not have any impact on the Company’s consolidated financial statements at this time.</w:t>
      </w:r>
    </w:p>
    <w:p>
      <w:pPr>
        <w:spacing w:after="0" w:line="184"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184"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If the Company should elect to become a financial holding company, the Company and the Bank must be well-capitalized, well-managed, and have a least a satisfactory CRA rating. If the Company were to become a financial holding company and the Federal Reserve subsequently determined that the Company, as a financial holding company, is not well-capitalized or well-managed, the Company would have a period of time during which to achieve compliance, but during the period of noncompliance, the Federal Reserve may place any limitations on the Company that the Federal Reserve believes to be appropriate. Furthermore, if the Company became a financial holding company and the Federal Reserve subsequently determined that the Bank, as a financial holding company subsidiary, has not received a satisfactory CRA rating, the Company would not be able to commence any new financial activities or acquire a company that engages in such activities.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b w:val="1"/>
          <w:bCs w:val="1"/>
          <w:i w:val="1"/>
          <w:iCs w:val="1"/>
          <w:color w:val="auto"/>
        </w:rPr>
        <w:t>Source of Strength</w:t>
      </w:r>
      <w:r>
        <w:rPr>
          <w:rFonts w:ascii="Arial" w:cs="Arial" w:eastAsia="Arial" w:hAnsi="Arial"/>
          <w:sz w:val="19"/>
          <w:szCs w:val="19"/>
          <w:color w:val="auto"/>
        </w:rPr>
        <w:t>. Federal Reserve policy historically required bank holding companies to act as a source of financial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18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b w:val="1"/>
          <w:bCs w:val="1"/>
          <w:i w:val="1"/>
          <w:iCs w:val="1"/>
          <w:color w:val="auto"/>
        </w:rPr>
        <w:t>Imposition of Liability for Undercapitalized Subsidiaries</w:t>
      </w:r>
      <w:r>
        <w:rPr>
          <w:rFonts w:ascii="Arial" w:cs="Arial" w:eastAsia="Arial" w:hAnsi="Arial"/>
          <w:sz w:val="21"/>
          <w:szCs w:val="21"/>
          <w:color w:val="auto"/>
        </w:rPr>
        <w:t>. Bank regulators are required to take “prompt corrective action”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resolve problems associated with insured depository institutions whose capital declines below certain levels. In the event an institution becomes “undercapitalized,” it must submit a capital restoration plan to its regulators. The capital restoration plan will not be accepted by the regulators unless each company having control of the undercapitalized institution guarantees the subsidiary’s compliance with the capital restoration plan up to a certain specified amount. Any such guarantee from a depository institution’s holding company is entitled to a priority of payment in bankruptcy.</w:t>
      </w:r>
    </w:p>
    <w:p>
      <w:pPr>
        <w:sectPr>
          <w:pgSz w:w="11900" w:h="16838" w:orient="portrait"/>
          <w:cols w:equalWidth="0" w:num="1">
            <w:col w:w="11240"/>
          </w:cols>
          <w:pgMar w:left="320" w:top="122" w:right="339" w:bottom="922"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aggregate liability of the holding company of an undercapitalized bank is limited to the lesser of 5% of the institution’s assets at the time it became undercapitalized or the amount necessary to cause the institution to be “adequately capitalized.” The bank regulators have greater power in situations where an institution becomes “significantly” or “critically” undercapitalized or fails to submit a capital restoration plan. For example, a bank holding company controlling such an institution can be required to obtain prior Federal Reserve approval of proposed dividends, or it may be required to consent to a consolidation or to divest the troubled institution or other affiliates.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b w:val="1"/>
          <w:bCs w:val="1"/>
          <w:i w:val="1"/>
          <w:iCs w:val="1"/>
          <w:color w:val="auto"/>
        </w:rPr>
        <w:t>Safe and Sound Banking Practices</w:t>
      </w:r>
      <w:r>
        <w:rPr>
          <w:rFonts w:ascii="Arial" w:cs="Arial" w:eastAsia="Arial" w:hAnsi="Arial"/>
          <w:sz w:val="19"/>
          <w:szCs w:val="19"/>
          <w:color w:val="auto"/>
        </w:rPr>
        <w:t>. Bank holding companies and their non-banking subsidiaries are prohibited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engaging 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17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b w:val="1"/>
          <w:bCs w:val="1"/>
          <w:i w:val="1"/>
          <w:iCs w:val="1"/>
          <w:color w:val="auto"/>
        </w:rPr>
        <w:t>Tie in Arrangements</w:t>
      </w:r>
      <w:r>
        <w:rPr>
          <w:rFonts w:ascii="Arial" w:cs="Arial" w:eastAsia="Arial" w:hAnsi="Arial"/>
          <w:sz w:val="21"/>
          <w:szCs w:val="21"/>
          <w:color w:val="auto"/>
        </w:rPr>
        <w:t>. Federal law prohibits bank holding companies and any subsidiary banks from engaging in certain tie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arrangements in 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b w:val="1"/>
          <w:bCs w:val="1"/>
          <w:i w:val="1"/>
          <w:iCs w:val="1"/>
          <w:color w:val="auto"/>
        </w:rPr>
        <w:t>Dividend Payments, Stock Redemptions and Repurchases</w:t>
      </w:r>
      <w:r>
        <w:rPr>
          <w:rFonts w:ascii="Arial" w:cs="Arial" w:eastAsia="Arial" w:hAnsi="Arial"/>
          <w:sz w:val="19"/>
          <w:szCs w:val="19"/>
          <w:color w:val="auto"/>
        </w:rPr>
        <w:t>. The Company’s ability to pay dividends to its shareholders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affected by both general 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spacing w:after="0" w:line="179"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185"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Bank holding companies must consult with the Federal Reserve before redeeming any equity or other capital instrument included in tier 1 or tier 2 capital prior to stated maturity, if (x) such redemption could have a material effect on the level or composition of the organization’s capital base, or (y) as a result of such repurchase, there is a net reduction of the outstanding amount of common stock or preferred stock outstanding at the beginning of the quarter in which the redemption or repurchase occurs. In addition, bank holding companies are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Bank</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b w:val="1"/>
          <w:bCs w:val="1"/>
          <w:i w:val="1"/>
          <w:iCs w:val="1"/>
          <w:color w:val="auto"/>
        </w:rPr>
        <w:t>General</w:t>
      </w:r>
      <w:r>
        <w:rPr>
          <w:rFonts w:ascii="Arial" w:cs="Arial" w:eastAsia="Arial" w:hAnsi="Arial"/>
          <w:sz w:val="19"/>
          <w:szCs w:val="19"/>
          <w:color w:val="auto"/>
        </w:rPr>
        <w:t>. City Bank is a Texas banking association and is subject to supervision, regulation and examination by the TDB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FDIC. City Bank is also subject to certain regulations of the CFPB.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ectPr>
          <w:pgSz w:w="11900" w:h="16838" w:orient="portrait"/>
          <w:cols w:equalWidth="0" w:num="1">
            <w:col w:w="11240"/>
          </w:cols>
          <w:pgMar w:left="320" w:top="122" w:right="339" w:bottom="922"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b w:val="1"/>
          <w:bCs w:val="1"/>
          <w:i w:val="1"/>
          <w:iCs w:val="1"/>
          <w:color w:val="auto"/>
        </w:rPr>
        <w:t>Depositor Preference</w:t>
      </w:r>
      <w:r>
        <w:rPr>
          <w:rFonts w:ascii="Arial" w:cs="Arial" w:eastAsia="Arial" w:hAnsi="Arial"/>
          <w:sz w:val="22"/>
          <w:szCs w:val="22"/>
          <w:color w:val="auto"/>
        </w:rPr>
        <w:t>. In the event of the “liquidation or other resolution” of an insured depository institution, the claims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21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b w:val="1"/>
          <w:bCs w:val="1"/>
          <w:i w:val="1"/>
          <w:iCs w:val="1"/>
          <w:color w:val="auto"/>
        </w:rPr>
        <w:t>Brokered Deposit Restrictions</w:t>
      </w:r>
      <w:r>
        <w:rPr>
          <w:rFonts w:ascii="Arial" w:cs="Arial" w:eastAsia="Arial" w:hAnsi="Arial"/>
          <w:sz w:val="21"/>
          <w:szCs w:val="21"/>
          <w:color w:val="auto"/>
        </w:rPr>
        <w:t>. Well-capitalized institutions are not subject to limitations on brokered deposits, while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adequately 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2020, the Bank was eligible to accept brokered deposits without a waiver from the FDIC as the Bank was a well-capitalized institution.</w:t>
      </w:r>
    </w:p>
    <w:p>
      <w:pPr>
        <w:spacing w:after="0" w:line="20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b w:val="1"/>
          <w:bCs w:val="1"/>
          <w:i w:val="1"/>
          <w:iCs w:val="1"/>
          <w:color w:val="auto"/>
        </w:rPr>
        <w:t>Deposit Insurance</w:t>
      </w:r>
      <w:r>
        <w:rPr>
          <w:rFonts w:ascii="Arial" w:cs="Arial" w:eastAsia="Arial" w:hAnsi="Arial"/>
          <w:sz w:val="19"/>
          <w:szCs w:val="19"/>
          <w:color w:val="auto"/>
        </w:rPr>
        <w:t>. As an FDIC-insured institution, the Bank is required to pay deposit insurance premiums to the FDIC.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FDIA revised the assessment base so that it is calculated using average consolidated total assets minus average tangible equity.</w:t>
      </w:r>
    </w:p>
    <w:p>
      <w:pPr>
        <w:spacing w:after="0" w:line="184"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The FDIC had until September 3, 2020 to meet the 1.35% reserve ratio target, but it announced in November 2018 that the DIF had reached 1.36%, exceeding the 1.35% reserve ratio target. Because the reserve ratio exceeded the targeted 1.35% by the Dodd-Frank Act, two deposit assessment changes occurred under FDIC regulations: (i) surcharges on large banks ended, and the last surcharge on large banks was collected on December 28, 2018; and (ii) small banks were awarded assessment credits for the portion of their assessment that contributed to the growth in the reserve ratio from 1.15% to 1.35%, to be applied when the reserve ratio is at least 1.38%. The Bank’s assessment credit as calculated by the FDIC was $675,000 and was first applied to the Bank’s September 2019 Quarterly Invoice for Deposit Insurance, and then was applied on a quarterly basis until it was exhausted in March 2020. As of September 30, 2020, the FDIC announced that the ratio had declined to 1.30% due largely to consequences of the COVID-19 pandemic. The FDIC adopted a plan to restore the DIF to the 1.35% ratio within eight years but did not change its assessment schedule.</w:t>
      </w:r>
    </w:p>
    <w:p>
      <w:pPr>
        <w:spacing w:after="0" w:line="188"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2020, the Bank paid $755,000 in FDIC deposit insurance premiums.</w:t>
      </w:r>
    </w:p>
    <w:p>
      <w:pPr>
        <w:spacing w:after="0" w:line="21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b w:val="1"/>
          <w:bCs w:val="1"/>
          <w:i w:val="1"/>
          <w:iCs w:val="1"/>
          <w:color w:val="auto"/>
        </w:rPr>
        <w:t>Audit Reports</w:t>
      </w:r>
      <w:r>
        <w:rPr>
          <w:rFonts w:ascii="Arial" w:cs="Arial" w:eastAsia="Arial" w:hAnsi="Arial"/>
          <w:sz w:val="19"/>
          <w:szCs w:val="19"/>
          <w:color w:val="auto"/>
        </w:rPr>
        <w:t>. For insured institutions with total assets of $1.0 billion or more, financial statements prepared in accordance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generally accepted accounting principles, or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The Federal Deposit Insurance Corporation Improvement Act requires that the Bank have an independent audit committee, consisting of 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18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b w:val="1"/>
          <w:bCs w:val="1"/>
          <w:i w:val="1"/>
          <w:iCs w:val="1"/>
          <w:color w:val="auto"/>
        </w:rPr>
        <w:t>Examination Assessments</w:t>
      </w:r>
      <w:r>
        <w:rPr>
          <w:rFonts w:ascii="Arial" w:cs="Arial" w:eastAsia="Arial" w:hAnsi="Arial"/>
          <w:sz w:val="19"/>
          <w:szCs w:val="19"/>
          <w:color w:val="auto"/>
        </w:rPr>
        <w:t>. Texas-chartered banks are required to pay an annual assessment fee to the TDB to fund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The fee is based on the amount of the bank’s assets at rates established by the Finance Commission of Texas. During the year ended December 31, 2020, the Bank paid examination assessments to the TDB totaling $260,000.</w:t>
      </w:r>
    </w:p>
    <w:p>
      <w:pPr>
        <w:spacing w:after="0" w:line="16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b w:val="1"/>
          <w:bCs w:val="1"/>
          <w:i w:val="1"/>
          <w:iCs w:val="1"/>
          <w:color w:val="auto"/>
        </w:rPr>
        <w:t>Capital Requirements</w:t>
      </w:r>
      <w:r>
        <w:rPr>
          <w:rFonts w:ascii="Arial" w:cs="Arial" w:eastAsia="Arial" w:hAnsi="Arial"/>
          <w:sz w:val="22"/>
          <w:szCs w:val="22"/>
          <w:color w:val="auto"/>
        </w:rPr>
        <w:t>. Banks are generally required to maintain minimum capital ratios. For a discussion of the capital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requirements applicable to the Bank, see “Regulatory Capital Requirements” above.</w:t>
      </w:r>
    </w:p>
    <w:p>
      <w:pPr>
        <w:spacing w:after="0" w:line="20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b w:val="1"/>
          <w:bCs w:val="1"/>
          <w:i w:val="1"/>
          <w:iCs w:val="1"/>
          <w:color w:val="auto"/>
        </w:rPr>
        <w:t>Bank Reserves</w:t>
      </w:r>
      <w:r>
        <w:rPr>
          <w:rFonts w:ascii="Arial" w:cs="Arial" w:eastAsia="Arial" w:hAnsi="Arial"/>
          <w:sz w:val="19"/>
          <w:szCs w:val="19"/>
          <w:color w:val="auto"/>
        </w:rPr>
        <w:t>. The Federal Reserve requires all depository institutions to maintain reserves against some transaction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accounts (primarily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ectPr>
          <w:pgSz w:w="11900" w:h="16838" w:orient="portrait"/>
          <w:cols w:equalWidth="0" w:num="1">
            <w:col w:w="11240"/>
          </w:cols>
          <w:pgMar w:left="320" w:top="122" w:right="339" w:bottom="436"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36"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b w:val="1"/>
          <w:bCs w:val="1"/>
          <w:i w:val="1"/>
          <w:iCs w:val="1"/>
          <w:color w:val="auto"/>
        </w:rPr>
        <w:t>Liquidity Requirements</w:t>
      </w:r>
      <w:r>
        <w:rPr>
          <w:rFonts w:ascii="Arial" w:cs="Arial" w:eastAsia="Arial" w:hAnsi="Arial"/>
          <w:sz w:val="21"/>
          <w:szCs w:val="21"/>
          <w:color w:val="auto"/>
        </w:rPr>
        <w:t>. Historically, regulation and monitoring of bank and bank holding company liquidity has been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addressed as a supervisory 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207"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21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b w:val="1"/>
          <w:bCs w:val="1"/>
          <w:i w:val="1"/>
          <w:iCs w:val="1"/>
          <w:color w:val="auto"/>
        </w:rPr>
        <w:t>Dividend Payments</w:t>
      </w:r>
      <w:r>
        <w:rPr>
          <w:rFonts w:ascii="Arial" w:cs="Arial" w:eastAsia="Arial" w:hAnsi="Arial"/>
          <w:sz w:val="19"/>
          <w:szCs w:val="19"/>
          <w:color w:val="auto"/>
        </w:rPr>
        <w:t>. The primary source of funds for the Company is dividends from the Bank. Unless the approval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FDIC is obtained, the Bank 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Texas Business Organizations Code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185"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21"/>
          <w:szCs w:val="21"/>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2020.</w:t>
      </w:r>
    </w:p>
    <w:p>
      <w:pPr>
        <w:spacing w:after="0" w:line="2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b w:val="1"/>
          <w:bCs w:val="1"/>
          <w:i w:val="1"/>
          <w:iCs w:val="1"/>
          <w:color w:val="auto"/>
        </w:rPr>
        <w:t>Transactions with Affiliates</w:t>
      </w:r>
      <w:r>
        <w:rPr>
          <w:rFonts w:ascii="Arial" w:cs="Arial" w:eastAsia="Arial" w:hAnsi="Arial"/>
          <w:sz w:val="19"/>
          <w:szCs w:val="19"/>
          <w:color w:val="auto"/>
        </w:rPr>
        <w:t>. The Bank is subject to sections 23A and 23B of the Federal Reserve Act, or the Affiliates Act,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the Federal Reserve’s 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19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b w:val="1"/>
          <w:bCs w:val="1"/>
          <w:i w:val="1"/>
          <w:iCs w:val="1"/>
          <w:color w:val="auto"/>
        </w:rPr>
        <w:t>Financial Subsidiaries</w:t>
      </w:r>
      <w:r>
        <w:rPr>
          <w:rFonts w:ascii="Arial" w:cs="Arial" w:eastAsia="Arial" w:hAnsi="Arial"/>
          <w:sz w:val="21"/>
          <w:szCs w:val="21"/>
          <w:color w:val="auto"/>
        </w:rPr>
        <w:t>. Under the Gramm-Leach-Bliley Act (“GLBA”), subject to certain conditions imposed by their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respective banking regulators, 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2020, the Bank did not have any financial subsidiaries.</w:t>
      </w:r>
    </w:p>
    <w:p>
      <w:pPr>
        <w:spacing w:after="0" w:line="2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b w:val="1"/>
          <w:bCs w:val="1"/>
          <w:i w:val="1"/>
          <w:iCs w:val="1"/>
          <w:color w:val="auto"/>
        </w:rPr>
        <w:t>Loans to Directors, Executive Officers and Principal Shareholders</w:t>
      </w:r>
      <w:r>
        <w:rPr>
          <w:rFonts w:ascii="Arial" w:cs="Arial" w:eastAsia="Arial" w:hAnsi="Arial"/>
          <w:sz w:val="19"/>
          <w:szCs w:val="19"/>
          <w:color w:val="auto"/>
        </w:rPr>
        <w:t>. The authority of the Bank to extend credit to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directors, executive officers and 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(i) the loans must be made on substantially the same terms, including interest rates and collateral, as prevailing at the time for comparable transactions with persons not affiliated with the Company or the Bank, (ii) the Bank must follow credit underwriting procedures at least as stringent as those applicable to comparable transactions with persons who are not affiliated with the Company or the Bank, and (iii) the loans must not involve a greater than normal risk of non-payment or include other features not favorable to the Bank. Furthermore, the Bank must periodically report all loans made to directors and other insiders to the bank regulators. As of December 31, 2020, the Bank’s total amount of lines of credit for loans to insiders and loans outstanding to insiders was $8.9 million.</w:t>
      </w:r>
    </w:p>
    <w:p>
      <w:pPr>
        <w:sectPr>
          <w:pgSz w:w="11900" w:h="16838" w:orient="portrait"/>
          <w:cols w:equalWidth="0" w:num="1">
            <w:col w:w="11240"/>
          </w:cols>
          <w:pgMar w:left="320" w:top="122" w:right="339" w:bottom="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b w:val="1"/>
          <w:bCs w:val="1"/>
          <w:i w:val="1"/>
          <w:iCs w:val="1"/>
          <w:color w:val="auto"/>
        </w:rPr>
        <w:t>Limits on Loans to One Borrower</w:t>
      </w:r>
      <w:r>
        <w:rPr>
          <w:rFonts w:ascii="Arial" w:cs="Arial" w:eastAsia="Arial" w:hAnsi="Arial"/>
          <w:sz w:val="22"/>
          <w:szCs w:val="22"/>
          <w:color w:val="auto"/>
        </w:rPr>
        <w:t>. As a Texas banking association, the Bank is subject to limits on the amount of loans it can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make to one borrower. 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U.S. Certain types of loans are exempted from the lending limits, including loans secured by segregated deposits held by the Bank. The Bank’s legal lending limit to any one borrower was approximately $91.7 million as of December 31, 2020.</w:t>
      </w:r>
    </w:p>
    <w:p>
      <w:pPr>
        <w:spacing w:after="0" w:line="21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b w:val="1"/>
          <w:bCs w:val="1"/>
          <w:i w:val="1"/>
          <w:iCs w:val="1"/>
          <w:color w:val="auto"/>
        </w:rPr>
        <w:t>Safety and Soundness Standards / Risk Management</w:t>
      </w:r>
      <w:r>
        <w:rPr>
          <w:rFonts w:ascii="Arial" w:cs="Arial" w:eastAsia="Arial" w:hAnsi="Arial"/>
          <w:sz w:val="19"/>
          <w:szCs w:val="19"/>
          <w:color w:val="auto"/>
        </w:rPr>
        <w:t>. The federal banking agencies have adopted guidelines establishing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70"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215"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18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b w:val="1"/>
          <w:bCs w:val="1"/>
          <w:i w:val="1"/>
          <w:iCs w:val="1"/>
          <w:color w:val="auto"/>
        </w:rPr>
        <w:t>Branching Authority</w:t>
      </w:r>
      <w:r>
        <w:rPr>
          <w:rFonts w:ascii="Arial" w:cs="Arial" w:eastAsia="Arial" w:hAnsi="Arial"/>
          <w:sz w:val="22"/>
          <w:szCs w:val="22"/>
          <w:color w:val="auto"/>
        </w:rPr>
        <w:t>. Deposit-taking banking offices must be approved by the FDIC and, if such office is established within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Texas, the TDB, which 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Bank may also establish banking offices in other states by merging with banks or by purchasing banking offices of other banks in other states, subject to certain restrictions.</w:t>
      </w:r>
    </w:p>
    <w:p>
      <w:pPr>
        <w:spacing w:after="0" w:line="218" w:lineRule="exact"/>
        <w:rPr>
          <w:sz w:val="20"/>
          <w:szCs w:val="20"/>
          <w:color w:val="auto"/>
        </w:rPr>
      </w:pPr>
    </w:p>
    <w:p>
      <w:pPr>
        <w:jc w:val="both"/>
        <w:ind w:right="20" w:firstLine="324"/>
        <w:spacing w:after="0" w:line="297" w:lineRule="auto"/>
        <w:rPr>
          <w:sz w:val="20"/>
          <w:szCs w:val="20"/>
          <w:color w:val="auto"/>
        </w:rPr>
      </w:pPr>
      <w:r>
        <w:rPr>
          <w:rFonts w:ascii="Arial" w:cs="Arial" w:eastAsia="Arial" w:hAnsi="Arial"/>
          <w:sz w:val="19"/>
          <w:szCs w:val="19"/>
          <w:b w:val="1"/>
          <w:bCs w:val="1"/>
          <w:i w:val="1"/>
          <w:iCs w:val="1"/>
          <w:color w:val="auto"/>
        </w:rPr>
        <w:t>Interstate Deposit Restrictions</w:t>
      </w:r>
      <w:r>
        <w:rPr>
          <w:rFonts w:ascii="Arial" w:cs="Arial" w:eastAsia="Arial" w:hAnsi="Arial"/>
          <w:sz w:val="19"/>
          <w:szCs w:val="19"/>
          <w:color w:val="auto"/>
        </w:rPr>
        <w:t>. The Riegle-Neal Interstate Banking and Branching Efficiency Act of 1994 (“Interstate Act”),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together with the Dodd-Frank Act, relaxed prior branching restrictions under federal law by permitting, subject to regulatory approval, banks to establish branches in states where the laws permit banks chartered in such states to establish branches.</w:t>
      </w:r>
    </w:p>
    <w:p>
      <w:pPr>
        <w:spacing w:after="0" w:line="161"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208" w:lineRule="exact"/>
        <w:rPr>
          <w:sz w:val="20"/>
          <w:szCs w:val="20"/>
          <w:color w:val="auto"/>
        </w:rPr>
      </w:pPr>
    </w:p>
    <w:p>
      <w:pPr>
        <w:jc w:val="both"/>
        <w:ind w:firstLine="323"/>
        <w:spacing w:after="0" w:line="236" w:lineRule="auto"/>
        <w:rPr>
          <w:sz w:val="20"/>
          <w:szCs w:val="20"/>
          <w:color w:val="auto"/>
        </w:rPr>
      </w:pPr>
      <w:r>
        <w:rPr>
          <w:rFonts w:ascii="Arial" w:cs="Arial" w:eastAsia="Arial" w:hAnsi="Arial"/>
          <w:sz w:val="22"/>
          <w:szCs w:val="22"/>
          <w:color w:val="auto"/>
        </w:rPr>
        <w:t>For purposes of Section 109, the Bank’s home state is Texas and the Bank operates branches in one host state: New Mexico. The most recently published host state loan-to-deposit ratio using data as of June 30, 2019 reflects a statewide loan-to-deposit ratio in New Mexico of 64%. As of December 31, 2020, the Bank’s statewide loan-to-deposit ratio in New Mexico was 43%. Accordingly, management believes that the Bank is in compliance with Section 109 in New Mexico after application of the first step of the two-step test.</w:t>
      </w:r>
    </w:p>
    <w:p>
      <w:pPr>
        <w:sectPr>
          <w:pgSz w:w="11900" w:h="16838" w:orient="portrait"/>
          <w:cols w:equalWidth="0" w:num="1">
            <w:col w:w="11240"/>
          </w:cols>
          <w:pgMar w:left="320" w:top="121" w:right="339" w:bottom="8" w:gutter="0" w:footer="0" w:header="0"/>
        </w:sectPr>
      </w:pPr>
    </w:p>
    <w:bookmarkStart w:id="20" w:name="page21"/>
    <w:bookmarkEnd w:id="20"/>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b w:val="1"/>
          <w:bCs w:val="1"/>
          <w:i w:val="1"/>
          <w:iCs w:val="1"/>
          <w:color w:val="auto"/>
        </w:rPr>
        <w:t>Community Reinvestment Act</w:t>
      </w:r>
      <w:r>
        <w:rPr>
          <w:rFonts w:ascii="Arial" w:cs="Arial" w:eastAsia="Arial" w:hAnsi="Arial"/>
          <w:sz w:val="19"/>
          <w:szCs w:val="19"/>
          <w:color w:val="auto"/>
        </w:rPr>
        <w:t>. The CRA is intended to encourage insured depository institutions, while operating safely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177" w:lineRule="exact"/>
        <w:rPr>
          <w:sz w:val="20"/>
          <w:szCs w:val="20"/>
          <w:color w:val="auto"/>
        </w:rPr>
      </w:pPr>
    </w:p>
    <w:p>
      <w:pPr>
        <w:jc w:val="both"/>
        <w:ind w:firstLine="323"/>
        <w:spacing w:after="0" w:line="249" w:lineRule="auto"/>
        <w:rPr>
          <w:sz w:val="20"/>
          <w:szCs w:val="20"/>
          <w:color w:val="auto"/>
        </w:rPr>
      </w:pPr>
      <w:r>
        <w:rPr>
          <w:rFonts w:ascii="Arial" w:cs="Arial" w:eastAsia="Arial" w:hAnsi="Arial"/>
          <w:sz w:val="21"/>
          <w:szCs w:val="21"/>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205"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On December 12, 2019, the OCC and the FDIC issued a joint proposal to revamp how the agencies will assess banks’ performance under the CRA. Among other changes, the proposal (i) expands the concept of assessment area (“AA”) to include geographies outside of a bank’s current AAs and in which the bank receives at least 5% of its retail deposits and (ii) introduces a series of objective tests for determining a bank’s presumptive CRA rating. While the OCC adopted a final rule on May 20, 2020 that was generally consistent with the proposed rule, the FDIC did not join in the final rule and has indicated it is not ready to adopt a final rule at this time, particularly in light of the ongoing COVID-19 pandemic. Members of Congress and community groups have expressed hostility to the new OCC rule, and have raised the possibility of repealing it through legislative action. In light of this uncertainty, and the fact that the FDIC has not yet taken action on new rule, it is impossible to predict the substance and timing of a revised CRA rule from the FDIC. The Company and the Bank will continue to monitor this proposal.</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b w:val="1"/>
          <w:bCs w:val="1"/>
          <w:i w:val="1"/>
          <w:iCs w:val="1"/>
          <w:color w:val="auto"/>
        </w:rPr>
        <w:t>Bank Secrecy Act, Anti-Money Laundering and the Office of Foreign Assets Control Regulation</w:t>
      </w:r>
      <w:r>
        <w:rPr>
          <w:rFonts w:ascii="Arial" w:cs="Arial" w:eastAsia="Arial" w:hAnsi="Arial"/>
          <w:sz w:val="19"/>
          <w:szCs w:val="19"/>
          <w:color w:val="auto"/>
        </w:rPr>
        <w:t>. The Uniting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Strengthening America by Providing Appropriate Tools Required to Intercept and Obstruct Terrorism Act of 2001 (the “USA PATRIOT Act”) is designed to deny terrorists and criminals the ability to obtain access to the U.S. financial system and has significant implications for depository institutions, brokers, dealers and other businesses involved in the transfer of money. The USA PATRIOT Act substantially broadened the scope of U.S. anti-money laundering (“AML”) laws and regulations by imposing significant compliance and due diligence obligations, created new crimes and penalties and expanded the extra territorial jurisdiction of the U.S.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pacing w:after="0" w:line="200" w:lineRule="exact"/>
        <w:rPr>
          <w:sz w:val="20"/>
          <w:szCs w:val="20"/>
          <w:color w:val="auto"/>
        </w:rPr>
      </w:pPr>
    </w:p>
    <w:p>
      <w:pPr>
        <w:spacing w:after="0" w:line="230" w:lineRule="exact"/>
        <w:rPr>
          <w:sz w:val="20"/>
          <w:szCs w:val="20"/>
          <w:color w:val="auto"/>
        </w:rPr>
      </w:pPr>
    </w:p>
    <w:p>
      <w:pPr>
        <w:jc w:val="both"/>
        <w:ind w:firstLine="323"/>
        <w:spacing w:after="0" w:line="297" w:lineRule="auto"/>
        <w:rPr>
          <w:sz w:val="20"/>
          <w:szCs w:val="20"/>
          <w:color w:val="auto"/>
        </w:rPr>
      </w:pPr>
      <w:r>
        <w:rPr>
          <w:rFonts w:ascii="Arial" w:cs="Arial" w:eastAsia="Arial" w:hAnsi="Arial"/>
          <w:sz w:val="19"/>
          <w:szCs w:val="19"/>
          <w:color w:val="auto"/>
        </w:rPr>
        <w:t>Among other requirements, federal laws, including the Bank Secrecy Act (“BSA”), as amended by the USA PATRIOT Act and as further amended by the National Defense Authorization Act for Fiscal Year 2021 (the “National Defense Authorization Act”), and implementing regulations, require banks to establish and maintain AML programs that include, at a minimum:</w:t>
      </w:r>
    </w:p>
    <w:p>
      <w:pPr>
        <w:spacing w:after="0" w:line="168"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internal policies, procedures and controls designed to implement and maintain the bank’s compliance with all of the requirements of the BSA, the USA PATRIOT Act, the National Defense Authorization Act and related laws and regulations;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systems and procedures for monitoring and reporting suspicious transactions and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designated compliance officer;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training;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independent audit function to test the AML program;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procedures to verify the identity of each customer upon the opening of accounts;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due diligence policies, procedures and controls applicable to certain foreign accounts and relationships.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Additionally, the USA PATRIOT Act requires each financial institution to develop a customer identification program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88"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Likewise, the Office of Foreign Accounts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freezing or blocking accounts of, and transactions with, such targets and countries, prohibiting unlicensed trade and financial transactions with them and reporting blocked transactions after their occurrence.</w:t>
      </w:r>
    </w:p>
    <w:p>
      <w:pPr>
        <w:spacing w:after="0" w:line="174"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The Financial Crimes Enforcement Network (“FinCEN”) issued a final rule regarding customer due diligence requirements for covered financial institutions in connection with their BSA and AML policies, that became effective in May 2018. The final rule adds a requirement to understand the nature and purpose of customer relationships and identify the “beneficial owner” (25% or more ownership interest) of legal entity customers. Bank regulators routinely examine institutions for compliance with these obligations and they must consider an institution’s anti-money laundering compliance when considering regulatory applications filed by the institution, including applications for bank mergers and acquisitions. The regulatory authorities have imposed “cease and desist” orders and civil money penalty sanctions against institutions found to be violating these obligations.</w:t>
      </w:r>
    </w:p>
    <w:p>
      <w:pPr>
        <w:spacing w:after="0" w:line="179"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Further, on January 1, 2021, Congress passed the National Defense Authorization Act, which enacted the most significant overhaul of the BSA and related AML laws since the USA PATRIOT Act. Notable amendments include (1) 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will be maintained by FinCEN and made available upon request to financial institutions); (2) enhanced whistleblower provisions, which provide that one or more whistleblowers who voluntarily provide original information leading to the successful enforcement of violations of the anti-money laundering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(3) increased penalties for violations of the BSA; (4) improvements to existing information sharing provisions that permit financial institutions to share information relating to suspicious activity reports (SARs) with foreign branches, subsidiaries, and affiliates (except those located in China, Russia, or certain other jurisdictions) for the purpose of combating illicit finance risks; and (5) expanded duties and powers of FinCEN. Many of the amendments, including those with respect to beneficial ownership, require the Department of Treasury and FinCEN to promulgate rules.</w:t>
      </w:r>
    </w:p>
    <w:p>
      <w:pPr>
        <w:spacing w:after="0" w:line="187"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21"/>
          <w:szCs w:val="21"/>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b w:val="1"/>
          <w:bCs w:val="1"/>
          <w:i w:val="1"/>
          <w:iCs w:val="1"/>
          <w:color w:val="auto"/>
        </w:rPr>
        <w:t>Concentrations in Commercial Real Estate</w:t>
      </w:r>
      <w:r>
        <w:rPr>
          <w:rFonts w:ascii="Arial" w:cs="Arial" w:eastAsia="Arial" w:hAnsi="Arial"/>
          <w:sz w:val="19"/>
          <w:szCs w:val="19"/>
          <w:color w:val="auto"/>
        </w:rPr>
        <w:t>. The federal banking agencies have promulgated guidance governing financial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institutions with 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2020, the Company did not exceed the levels to be considered to have a concentration in commercial real estate lending and believes its credit administration to be consistent with the published policy statement.</w:t>
      </w:r>
    </w:p>
    <w:p>
      <w:pPr>
        <w:spacing w:after="0" w:line="183"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The Basel III Capital Rules also require loans categorized as “high-volatility commercial real estate,” or HVCRE, to be assigned a 150% risk weighting and require additional capital support. However, the EGRRCPA, signed into law in May 2018, prohibits federal banking regulators from imposing higher capital standards on HVCRE exposures unless they are for ADC and clarifying ADC status. As of December 31, 2020, we had $255.6 million in ADC loans and $4.5 million in HVCRE loans.</w:t>
      </w:r>
    </w:p>
    <w:p>
      <w:pPr>
        <w:sectPr>
          <w:pgSz w:w="11900" w:h="16838" w:orient="portrait"/>
          <w:cols w:equalWidth="0" w:num="1">
            <w:col w:w="11240"/>
          </w:cols>
          <w:pgMar w:left="320" w:top="121" w:right="339" w:bottom="193"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93"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Consumer Financial Services</w:t>
      </w:r>
    </w:p>
    <w:p>
      <w:pPr>
        <w:spacing w:after="0" w:line="239"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We are subject to a number of federal and state consumer protection laws that extensively govern our relationship with our customers. These laws include the Equal Credit Opportunity Act (“ECOA”), the Fair Credit Reporting Act, the Truth in Lending Act, the Truth in Savings Act, the Electronic Fund Transfer Act, the Expedited Funds Availability Act, the Home Mortgage Disclosure Act, the Fair Housing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187"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70"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Rulemaking authority for most federal consumer protection laws was transferred from the prudential regulators to the CFPB on July 21, 2011. In some cases, regulators such as the Federal Trade Commission (“FTC”) and the U.S. Department of Justice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218"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w:t>
      </w:r>
    </w:p>
    <w:p>
      <w:pPr>
        <w:spacing w:after="0" w:line="191" w:lineRule="exact"/>
        <w:rPr>
          <w:sz w:val="20"/>
          <w:szCs w:val="20"/>
          <w:color w:val="auto"/>
        </w:rPr>
      </w:pPr>
    </w:p>
    <w:p>
      <w:pPr>
        <w:jc w:val="both"/>
        <w:ind w:firstLine="323"/>
        <w:spacing w:after="0" w:line="328" w:lineRule="auto"/>
        <w:rPr>
          <w:sz w:val="20"/>
          <w:szCs w:val="20"/>
          <w:color w:val="auto"/>
        </w:rPr>
      </w:pPr>
      <w:r>
        <w:rPr>
          <w:rFonts w:ascii="Arial" w:cs="Arial" w:eastAsia="Arial" w:hAnsi="Arial"/>
          <w:sz w:val="19"/>
          <w:szCs w:val="19"/>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3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b w:val="1"/>
          <w:bCs w:val="1"/>
          <w:i w:val="1"/>
          <w:iCs w:val="1"/>
          <w:color w:val="auto"/>
        </w:rPr>
        <w:t>Mortgage and Mortgage-Related Products, Generally</w:t>
      </w:r>
      <w:r>
        <w:rPr>
          <w:rFonts w:ascii="Arial" w:cs="Arial" w:eastAsia="Arial" w:hAnsi="Arial"/>
          <w:sz w:val="19"/>
          <w:szCs w:val="19"/>
          <w:color w:val="auto"/>
        </w:rPr>
        <w:t>. Because abuses in connection with home mortgages were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significant factor contributing to 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ectPr>
          <w:pgSz w:w="11900" w:h="16838" w:orient="portrait"/>
          <w:cols w:equalWidth="0" w:num="1">
            <w:col w:w="11240"/>
          </w:cols>
          <w:pgMar w:left="320" w:top="121" w:right="339" w:bottom="679"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9"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b w:val="1"/>
          <w:bCs w:val="1"/>
          <w:i w:val="1"/>
          <w:iCs w:val="1"/>
          <w:color w:val="auto"/>
        </w:rPr>
        <w:t>Ability-to-Repay Requirement and Qualified Mortgage Rule</w:t>
      </w:r>
      <w:r>
        <w:rPr>
          <w:rFonts w:ascii="Arial" w:cs="Arial" w:eastAsia="Arial" w:hAnsi="Arial"/>
          <w:sz w:val="21"/>
          <w:szCs w:val="21"/>
          <w:color w:val="auto"/>
        </w:rPr>
        <w:t>. In January 2013, the CFPB issued a final rule implementing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b w:val="1"/>
          <w:bCs w:val="1"/>
          <w:i w:val="1"/>
          <w:iCs w:val="1"/>
          <w:color w:val="auto"/>
        </w:rPr>
        <w:t>Home Mortgage Disclosure Act (“HMDA”)</w:t>
      </w:r>
      <w:r>
        <w:rPr>
          <w:rFonts w:ascii="Arial" w:cs="Arial" w:eastAsia="Arial" w:hAnsi="Arial"/>
          <w:sz w:val="19"/>
          <w:szCs w:val="19"/>
          <w:color w:val="auto"/>
        </w:rPr>
        <w:t>. On October 15, 2015, pursuant to Section 1094 of the Dodd-Frank Act,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CFPB issued amended rules in regard to the collection, reporting and disclosure of certain residential mortgage transactions under the Home Mortgage Disclosure Act (the “HMDA Rules”). The Dodd-Frank Act mandated additional loan data collection points in addition to authorizing the Bureau to require other data collection points under implementing Regulation C. Most of the provisions of the HMDA Rule went into effect on January 1, 2018 and apply to data collected in 2018 and reporting in 2019 and later years. The HMDA Rule adopts a uniform loan volume threshold for all financial institutions, modifies the types of transactions that are subject to collection and reporting, expands the loan data information being collected and reported, and modifies procedures for annual submission and annual public disclosures. EGRRCPA amended provisions of the HMDA Rule to exempt certain insured institutions from most of the expanded data collection requirements required of the Dodd-Frank Act. Institutions originating fewer than 500 dwelling secured closed-end mortgage loans or fewer than 500 dwelling secured open-end lines are exempt from the expanded data collection requirements that went into effect January 1, 2018. The Bank does not receive this reporting relief based on the number of dwelling secured mortgage loans reported annually.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b w:val="1"/>
          <w:bCs w:val="1"/>
          <w:i w:val="1"/>
          <w:iCs w:val="1"/>
          <w:color w:val="auto"/>
        </w:rPr>
        <w:t>UDAP and UDAAP</w:t>
      </w:r>
      <w:r>
        <w:rPr>
          <w:rFonts w:ascii="Arial" w:cs="Arial" w:eastAsia="Arial" w:hAnsi="Arial"/>
          <w:sz w:val="19"/>
          <w:szCs w:val="19"/>
          <w:color w:val="auto"/>
        </w:rPr>
        <w:t>. Banking regulatory agencies have increasingly used a general consumer protection statute to address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“unethical” or otherwise “bad” business practices that may not necessarily fall directly under the purview of a specific banking or consumer finance law. The law of choice for enforcement against such business practices has been Section 5 of the Federal Trade Commission Act, referred to as the FTC Act, which is the primary federal law that prohibits unfair or deceptive acts or practices, referred to as UDAP, and unfair methods of competition in or affecting commerce. “Unjustified consumer injury” is the principal focus of the FTC Act. UDAP laws and regulations were expanded under the Dodd-Frank Act to apply to “unfair, deceptive or abusive acts or practices,” referred to as UDAAP, which have been delegated to the CFPB for rule-making. The federal banking agencies have the authority to enforce such rules and regulations.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Compensation Guidance</w:t>
      </w:r>
    </w:p>
    <w:p>
      <w:pPr>
        <w:spacing w:after="0" w:line="239"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$1.0 billion in assets, those rules have not yet been finalized. The scope and content of the U.S. banking regulators’ policies on executive compensation are continuing to develop and are likely to continue evolving in the near future.</w:t>
      </w:r>
    </w:p>
    <w:p>
      <w:pPr>
        <w:spacing w:after="0" w:line="200" w:lineRule="exact"/>
        <w:rPr>
          <w:sz w:val="20"/>
          <w:szCs w:val="20"/>
          <w:color w:val="auto"/>
        </w:rPr>
      </w:pPr>
    </w:p>
    <w:p>
      <w:pPr>
        <w:spacing w:after="0" w:line="234"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 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Dodd-Frank Act requires the SEC to adopt rules requiring all exchange-traded companies to adopt claw-back policies for incentive compensation paid to executive officers in the event of accounting restatements based on material non-compliance with financial reporting requirements. Those rules, however, have not yet been finalized. The scope and content of the U.S. banking regulators’ policies on executive compensation are continuing to develop and are likely to continue evolving in the near future.</w:t>
      </w:r>
    </w:p>
    <w:p>
      <w:pPr>
        <w:sectPr>
          <w:pgSz w:w="11900" w:h="16838" w:orient="portrait"/>
          <w:cols w:equalWidth="0" w:num="1">
            <w:col w:w="11240"/>
          </w:cols>
          <w:pgMar w:left="320" w:top="121" w:right="339" w:bottom="4"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Privacy</w:t>
      </w:r>
    </w:p>
    <w:p>
      <w:pPr>
        <w:spacing w:after="0" w:line="239"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Monetary Policy</w:t>
      </w:r>
    </w:p>
    <w:p>
      <w:pPr>
        <w:spacing w:after="0" w:line="239"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Laws Potentially Impacting the Bank</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We are subject to state and federal environmental laws and regulations. The Comprehensive Environmental Response, Compensation and Liability Act, (“CERCLA”), is a federal statute that generally imposes strict liability on all prior and present “owners and operators” of sites containing 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which costs often substantially exceed the value of the property.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Banking Reform Legislation</w:t>
      </w:r>
    </w:p>
    <w:p>
      <w:pPr>
        <w:spacing w:after="0" w:line="239" w:lineRule="exact"/>
        <w:rPr>
          <w:sz w:val="20"/>
          <w:szCs w:val="20"/>
          <w:color w:val="auto"/>
        </w:rPr>
      </w:pPr>
    </w:p>
    <w:p>
      <w:pPr>
        <w:jc w:val="both"/>
        <w:ind w:firstLine="323"/>
        <w:spacing w:after="0" w:line="249" w:lineRule="auto"/>
        <w:rPr>
          <w:sz w:val="20"/>
          <w:szCs w:val="20"/>
          <w:color w:val="auto"/>
        </w:rPr>
      </w:pPr>
      <w:r>
        <w:rPr>
          <w:rFonts w:ascii="Arial" w:cs="Arial" w:eastAsia="Arial" w:hAnsi="Arial"/>
          <w:sz w:val="21"/>
          <w:szCs w:val="21"/>
          <w:color w:val="auto"/>
        </w:rPr>
        <w:t>Other key provisions of the EGRRCPA as it relates to community banks and bank holding companies include, but are not limited to: (i) assisting smaller banks with obtaining stable funding by providing an exception for reciprocal deposits from FDIC restrictions on acceptance of brokered deposits; (ii) raising the eligibility for use of short-form Call Reports from $1 billion to $5 billion in assets; and (iii) changing the eligibility for use of the small bank holding company policy statement from institutions with under $1 billion in assets to institutions with under $3 billion in assets.</w:t>
      </w:r>
    </w:p>
    <w:p>
      <w:pPr>
        <w:spacing w:after="0" w:line="205"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and Regulatory Response to the COVID-19 Pandemic</w:t>
      </w:r>
    </w:p>
    <w:p>
      <w:pPr>
        <w:spacing w:after="0" w:line="239"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9"/>
          <w:szCs w:val="19"/>
          <w:color w:val="auto"/>
        </w:rPr>
        <w:t>The onset of the COVID-19 pandemic in the United States has in certain respects, at least temporarily, impacted the Company’s operations and risk management and resulted in changes to its safety and soundness regulation. For instance, the federal banking agencies have encouraged banking organizations to work constructively and prudently with borrowers impacted by the COVID-19 pandemic in order to meet the borrowers’ financial needs. Guidance published by the Federal Reserve encourages banking organizations to consider undertaking a variety of efforts during a major disaster or national emergency such as the COVID-19 pandemic, including: waiving ATM, overdraft, and late fees, as well as early withdrawal penalties on time deposits; increasing ATM daily cash withdrawal limits; easing credit terms for new loans; increasing credit limits for creditworthy customers; offering payment accommodations such as allowing loan customers to defer or skip some payments or extending payment due dates, which would avoid delinquencies and negative credit bureau reporting caused by disaster-related disruptions; and conducting a review of an affected borrower’s financial condition in an effort to implement a prudent loan workout arrangement. The federal banking agencies have stated that they will not criticize a banking organization that implements prudent loan workouts for affected customers even if the restructured loans result in adverse classifications or credit risk downgrades. In addition, the agencies temporarily suspended examination activity in the second quarter of 2020 to allow banking organization to focus on the needs of their customers and revised examination guidance to require examiners to consider, in conducting supervisory assessments, whether banking organizations have taken appropriate actions in response to the stress caused by the COVID-19 pandemic and managed associated risk appropriately. Consistent with the regulators’ guidance, the Company has and continues to work with its customers during the COVID-19 pandemic to provide them with greater access to their funds, waive certain fees and provide short-term payment deferrals for borrowers requiring assistance.</w:t>
      </w:r>
    </w:p>
    <w:p>
      <w:pPr>
        <w:sectPr>
          <w:pgSz w:w="11900" w:h="16838" w:orient="portrait"/>
          <w:cols w:equalWidth="0" w:num="1">
            <w:col w:w="11240"/>
          </w:cols>
          <w:pgMar w:left="320" w:top="121" w:right="339" w:bottom="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In response to the COVID-19 pandemic, Congress, through the enactment of the CARES Act, and the federal banking agencies, through rulemaking, interpretive guidance and modifications to agency policies and procedures, have taken a series of actions to address regulatory capital, liquidity risk management, financial management and reporting, and operational considerations for banking organizations. Notable developments not otherwise discussed above include the following.</w:t>
      </w:r>
    </w:p>
    <w:p>
      <w:pPr>
        <w:spacing w:after="0" w:line="177" w:lineRule="exact"/>
        <w:rPr>
          <w:sz w:val="20"/>
          <w:szCs w:val="20"/>
          <w:color w:val="auto"/>
        </w:rPr>
      </w:pPr>
    </w:p>
    <w:p>
      <w:pPr>
        <w:jc w:val="both"/>
        <w:ind w:left="960" w:hanging="318"/>
        <w:spacing w:after="0" w:line="25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15, 2020, the Federal Reserve issued a statement encouraging banks to use their capital and liquidity buffers to lend to households and businesses impacted by the COVID-19 pandemic. The following day, the Federal Reserve issued a statement encouraging banks to access the Federal Reserve’s discount window to assist with capital and liquidity management in light of the increased credit needs of banking customers.</w:t>
      </w:r>
    </w:p>
    <w:p>
      <w:pPr>
        <w:spacing w:after="0" w:line="213" w:lineRule="exact"/>
        <w:rPr>
          <w:rFonts w:ascii="Arial" w:cs="Arial" w:eastAsia="Arial" w:hAnsi="Arial"/>
          <w:sz w:val="18"/>
          <w:szCs w:val="18"/>
          <w:color w:val="auto"/>
        </w:rPr>
      </w:pPr>
    </w:p>
    <w:p>
      <w:pPr>
        <w:ind w:left="960" w:hanging="318"/>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Bank is also typically required by the FRB to maintain in reserves certain amounts of vault cash and/or deposits with the FRB, however, in response to the COVID-19 pandemic, this requirement has been eliminated until further notice.</w:t>
      </w:r>
    </w:p>
    <w:p>
      <w:pPr>
        <w:spacing w:after="0" w:line="197" w:lineRule="exact"/>
        <w:rPr>
          <w:rFonts w:ascii="Arial" w:cs="Arial" w:eastAsia="Arial" w:hAnsi="Arial"/>
          <w:sz w:val="18"/>
          <w:szCs w:val="18"/>
          <w:color w:val="auto"/>
        </w:rPr>
      </w:pPr>
    </w:p>
    <w:p>
      <w:pPr>
        <w:jc w:val="both"/>
        <w:ind w:left="960" w:hanging="318"/>
        <w:spacing w:after="0" w:line="269"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Section 4013 of the CARES Act provides financial institutions the option to suspend the application of GAAP to any loan modification related to COVID-19 from treatment as a troubled debt restructuring (“TDR”) for the period between March 1, 2020 and the earlier of (i) 60 days after the end of the national emergency proclamation or (ii) December 31, 2020. Section 541 of the Consolidated Appropriations Act, 2021, amended Section 4013 of the CARES Act to extend this relief to the earlier of (i) 60 days after the end of the national emergency proclamation or (ii) January 1, 2022. A financial institution may elect to suspend GAAP only for a loan that was not more than 30 days past due as of December 31, 2019. In addition, the temporary suspension of GAAP does not apply to any adverse impact on the credit of a borrower that is not related to COVID-19. The suspension of GAAP is applicable for the entire term of the modification, including an interest rate modification, a forbearance agreement, a repayment plan, or other agreement that defers or delays the payment of principal and/or interest. Accordingly, a financial institution that elects to suspend GAAP should not be required to increase its reported TDRs at the end of the period of relief, unless the loans require further modification after the expiration of that period.</w:t>
      </w:r>
    </w:p>
    <w:p>
      <w:pPr>
        <w:spacing w:after="0" w:line="20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For additional information regarding actions taken by regulatory agencies to provide relief to consumers who have been adversely impacted by the ongoing COVID-19 pandemic, see the discussion below under Item 1A, “Risk Factors—Risks Related to our Business,”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Pending and Proposed Legislation</w:t>
      </w:r>
    </w:p>
    <w:p>
      <w:pPr>
        <w:spacing w:after="0" w:line="239"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211"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Although the majority of the Dodd-Frank Act’s rulemaking requirements have been met with finalized rules, approximately one-fifth of the rulemaking requirements are either still in the proposal stage or have not yet been proposed. On February 2, 2017, President Donald Trump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AVAILABLE INFORMATION</w:t>
      </w:r>
    </w:p>
    <w:p>
      <w:pPr>
        <w:spacing w:after="0" w:line="23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The Company maintains an Internet web site at www.spfi.bank. The Company makes available, free of charge, on its web site (under www.spfi.bank/financials-filings/sec-filings)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free of charge, through its web site (under www.spfi.bank/corporate-governance/documents-charters) links to the Company’s Code of Business Conduct and Ethics and the charters for its Board committees. In addition, the SEC maintains an Internet web site (at www.sec.gov) that contains reports, proxy and information statements, and other information regarding issuers that file electronically with the SEC.</w:t>
      </w:r>
    </w:p>
    <w:p>
      <w:pPr>
        <w:spacing w:after="0" w:line="184" w:lineRule="exact"/>
        <w:rPr>
          <w:sz w:val="20"/>
          <w:szCs w:val="20"/>
          <w:color w:val="auto"/>
        </w:rPr>
      </w:pPr>
    </w:p>
    <w:p>
      <w:pPr>
        <w:jc w:val="both"/>
        <w:ind w:firstLine="323"/>
        <w:spacing w:after="0" w:line="249" w:lineRule="auto"/>
        <w:rPr>
          <w:sz w:val="20"/>
          <w:szCs w:val="20"/>
          <w:color w:val="auto"/>
        </w:rPr>
      </w:pPr>
      <w:r>
        <w:rPr>
          <w:rFonts w:ascii="Arial" w:cs="Arial" w:eastAsia="Arial" w:hAnsi="Arial"/>
          <w:sz w:val="21"/>
          <w:szCs w:val="21"/>
          <w:color w:val="auto"/>
        </w:rPr>
        <w:t>The Company routinely posts important information for investors on its web site (under www.spfi.bank and, more specifically, under the News &amp; Events tab at www.spfi.bank/news-events/press-releases).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ectPr>
          <w:pgSz w:w="11900" w:h="16838" w:orient="portrait"/>
          <w:cols w:equalWidth="0" w:num="1">
            <w:col w:w="11240"/>
          </w:cols>
          <w:pgMar w:left="320" w:top="121" w:right="339" w:bottom="868"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68"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The information contained on, or that may be accessed through, the Company’s web site is not incorporated by reference into, and is not a part of, this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Investing in our common stock involves a high degree of risk. Before you decide to invest, you should carefully consider the risks described below, together with all other information included in this Report.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The COVID-19 pandemic is adversely affecting us and our customers, employees, and third-party service providers, and the adverse impacts on our business, financial position, results of operations, and prospects could be significant.</w:t>
      </w:r>
    </w:p>
    <w:p>
      <w:pPr>
        <w:spacing w:after="0" w:line="13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 COVID-19 pandemic has negatively impacted the global economy, disrupted global supply chains, lowered equity market valuations, created significant volatility and disruption in financial markets, increased unemployment levels and decreased consumer confidence generally. In addition, many state and local governments responded to the COVID-19 pandemic with the temporary closure of brick-and-mortar “non-essential” businesses, schools, and limitations on social gatherings, stay-at-home advisories and mandates, and travel bans and restrictions. Although many of these restrictions have eased or been lifted, these restrictions have resulted in significant adverse effects on our customers and business partners, particularly those in the retail, hospitality and food and beverage industries, among many others, including a significant number of layoffs and furloughs of employees nationwide, and in the regions and communities in which we operate. The COVID-19 pandemic could cause us to experience higher credit losses in our lending portfolio, impairment of our goodwill and other financial assets, impairment of the ability of borrowers to repay outstanding loans, impairment of the value of collateral securing loans, reduced demand for our products and services, lost revenue and other negative impacts on our financial position, results of operations and prospects. Similarly, because of changing economic and market conditions affecting issuers, we may be required to recognize OTTI in future periods on the securities we hold as well as reductions in other comprehensive income. Furthermore, in addition to the express risks set forth in this Risk Factors section, the COVID-19 pandemic may exacerbate and magnify the other risks described in this Risk Factors section.</w:t>
      </w: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The extent of the impact of the COVID-19 pandemic on our capital, liquidity and other financial positions and on our business, results of operations, and prospects will depend on a number of evolving factors, including: (i) the duration, extent and severity of the pandemic, (ii) the response of governmental and nongovernmental authorities, (iii) the effect on our customers, counterparties, employees and third-party service providers, (iv) the effect on economies and markets, and (v) the success of hardship relief efforts. The duration of the pandemic and the resulting business interruptions and related impacts on our business and operations are highly uncertain and cannot be reasonably estimated at this time. Even after the COVID-19 pandemic has subsided, we may continue to experience materially adverse impacts to our business as a result of the virus’s global economic impact, including the availability of credit, adverse impacts on our liquidity and any recession that has occurred or may occur in the future.</w:t>
      </w:r>
    </w:p>
    <w:p>
      <w:pPr>
        <w:spacing w:after="0" w:line="2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U.S. government has implemented programs to directly compensate individuals and grant or loan money to businesses in an effort to provide funding while the economy is shut down and in the process of re-opening. Many banks, including the Bank, have implemented hardship relief programs that include payment deferrals and short-term funding options. The success of these programs could mute the effect on the Company’s credit losses, which may be difficult to determine.</w:t>
      </w:r>
    </w:p>
    <w:p>
      <w:pPr>
        <w:spacing w:after="0" w:line="170"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A significant number of our borrowers have requested and received short-term loan payment deferrals. Although most of these loans have returned to normal payment schedules upon the expiration of their deferral, outstanding deferrals may negatively impact our results of operations in the near term and, if not effective in mitigating the effect of COVID-19 on our customers, may adversely affect our business and results of operations more substantially over a longer period of time. Moreover, the cumulative effects of the COVID-19 pandemic and the measures implemented by governments to combat the pandemic on the mortgaged properties may cause borrowers to be unable to meet their payment obligations under mortgage loans that we hold and may result in significant losses.</w:t>
      </w: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There are no comparable recent events that provide guidance as to the effect the spread of COVID-19 as a global pandemic may have, and, as a result, the ultimate impact of the outbreak is highly uncertain and subject to change. We do not yet know the full extent of the impacts on our business, our operations or the global economy as a whole.</w:t>
      </w:r>
    </w:p>
    <w:p>
      <w:pPr>
        <w:spacing w:after="0" w:line="19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Changes in market interest rates or capital markets, including volatility resulting from the COVID-19 pandemic, could affect our revenues and expenses, the value of assets and obligations, and the availability and cost of capital or liquidity.</w:t>
      </w:r>
    </w:p>
    <w:p>
      <w:pPr>
        <w:spacing w:after="0" w:line="1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The COVID-19 pandemic has significantly affected the financial markets and has resulted in a number of Federal Reserve actions. Market interest rates have declined significantly over the past year. We expect that these reductions in interest rates, especially if prolonged, could adversely affect our net interest income and margins and our profitability.</w:t>
      </w:r>
    </w:p>
    <w:p>
      <w:pPr>
        <w:sectPr>
          <w:pgSz w:w="11900" w:h="16838" w:orient="portrait"/>
          <w:cols w:equalWidth="0" w:num="1">
            <w:col w:w="11240"/>
          </w:cols>
          <w:pgMar w:left="320" w:top="121" w:right="339" w:bottom="17" w:gutter="0" w:footer="0" w:header="0"/>
        </w:sectPr>
      </w:pPr>
    </w:p>
    <w:bookmarkStart w:id="29" w:name="page30"/>
    <w:bookmarkEnd w:id="29"/>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Given our business mix, and the fact that most of our assets and liabilities are financial in nature, we tend to be sensitive to market interest rate movements and the performance of the financial markets. Our primary source of income is net interest income.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spacing w:after="0" w:line="21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In addition, the continued spread of COVID-19 has also led to disruption and volatility in financial markets, which could increase our cost of capital and adversely affect our ability to access financial markets, which may in turn affect the value of the subordinated notes. This market volatility could result in a significant decline in our stock price and market capitalization, which could result in goodwill impairment charges.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i w:val="1"/>
          <w:iCs w:val="1"/>
          <w:color w:val="auto"/>
        </w:rPr>
        <w:t>The Bank’s participation in the SBA’s Paycheck Protection Program may result in operational, credit or other shortfalls that may adversely affect our financial condition, results of operations, and future prospects.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In response to the COVID-19 pandemic, President Trump signed into law the CARES Act on March 27, 2020. Among other things, the CARES Act created a new facility, titled the “Paycheck Protection Program,” to the SBA’s 7(a) Loan Program. As of December 31, 2020, the Bank had funded over 2,050 loans under the PPP, totaling approximately $215 million. The PPP opened on April 3, 2020; however, because of the short window between the passing of the CARES Act and the opening of the PPP, there is some ambiguity in the laws, rules and guidance regarding the requirements and operation of the PPP, which exposes the Company to risks relating to noncompliance with the PPP. Any financial liability, litigation costs or reputational damage caused by PPP related litigation could have a material adverse impact on our business, financial condition and results of operations. In addition, the Company may be exposed to credit risk on a PPP loan if a determination is made by the SBA that there is a deficiency in the manner in which the loan was originated, funded or serviced. We cannot predict what operational, credit, or other shortfalls may arise as a result of the Bank making loans under the PPP or how such shortfalls may adversely affect our financial condition, results of operations and future prospects.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business has been and may continue to be adversely affected by current conditions in the financial markets and economic conditions generally.</w:t>
      </w:r>
    </w:p>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Our business is also significantly affected by monetary and related policies of the U.S. government and its agencies. The Federal Reserve’s recent unprecedented cuts to the federal funds interest rate in response to the COVID-19 pandemic may further impact our ability to attract deposits, generate attractive earnings through our investment portfolio, and negatively affect the value of our loans and other assets. If and when monetary policy changes lead to an increase in interest rates, it may also have an adverse effect on our business, financial condition and results of operations as it could reduce the demand for loans and affect the ability of our borrowers to repay their indebtedness subjecting us to potential loan losses. Changes in any of these policies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may grow through acquisitions, a strategy which may not be successful or, if successful, may produce risks in successfully integrating and managing the acquisitions and may dilute our shareholders.</w:t>
      </w:r>
    </w:p>
    <w:p>
      <w:pPr>
        <w:spacing w:after="0" w:line="20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As part of our growth strategy, we may pursue acquisitions of banks and nonbank financial services companies within or outside our principal market areas. We regularly identify and explore specific acquisition opportunities as part of our ongoing business practices.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pacing w:after="0" w:line="218"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Acquisitions involve numerous risks, any of which could harm our business.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 As a result, if we fail to properly evaluate mergers, acquisitions or investments, we may not achieve the anticipated benefits of any such merger, acquisition, or investment,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sectPr>
          <w:pgSz w:w="11900" w:h="16838" w:orient="portrait"/>
          <w:cols w:equalWidth="0" w:num="1">
            <w:col w:w="11240"/>
          </w:cols>
          <w:pgMar w:left="320" w:top="121" w:right="339" w:bottom="7" w:gutter="0" w:footer="0" w:header="0"/>
        </w:sectPr>
      </w:pPr>
    </w:p>
    <w:bookmarkStart w:id="31" w:name="page32"/>
    <w:bookmarkEnd w:id="31"/>
    <w:p>
      <w:pPr>
        <w:spacing w:after="0"/>
        <w:rPr>
          <w:sz w:val="20"/>
          <w:szCs w:val="20"/>
          <w:color w:val="auto"/>
        </w:rPr>
      </w:pPr>
      <w:r>
        <w:rPr>
          <w:rFonts w:ascii="Arial" w:cs="Arial" w:eastAsia="Arial" w:hAnsi="Arial"/>
          <w:sz w:val="21"/>
          <w:szCs w:val="21"/>
          <w:b w:val="1"/>
          <w:bCs w:val="1"/>
          <w:i w:val="1"/>
          <w:iCs w:val="1"/>
          <w:color w:val="auto"/>
        </w:rPr>
        <w:t>We may not be able to manage the risks associated with our anticipated growth through de novo branching.</w:t>
      </w:r>
    </w:p>
    <w:p>
      <w:pPr>
        <w:spacing w:after="0" w:line="24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Our business strategy includes evaluating potential strategic opportunities including potential growth through de novo branching.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may not be able to adequately measure and limit our credit risk, which could lead to unexpected losses.</w:t>
      </w:r>
    </w:p>
    <w:p>
      <w:pPr>
        <w:spacing w:after="0" w:line="24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loan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pacing w:after="0" w:line="2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Accordingly, we maintain an allowance for loan losses that represents management’s judgment of probable losses and risks inherent in our loan portfolio. There is no precise method of predicting loan losses, and therefore, we always face the risk that charge offs in future periods will exceed our allowance for loan losses and that additional increases in the allowance for loan losses will be required. The level of the allowance for loan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loan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loan losses.</w:t>
      </w:r>
    </w:p>
    <w:p>
      <w:pPr>
        <w:spacing w:after="0" w:line="18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In addition, we may further experience increased delinquencies, credit losses, and corresponding charges to capital, which could require us to increase our provision for loan losses associated with impacts related to the coronavirus outbreak due to quarantines, market downturns, increased unemployment rates, changes in consumer behavior related to pandemic fears, and related emergency response legislation, including the Families First Coronavirus Response Act. We may experience increased delinquencies and credit losses as a result of the outbreak. Further, if real estate markets or the economy in general deteriorate (due to the coronavirus outbreak or otherwise), the Bank may experience increased delinquencies and credit losses. The allowance for loan losses may not be sufficient to cover actual loan-related losses. Additionally, banking regulators may require the Bank to increase its allowance for loan losses in the future, which could have a negative effect on the Bank’s financial condition and results of operations. Additions to the allowance for loan losses will result in a decrease in net earnings and capital and could hinder our ability to grow our assets.</w:t>
      </w:r>
    </w:p>
    <w:p>
      <w:pPr>
        <w:spacing w:after="0" w:line="200" w:lineRule="exact"/>
        <w:rPr>
          <w:sz w:val="20"/>
          <w:szCs w:val="20"/>
          <w:color w:val="auto"/>
        </w:rPr>
      </w:pP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A new accounting standard will result in a significant change in how we recognize credit losses and may result in material increases to our allowance for loan losses.</w:t>
      </w:r>
    </w:p>
    <w:p>
      <w:pPr>
        <w:spacing w:after="0" w:line="20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The FASB has adopted a new accounting standard referred to as Current Expected Credit Loss (“CECL”). As we are an emerging growth company and take advantage of the extended transition period for complying with new or revised financial accounting standards under the JOBS Act, CECL will be effective for the Company and the Bank for our first fiscal quarter after December 15, 2022. This standard requires financial institutions to determine periodic estimates of lifetime expected credit losses on loans, and recognize the expected credit losses as allowances for loan losses. This will change the current method of providing allowances for loan losses that are probable, which would likely require us to increase our allowance for loan losses, and to greatly increase the types of data we would need to collect and review to determine the appropriate level of the allowance for loan losses. In anticipation of the adoption of CECL, we have incurred, and will likely continue to incur, significant additional expense to comply with the standard.</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Many of our loans are to commercial borrowers, which have a higher degree of risk than other types of loans.</w:t>
      </w:r>
    </w:p>
    <w:p>
      <w:pPr>
        <w:spacing w:after="0" w:line="24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As of December 31, 2020, loans to commercial borrowers represent approximately 71.5%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 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 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ectPr>
          <w:pgSz w:w="11900" w:h="16838" w:orient="portrait"/>
          <w:cols w:equalWidth="0" w:num="1">
            <w:col w:w="11240"/>
          </w:cols>
          <w:pgMar w:left="320" w:top="121" w:right="339" w:bottom="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subject to additional credit risk with respect to loans that we make to other lenders.</w:t>
      </w:r>
    </w:p>
    <w:p>
      <w:pPr>
        <w:spacing w:after="0" w:line="23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As a part of our commercial lending activities, we may make loans to customers that, in turn, make commercial and residential real estate loans to other borrowers. When we make a loan of this nature, we take as collateral the promissory notes issued by the end borrowers to our customer, which are themselves secured by the underlying real estate. Because we are not lending directly to the end borrower, and because our collateral is a promissory note rather than the underlying real estate, we may be subject to risks that are different from those we are exposed to when it makes a loan directly that is secured by commercial or residential real estate. Because the ability of the end borrower to repay its loan from our customer could affect the ability of our customer to repay its loan from us, our inability to exercise control over the relationship with the end borrower and the collateral, except under limited circumstances, could expose us to credit losses that adversely affect our business, financial condition and results of operations.</w:t>
      </w:r>
    </w:p>
    <w:p>
      <w:pPr>
        <w:spacing w:after="0" w:line="211" w:lineRule="exact"/>
        <w:rPr>
          <w:sz w:val="20"/>
          <w:szCs w:val="20"/>
          <w:color w:val="auto"/>
        </w:rPr>
      </w:pPr>
    </w:p>
    <w:p>
      <w:pPr>
        <w:jc w:val="both"/>
        <w:ind w:right="20"/>
        <w:spacing w:after="0" w:line="359" w:lineRule="auto"/>
        <w:rPr>
          <w:sz w:val="20"/>
          <w:szCs w:val="20"/>
          <w:color w:val="auto"/>
        </w:rPr>
      </w:pPr>
      <w:r>
        <w:rPr>
          <w:rFonts w:ascii="Arial" w:cs="Arial" w:eastAsia="Arial" w:hAnsi="Arial"/>
          <w:sz w:val="18"/>
          <w:szCs w:val="18"/>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110"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As of December 31, 2020, approximately 66.5% of our loan portfolio was comprised of loans with real estate as a primary component of collateral. Adverse developments affecting real estate values, particularly in our markets, could increase the credit risk associated with our real estate loan portfolio.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loan losses, which could adversely affect our business, financial condition and results of operations.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commercial real estate loan portfolio exposes us to risks that may be greater than the risks related to other mortgage loans.</w:t>
      </w:r>
    </w:p>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Our loan portfolio includes non-owner-occupied commercial real estate loans for individuals and businesses for various purposes, which are secured by commercial properties, as well as real estate construction and development loans. As of December 31, 2020, our non-owner-occupied commercial real estate loans totaled approximately 33.9%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portfolio of indirect dealer lending exposes us to increased credit risks.</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At December 31, 2020, approximately 9.0%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2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w:t>
      </w:r>
    </w:p>
    <w:p>
      <w:pPr>
        <w:sectPr>
          <w:pgSz w:w="11900" w:h="16838" w:orient="portrait"/>
          <w:cols w:equalWidth="0" w:num="1">
            <w:col w:w="11240"/>
          </w:cols>
          <w:pgMar w:left="320" w:top="121" w:right="339" w:bottom="0" w:gutter="0" w:footer="0" w:header="0"/>
        </w:sectPr>
      </w:pPr>
    </w:p>
    <w:bookmarkStart w:id="34" w:name="page35"/>
    <w:bookmarkEnd w:id="34"/>
    <w:p>
      <w:pPr>
        <w:spacing w:after="0" w:line="274" w:lineRule="auto"/>
        <w:rPr>
          <w:sz w:val="20"/>
          <w:szCs w:val="20"/>
          <w:color w:val="auto"/>
        </w:rPr>
      </w:pPr>
      <w:r>
        <w:rPr>
          <w:rFonts w:ascii="Arial" w:cs="Arial" w:eastAsia="Arial" w:hAnsi="Arial"/>
          <w:sz w:val="21"/>
          <w:szCs w:val="21"/>
          <w:color w:val="auto"/>
        </w:rPr>
        <w:t>which we operate and small to medium-sized businesses are adversely affected or our borrowers are otherwise affected by adverse business conditions, our business, financial condition and results of operations could be adversely affected.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Agricultural lending and volatility in commodity prices may adversely affect our financial condition and results of operations.</w:t>
      </w:r>
    </w:p>
    <w:p>
      <w:pPr>
        <w:spacing w:after="0" w:line="2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9"/>
          <w:szCs w:val="19"/>
          <w:color w:val="auto"/>
        </w:rPr>
        <w:t>At December 31, 2020, agricultural loans were approximately 4.8%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b w:val="1"/>
          <w:bCs w:val="1"/>
          <w:i w:val="1"/>
          <w:iCs w:val="1"/>
          <w:color w:val="auto"/>
        </w:rPr>
        <w:t>We generate noninterest income through the sale of crop insurance products, and a termination of or substantial changes to the Federal crop insurance program would adversely impact our revenues from such business.</w:t>
      </w:r>
    </w:p>
    <w:p>
      <w:pPr>
        <w:spacing w:after="0" w:line="13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Through the Federal Crop Insurance Corporation, the federal government subsidizes insurance companies by assuming an increasingly higher portion of losses incurred by farmers as a result of weather-related and other perils as well as commodity price fluctuations. The federal government also subsidizes the premium cost to farmers for multi-peril crop yield and revenue insurance. Without this risk assumption, losses incurred by insurers would be higher, increasing the premium on such insurance, and without the premium subsidy, the number of farmers purchasing multi-peril crop insurance would decline significantly. Periodically, members of the U.S. Congress propose to significantly reduce the government’s involvement in the federal crop insurance program in an effort to reduce government spending. If legislation is adopted to reduce the amount of risk the government assumes, reduce the amount of insurance premium subsidies provided to farmers or otherwise change the coverage provided under multi-peril crop insurance policies, purchases of multi-peril crop insurance could experience a significant decline nationwide and in our market areas. For the year ended December 31, 2020, the Bank had approximately $7.6 million in noninterest income attributable to sales of crop insurance.</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Sustained low oil prices, volatility in oil prices and downturns in the energy industry, including in Texas, could lead to increased credit losses in our energy portfolio, weaker demand for energy lending, and adversely affect our business, results of operations and financial condition.</w:t>
      </w:r>
    </w:p>
    <w:p>
      <w:pPr>
        <w:spacing w:after="0" w:line="2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intention to increase our energy lending, and our business, financial condition and results of operations. In addition to our direct exposure to energy loans, we also have indirect exposure to energy prices, as some of our non-energy customers’ businesses are directly affected by volatility with the oil and gas industry and energy prices. Prolonged or further pricing pressure on oil and gas could lead to increased credit stress in our energy portfolio, increased losses associated with our energy portfolio, increased utilization of our contractual obligations to extend credit and weaker demand for energy lending. Such a decline or general uncertainty resulting from continued volatility could have other adverse and unpredictable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reduce our growth rate, affect the ability of our customers to repay their loans, affect the value of any collateral underlying our loans, and generally affect our business, financial condition and results of operations. Due to our geographic concentration, specifically in Texas, we may be less able than other larger regional or national financial institutions to diversify our credit risk across multiple markets.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b w:val="1"/>
          <w:bCs w:val="1"/>
          <w:i w:val="1"/>
          <w:iCs w:val="1"/>
          <w:color w:val="auto"/>
        </w:rPr>
        <w:t>Changes in U.S. trade policies and other factors beyond the Company’s control, including the imposition of tariffs and retaliatory tariffs, may adversely impact our business, financial condition and results of operations.</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There have been discussions regarding potential changes to U.S. trade policies, legislation, treaties and tariffs. Tariffs and retaliatory tariffs have been imposed, and additional tariffs and retaliation tariffs have been proposed. Such tariffs, retaliatory tariffs or other trade restrictions on products and materials that our customers import or export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adversely impacted. However, a de minimis amount of collateral securing our loans is located outside of the U.S. A trade war or other governmental action related to tariffs or international trade agreements or policies have the potential to negatively impact</w:t>
      </w:r>
    </w:p>
    <w:p>
      <w:pPr>
        <w:sectPr>
          <w:pgSz w:w="11900" w:h="16838" w:orient="portrait"/>
          <w:cols w:equalWidth="0" w:num="1">
            <w:col w:w="11240"/>
          </w:cols>
          <w:pgMar w:left="320" w:top="121" w:right="339" w:bottom="0" w:gutter="0" w:footer="0" w:header="0"/>
        </w:sectPr>
      </w:pPr>
    </w:p>
    <w:bookmarkStart w:id="36" w:name="page37"/>
    <w:bookmarkEnd w:id="36"/>
    <w:p>
      <w:pPr>
        <w:spacing w:after="0" w:line="251" w:lineRule="auto"/>
        <w:rPr>
          <w:sz w:val="20"/>
          <w:szCs w:val="20"/>
          <w:color w:val="auto"/>
        </w:rPr>
      </w:pPr>
      <w:r>
        <w:rPr>
          <w:rFonts w:ascii="Arial" w:cs="Arial" w:eastAsia="Arial" w:hAnsi="Arial"/>
          <w:sz w:val="22"/>
          <w:szCs w:val="22"/>
          <w:color w:val="auto"/>
        </w:rPr>
        <w:t>our and/or our customers’ costs, demand for our customers’ products, and/or the U.S. economy or certain sectors thereof and, thus, adversely affect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amount of nonperforming assets may increase and can take significant time and resources to resolve.</w:t>
      </w:r>
    </w:p>
    <w:p>
      <w:pPr>
        <w:spacing w:after="0" w:line="2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properties that we own and certain foreclosed real estate assets could subject us to environmental risks and associated costs.</w:t>
      </w:r>
    </w:p>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There is a risk that hazardous substances or wastes, contaminants, pollutants or other environmentally restricted substances could be discovered on our properties or our foreclosed assets (particularly with real estate loans). In this event, we might be required to remove the substances from the affected properties or to engage in abatement procedures at our cost.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 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spacing w:after="0" w:line="200" w:lineRule="exact"/>
        <w:rPr>
          <w:sz w:val="20"/>
          <w:szCs w:val="20"/>
          <w:color w:val="auto"/>
        </w:rPr>
      </w:pPr>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16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pacing w:after="0" w:line="21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w:t>
      </w:r>
    </w:p>
    <w:p>
      <w:pPr>
        <w:spacing w:after="0" w:line="21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In addition, an economic downturn could result in losses, as determined under our accounting methodologies that may materially and adversely affect our business, financial condition, results of operations and future prospects.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largest loan relationships make up a material percentage of our total loan portfolio.</w:t>
      </w:r>
    </w:p>
    <w:p>
      <w:pPr>
        <w:spacing w:after="0" w:line="23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We have extended significant amounts of credit to a limited number of borrowers As of December 31, 2020, our 20 largest borrowing relationships ranged from approximately $13.9 million to $36.7 million (including unfunded commitments) and totaled approximately 16.1% of our outstanding commitments. If any of these relationships become delinquent or suffer default, we could be exposed to material losses which may have a material adverse effect on our business, financial condition and results of operations.</w:t>
      </w:r>
    </w:p>
    <w:p>
      <w:pPr>
        <w:spacing w:after="0" w:line="21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ectPr>
          <w:pgSz w:w="11900" w:h="16838" w:orient="portrait"/>
          <w:cols w:equalWidth="0" w:num="1">
            <w:col w:w="11240"/>
          </w:cols>
          <w:pgMar w:left="320" w:top="121" w:right="339" w:bottom="168" w:gutter="0" w:footer="0" w:header="0"/>
        </w:sectPr>
      </w:pPr>
    </w:p>
    <w:bookmarkStart w:id="38" w:name="page39"/>
    <w:bookmarkEnd w:id="38"/>
    <w:p>
      <w:pPr>
        <w:jc w:val="both"/>
        <w:ind w:firstLine="324"/>
        <w:spacing w:after="0" w:line="234" w:lineRule="auto"/>
        <w:rPr>
          <w:sz w:val="20"/>
          <w:szCs w:val="20"/>
          <w:color w:val="auto"/>
        </w:rPr>
      </w:pPr>
      <w:r>
        <w:rPr>
          <w:rFonts w:ascii="Arial" w:cs="Arial" w:eastAsia="Arial" w:hAnsi="Arial"/>
          <w:sz w:val="22"/>
          <w:szCs w:val="22"/>
          <w:color w:val="auto"/>
        </w:rPr>
        <w:t>At December 31, 2020, our 20 largest deposit relationships accounted for approximately 15.6% of our total deposits. Withdrawals of deposits by any one of our largest depositors or by one of our related customer groups could force us to rely more heavily on other potentially more expensive and less stable sources of funding for 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Liquidity risk could impair our ability to fund operations and meet our obligations as they become due and could jeopardize our financial condition.</w:t>
      </w:r>
    </w:p>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Liquidity is essential to the business of the Bank. Liquidity risk is the potential that the Bank will be unable to meet its obligations as they come due because of an inability to liquidate assets or obtain adequate funding.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Any substantial, unexpected and/or prolonged change in the level or cost of liquidity could have a material adverse effect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Customers could pursue alternatives to bank deposits, causing us to lose a relatively inexpensive source of funding.</w:t>
      </w:r>
    </w:p>
    <w:p>
      <w:pPr>
        <w:spacing w:after="0" w:line="2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Technology has made it more convenient for bank customers to transfer funds into alternative investments or other deposit accounts, including products offered by other financial institutions or non-bank service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In the current environment of low interest rates, our deposits may not be as stable or as interest rate insensitive as similar deposits may have been in the past, and some existing or prospective deposit customers of banks generally, including the Bank, may be inclined to pursue other investment alternatives, which may negatively impact our net interest margin. Efforts and initiatives we undertake to retain and increase deposits, including deposit pricing, can increase our costs. As our assets grow, we may face increasing pressure to seek new deposits through expanded channels from new customers at favorable pricing, further increasing our costs.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continually encounter technological changes which could result in us having fewer resources than many of our competitors to continue to invest in technological improvements.</w:t>
      </w:r>
    </w:p>
    <w:p>
      <w:pPr>
        <w:spacing w:after="0" w:line="20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keep pace with technological change affecting the financial services industry could have a material adverse impact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profitability is vulnerable to interest rate fluctuations.</w:t>
      </w:r>
    </w:p>
    <w:p>
      <w:pPr>
        <w:spacing w:after="0" w:line="2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Our profitability, like that of most financial institutions, is dependent to a large extent on our net interest income.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In periods of increasing interest rates, loan originations may decline, and our borrowers may experience greater difficulties meeting their obligations, depending on the performance of the overall economy, which may adversely affect income from these lending activities. This could result in decreased interest income, decreased mortgage revenues and corresponding decreases in noninterest income from projected levels.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 Conversely, in the current environment of decreasing interest rates and associated impacts of the coronavirus outbreak on the overall economy, such as rising unemployment levels or changes in consumer behavior related to loans, loan originations may also decline, and our borrowers may experience difficulties meeting their obligations or seek to refinance their loans for lower rates, which may adversely affect income from these lending activities and negatively impact our net interest margin.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adversely impacted by the transition from LIBOR as a reference rate.</w:t>
      </w:r>
    </w:p>
    <w:p>
      <w:pPr>
        <w:spacing w:after="0" w:line="23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In 2017, the United Kingdom’s Financial Conduct Authority (the authority that regulates LIBOR) announced it intends to stop compelling banks to submit rates for the calculation of LIBOR after December 31, 2021. While there is no consensus on what rate or rates may become accepted alternatives to LIBOR, the Alternative Reference Rates Committee (the “ARRC”) has proposed the Secured Overnight Financing Rate (“SOFR”) as the alternative rate for use in derivatives and other financial contracts currently being indexed to LIBOR. SOFR is a daily index of the interest rate banks and hedge funds pay to borrow money overnight, secured by U.S. Treasury securities. Currently no forward-looking term index (like LIBOR) yet exists and the development of a SOFR-based term rate is ongoing. Historically, SOFR has been lower than LIBOR because it does not take into account bank credit risk. Accordingly, a credit spread adjustment is being considered. Since the proposed SOFR is calculated</w:t>
      </w:r>
    </w:p>
    <w:p>
      <w:pPr>
        <w:sectPr>
          <w:pgSz w:w="11900" w:h="16838" w:orient="portrait"/>
          <w:cols w:equalWidth="0" w:num="1">
            <w:col w:w="11240"/>
          </w:cols>
          <w:pgMar w:left="320" w:top="122" w:right="339" w:bottom="0" w:gutter="0" w:footer="0" w:header="0"/>
        </w:sectPr>
      </w:pPr>
    </w:p>
    <w:bookmarkStart w:id="40" w:name="page41"/>
    <w:bookmarkEnd w:id="40"/>
    <w:p>
      <w:pPr>
        <w:jc w:val="both"/>
        <w:spacing w:after="0" w:line="241" w:lineRule="auto"/>
        <w:rPr>
          <w:sz w:val="20"/>
          <w:szCs w:val="20"/>
          <w:color w:val="auto"/>
        </w:rPr>
      </w:pPr>
      <w:r>
        <w:rPr>
          <w:rFonts w:ascii="Arial" w:cs="Arial" w:eastAsia="Arial" w:hAnsi="Arial"/>
          <w:sz w:val="22"/>
          <w:szCs w:val="22"/>
          <w:color w:val="auto"/>
        </w:rPr>
        <w:t>differently than LIBOR, payments under contracts referencing the new rates may differ from those referencing LIBOR. At this time, it is not possible to predict whether SOFR will attain market traction as a LIBOR replacement tool, and the future of LIBOR is still uncertain.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 outflows may increase reliance on borrowings and brokered deposits as sources of funds.</w:t>
      </w:r>
    </w:p>
    <w:p>
      <w:pPr>
        <w:spacing w:after="0" w:line="23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We have traditionally funded asset growth principally through deposits and borrowings. As a general matter, deposits are typically a lower cost source of funds than external wholesale funding (brokered deposits and borrowed funds), because interest rates paid for deposits are typically less than interest rates charged for wholesale funding. If, as a result of competitive pressures, market interest rates, alternative investment opportunities that present more attractive returns to customers, general economic conditions or other events,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 adversely impacted by an economic downturn or a natural disaster affecting one or more of our market areas.</w:t>
      </w:r>
    </w:p>
    <w:p>
      <w:pPr>
        <w:spacing w:after="0" w:line="268"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Because most of our business activities are conducted in Texas and New Mexico and most of our credit exposure is there, we are at risk to adverse economic, political or business developments, including a downturn in real estate values, agricultural activities, the oil and gas industry and natural hazards such as floods, ice storms and tornadoes that affect Texas and New Mexico. Although our customers’ business and financial interests may extend beyond these market areas, adverse conditions that affect these market areas could reduce our growth rate, affect the ability of our customers to repay loans, affect the value of collateral underlying loans, impact our ability to attract deposits, and generally affect our financial condition and results of operations. Because of our geographic concentration, we may be less able than other financial institutions to diversify our credit risks across multiple markets.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Mortgage originations have increased due to growth in refinance activity, and this trend may not continue.</w:t>
      </w:r>
    </w:p>
    <w:p>
      <w:pPr>
        <w:spacing w:after="0" w:line="233"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Mortgage revenues, which are primarily recognized from the sale in the secondary market of mortgage loans, are a source of noninterest income for the Bank and a contributor to the Bank’s net income. Mortgage revenues for the year ended December 31, 2020 were $65.0 million. As the result of the low level of market interest rates that existed for the past several years, demand for loans to refinance existing mortgages has remained strong. As market interest rates increase from the current low rate environment, there may be fewer opportunities for financial institutions to originate loans to refinance existing mortgages. If mortgage originations decrease, projected mortgage revenues and noninterest income will decrease.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 conditions could have a material impact on our ability to sell originated mortgages in the secondary market.</w:t>
      </w:r>
    </w:p>
    <w:p>
      <w:pPr>
        <w:spacing w:after="0" w:line="268"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value of our mortgage servicing rights can be volatile.</w:t>
      </w:r>
    </w:p>
    <w:p>
      <w:pPr>
        <w:spacing w:after="0" w:line="233"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We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212"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$9.0 million of mortgage servicing rights as of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risk management framework may not be effective in mitigating risks or losses to us.</w:t>
      </w:r>
    </w:p>
    <w:p>
      <w:pPr>
        <w:spacing w:after="0" w:line="233"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Our risk management framework consists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framework is not effective, we could suffer unexpected losses and our business, financial condition, results of</w:t>
      </w:r>
    </w:p>
    <w:p>
      <w:pPr>
        <w:sectPr>
          <w:pgSz w:w="11900" w:h="16838" w:orient="portrait"/>
          <w:cols w:equalWidth="0" w:num="1">
            <w:col w:w="11240"/>
          </w:cols>
          <w:pgMar w:left="320" w:top="122" w:right="339" w:bottom="0" w:gutter="0" w:footer="0" w:header="0"/>
        </w:sectPr>
      </w:pPr>
    </w:p>
    <w:bookmarkStart w:id="42" w:name="page43"/>
    <w:bookmarkEnd w:id="42"/>
    <w:p>
      <w:pPr>
        <w:jc w:val="both"/>
        <w:spacing w:after="0" w:line="251" w:lineRule="auto"/>
        <w:rPr>
          <w:sz w:val="20"/>
          <w:szCs w:val="20"/>
          <w:color w:val="auto"/>
        </w:rPr>
      </w:pPr>
      <w:r>
        <w:rPr>
          <w:rFonts w:ascii="Arial" w:cs="Arial" w:eastAsia="Arial" w:hAnsi="Arial"/>
          <w:sz w:val="22"/>
          <w:szCs w:val="22"/>
          <w:color w:val="auto"/>
        </w:rPr>
        <w:t>operations or growth prospects could be materially and adversely affected. We may also be subject to potentially adverse regulatory consequences.</w:t>
      </w:r>
    </w:p>
    <w:p>
      <w:pPr>
        <w:spacing w:after="0" w:line="200"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132"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There are investment performance, fiduciary and asset servicing risks associated with our trust operations.</w:t>
      </w:r>
    </w:p>
    <w:p>
      <w:pPr>
        <w:spacing w:after="0" w:line="233"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exposed to cybersecurity risks associated with our internet-based systems and online commerce security.</w:t>
      </w:r>
    </w:p>
    <w:p>
      <w:pPr>
        <w:spacing w:after="0" w:line="268"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 Although we have not experienced a cyber-incident which has compromised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211"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A breach in the security of any of our information systems, or other cyber incident, could have an adverse impact on, among other things, our revenue, ability to attract and maintain customers and business reputation.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operations could be interrupted if our third-party service providers experience difficulty, terminate their services or fail to comply with banking regulations.</w:t>
      </w:r>
    </w:p>
    <w:p>
      <w:pPr>
        <w:spacing w:after="0" w:line="20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We depend on a number of relationships with third-party service providers. Specifically, we receive certain third-party services including, but not limited to, core systems processing, essential web hosting and other Internet systems, online banking services, deposit processing and other processing services. If these third-party service providers experience difficulties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perhaps materially. Even if we are able to replace third-party service providers, it may be at a higher cost to us, which could adversely affect our business, financial condition and results of operations.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subject to certain operating risks related to employee error and customer, employee and third party misconduct, which could harm our reputation and business.</w:t>
      </w:r>
    </w:p>
    <w:p>
      <w:pPr>
        <w:spacing w:after="0" w:line="20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Employee error or employee and customer misconduct could subject us to financial losses or regulatory sanctions and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always be effective. Because the nature of the financial services business involves a high volume of transactions, certain errors may be repeated or compounded before they are discovered and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ectPr>
          <w:pgSz w:w="11900" w:h="16838" w:orient="portrait"/>
          <w:cols w:equalWidth="0" w:num="1">
            <w:col w:w="11240"/>
          </w:cols>
          <w:pgMar w:left="320" w:top="122" w:right="339" w:bottom="193"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93"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rely heavily on our management team and the unexpected loss of key officers may adversely affect our operations.</w:t>
      </w:r>
    </w:p>
    <w:p>
      <w:pPr>
        <w:spacing w:after="0" w:line="268"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 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Competition from other financial intermediaries may adversely affect our profitability.</w:t>
      </w:r>
    </w:p>
    <w:p>
      <w:pPr>
        <w:spacing w:after="0" w:line="2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Furthermore, our legal lending limit is significantly less than the limits for many of our competitors, and this may hinder our ability to establish relationships with larger businesses in our primary service area. This competition may limit our future growth and earnings prospects.</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If we fail to maintain effective internal control over financial reporting, we may not be able to accurately report its financial results or prevent fraud.</w:t>
      </w:r>
    </w:p>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Our management may conclude that our internal control over financial reporting is not effective due to our failure to cure any identified material weakness or otherwise. Moreover, even if our management concludes that its internal control over financial reporting is effective, our independent registered public accounting firm may not conclude that our internal control over financial reporting is effective. In addition, during the course of the evaluation, documentation and testing of our internal control over financial reporting, we may identify deficiencies that we may not be able to remediate in time to meet the deadline imposed by the Federal Deposit Insurance Corporation Improvement Act of 1991 (the “FDICIA”) for compliance with the requirement of FDICIA. Any such deficiencies may also subject us to adverse regulatory consequences. If we fail to achieve and maintain the adequacy of our internal control over financial reporting, as these standards are modified, supplemented or amended from time to time, we may be unable to report our financial information on a timely basis, we may not be able to conclude on an ongoing basis that we have effective internal control over financial reporting in accordance with the Sarbanes-Oxley Act or the FDICIA, and we may suffer adverse regulatory consequences or violations of listing standards. There could also be a negative reaction in the financial markets due to a loss of investor confidence in the reliability of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obligations associated with being a public company require significant resources and management attention.</w:t>
      </w:r>
    </w:p>
    <w:p>
      <w:pPr>
        <w:spacing w:after="0" w:line="26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We expect to incur significant incremental costs related to operating as a public company, particularly when we no longer qualify as an emerging growth company. We are subject to the reporting requirements of the Exchange Act, which require that we file annual, quarterly and current reports with respect to our business and financial condition and proxy and other information statements, and the rules and regulations implemented by the SEC, the Sarbanes-Oxley Act, the Dodd-Frank Act, the Public Company Accounting Oversight Board (the “PCAOB”) and NASDAQ, each of which imposes additional reporting and other obligations. We expect these rules and regulations and changes in laws, regulations and standards relating to corporate governance and public disclosure to increase legal and financial compliance costs and make some activities more time consuming and costly.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equity compensation plan will cause dilution and increase our costs, which will reduce our income.</w:t>
      </w:r>
    </w:p>
    <w:p>
      <w:pPr>
        <w:spacing w:after="0" w:line="2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Our equity compensation plan allows us to award shares of our common stock (at no cost to the participant), award options to purchase shares of our common stock, and award other equity-based compensation. Additionally, on an annual basis and without shareholder approval, the number of approved shares available for issuance under the equity compensation plan increases by 3% of our total issued and outstanding shares as of the beginning of that fiscal year unless our Board exercises its discretion to limit such an increase. Issuance of awards under our equity compensation plan is a risk factor our shareholders in at least two ways. First, issuances of our common stock and exercise of equity-based awards underlying our common stock causes dilution of</w:t>
      </w:r>
    </w:p>
    <w:p>
      <w:pPr>
        <w:sectPr>
          <w:pgSz w:w="11900" w:h="16838" w:orient="portrait"/>
          <w:cols w:equalWidth="0" w:num="1">
            <w:col w:w="11240"/>
          </w:cols>
          <w:pgMar w:left="320" w:top="122" w:right="339" w:bottom="0" w:gutter="0" w:footer="0" w:header="0"/>
        </w:sectPr>
      </w:pPr>
    </w:p>
    <w:bookmarkStart w:id="45" w:name="page46"/>
    <w:bookmarkEnd w:id="45"/>
    <w:p>
      <w:pPr>
        <w:jc w:val="both"/>
        <w:spacing w:after="0" w:line="238" w:lineRule="auto"/>
        <w:rPr>
          <w:sz w:val="20"/>
          <w:szCs w:val="20"/>
          <w:color w:val="auto"/>
        </w:rPr>
      </w:pPr>
      <w:r>
        <w:rPr>
          <w:rFonts w:ascii="Arial" w:cs="Arial" w:eastAsia="Arial" w:hAnsi="Arial"/>
          <w:sz w:val="22"/>
          <w:szCs w:val="22"/>
          <w:color w:val="auto"/>
        </w:rPr>
        <w:t>shareholders’ ownership interests which, in the aggregate, may be significant. Second, issuances of our common stock and other equity-based awards are expensed by us over their vesting period at the fair market value of the shares on the date they are awarded. Accordingly, grants made under the equity compensation plan will increase our costs, which will reduce our net income.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Negative public opinion could damage our reputation and adversely impact our earnings.</w:t>
      </w:r>
    </w:p>
    <w:p>
      <w:pPr>
        <w:spacing w:after="0" w:line="23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 In addition, investors have begun to consider how corporations are addressing environmental, social and governance matters, commonly known as “ESG matters” when making investment decisions. For example, certain investors are beginning to incorporate the business risks of climate change and the adequacy of companies’ responses to climate change and other ESG matters as part of their investment theses. These shifts in investing priorities may result in adverse effects on the trading price of the Company’s common stock if investors determine that the Company has not made sufficient progress on ESG matters.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adversely affected by the soundness of other financial institutions.</w:t>
      </w:r>
    </w:p>
    <w:p>
      <w:pPr>
        <w:spacing w:after="0" w:line="23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Until May 31, 2018, our Company was an S Corporation, and claims of taxing authorities related to our prior status as an S Corporation could harm us.</w:t>
      </w:r>
    </w:p>
    <w:p>
      <w:pPr>
        <w:spacing w:after="0" w:line="20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Until May 31, 2018, our Company was an S Corporation. Effective May 31, 2018, the Company revoked its S Corporation election and the Company became taxed as a C Corporation under the provisions of Sections 301 to 385 of the Internal Revenue Code of 1986, as amended (the “Code”) (which treat the corporation as an entity that is subject to an entity level U.S. federal income tax). If the unaudited, open tax years in which we were an S Corporation are audited by the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Regulatory Environment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We operate in a highly regulated environment and the laws and regulations that govern our operations, corporate governance, executive compensation and accounting principles, or changes in them, or failure to comply with them, could adversely affect us.</w:t>
      </w:r>
    </w:p>
    <w:p>
      <w:pPr>
        <w:spacing w:after="0" w:line="213"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We are subject to extensive regulation, supervision and legal requirements that govern almost all aspects of our operations. These laws and regulations are not intended to protect our shareholders. Rather, these laws and regulations are intended to protect customers, depositors, the DIF and the overall financial stability of the banking system in the United States. Compliance with laws and regulations can be difficult and costly, and changes to laws and regulations often impose additional compliance costs. Our failure to comply with these laws and regulations, even if the failure follows good faith effort or reflects a difference in interpretation, could subject us to restrictions on our business activities, fines and other penalties, any of which could adversely affect our results of operations, capital base and the price of our securities. Further, any new laws, rules and regulations could make compliance more difficult or expensive or otherwise adversely affect our business, financial condition and results of operations.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subject to commercial real estate lending guidance issued by the federal banking regulators that impacts our operations and capital requirements.</w:t>
      </w:r>
    </w:p>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The federal bank regulators have issued final guidance regarding concentrations in commercial real estate lending directed at institutions that have concentrations of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w:t>
      </w:r>
    </w:p>
    <w:p>
      <w:pPr>
        <w:sectPr>
          <w:pgSz w:w="11900" w:h="16838" w:orient="portrait"/>
          <w:cols w:equalWidth="0" w:num="1">
            <w:col w:w="11240"/>
          </w:cols>
          <w:pgMar w:left="320" w:top="122" w:right="339" w:bottom="0" w:gutter="0" w:footer="0" w:header="0"/>
        </w:sectPr>
      </w:pPr>
    </w:p>
    <w:bookmarkStart w:id="47" w:name="page48"/>
    <w:bookmarkEnd w:id="47"/>
    <w:p>
      <w:pPr>
        <w:jc w:val="both"/>
        <w:spacing w:after="0" w:line="247" w:lineRule="auto"/>
        <w:rPr>
          <w:sz w:val="20"/>
          <w:szCs w:val="20"/>
          <w:color w:val="auto"/>
        </w:rPr>
      </w:pPr>
      <w:r>
        <w:rPr>
          <w:rFonts w:ascii="Arial" w:cs="Arial" w:eastAsia="Arial" w:hAnsi="Arial"/>
          <w:sz w:val="21"/>
          <w:szCs w:val="21"/>
          <w:color w:val="auto"/>
        </w:rPr>
        <w:t>should implement heightened risk management practices appropriate to their concentration risk and may be required to maintain higher capital ratios than institutions with lower concentrations in commercial real estate lending. Our ADC loans comprise 61.1% of the Bank’s capital, and our non-owner occupied commercial real estate loans comprise 180.1% of the Bank’s capital. Although we are below the concentrations set forth in the guidance, we cannot guarantee that any risk management practices we implement will be effective to prevent losses relating to our commercial real estate portfolio. Management has implemented controls to monitor the Bank’s commercial real estate lending concentrations, but we cannot predict the extent to which this guidance will impact our operations or capital requirements.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Legislative and regulatory actions taken now or in the future may increase our costs and impact our business, governance structure, financial condition or results of operations.</w:t>
      </w:r>
    </w:p>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Many of our new activities and expansion plans require regulatory approvals, and failure to obtain them may restrict our growth.</w:t>
      </w:r>
    </w:p>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Generally, we must receive federal regulatory approval before we can acquire an FDIC-insured depository institution or related business.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 In addition,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Federal Reserve may require the Company to commit capital resources to support the Bank.</w:t>
      </w:r>
    </w:p>
    <w:p>
      <w:pPr>
        <w:spacing w:after="0" w:line="23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The Dodd-Frank Act and the Federal Reserve require a bank holding company to act as a source of financial and managerial strength to a subsidiary bank and to commit resources to support such subsidiary bank. Accordingly, a capital injection may be required to provide financial assistance to the Bank if it experiences financial distress. Such capital injection may be required at times when the Company may not have the resources to provide and therefore may be required to borrow the funds or raise capital to make the required capital injection. Any borrowing by the Company in order to make the required capital injection may be more difficult and expensive and may adversely impact the Company’s financial condition, results of operations and/or future prospects.</w:t>
      </w:r>
    </w:p>
    <w:p>
      <w:pPr>
        <w:spacing w:after="0" w:line="21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As a regulated entity, we and the Bank must maintain certain required levels of regulatory capital that may limit our and the Bank’s operations and potential growth.</w:t>
      </w:r>
    </w:p>
    <w:p>
      <w:pPr>
        <w:spacing w:after="0" w:line="20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We and the Bank are subject to various regulatory capital requirements administered by the FDIC and the Federal Reserve, respectively. See “Supervision and Regulation—Regulatory Capital Requirements.” Many factors affect the calculation of our risk-based assets and our ability to maintain the level of capital required to achieve acceptable capital ratios. For example, any increases in our risk-weighted assets will require a corresponding increase in our capital to maintain the applicable ratios. In addition, recognized loan losses in excess of amounts reserved for such losses, loan impairments, impairment losses on securities and other factors will decrease our capital, thereby reducing the level of the applicable ratios. Our failure to remain well-capitalized for bank regulatory purposes, either under the existing capital requirements or under the CBLR framework, if applicable, could affect customer confidence, our ability to grow, our costs of funds and FDIC insurance costs, the Bank’s ability to pay dividends to the Company, the Company’s ability to pay dividends on its common stock, our ability to make acquisitions, and on our business, results of operations and financial condition. Under regulatory rules, if we cease to be a well-capitalized institution for bank regulatory purposes, the interest rates that we pay on deposits and our ability to accept brokered deposits may be restricted.</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2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Our regulators periodically examine our business, including our compliance with laws and regulations.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w:t>
      </w:r>
    </w:p>
    <w:p>
      <w:pPr>
        <w:sectPr>
          <w:pgSz w:w="11900" w:h="16838" w:orient="portrait"/>
          <w:cols w:equalWidth="0" w:num="1">
            <w:col w:w="11240"/>
          </w:cols>
          <w:pgMar w:left="320" w:top="122" w:right="339" w:bottom="0" w:gutter="0" w:footer="0" w:header="0"/>
        </w:sectPr>
      </w:pPr>
    </w:p>
    <w:bookmarkStart w:id="49" w:name="page50"/>
    <w:bookmarkEnd w:id="49"/>
    <w:p>
      <w:pPr>
        <w:spacing w:after="0" w:line="251" w:lineRule="auto"/>
        <w:rPr>
          <w:sz w:val="20"/>
          <w:szCs w:val="20"/>
          <w:color w:val="auto"/>
        </w:rPr>
      </w:pPr>
      <w:r>
        <w:rPr>
          <w:rFonts w:ascii="Arial" w:cs="Arial" w:eastAsia="Arial" w:hAnsi="Arial"/>
          <w:sz w:val="22"/>
          <w:szCs w:val="22"/>
          <w:color w:val="auto"/>
        </w:rPr>
        <w:t>Bank’s FDIC deposit insurance and place the Bank into receivership or conservatorship. Any regulatory action against us could have an adverse effect on our business, financial condition and results of operations.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21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 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Failure to maintain and implement adequate programs to combat money laundering and terrorist financing could have serious reputational consequences for us.</w:t>
      </w:r>
    </w:p>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The BSA, the USA PATRIOT Act, the National Defense Authorization Act and other laws and regulations require financial institutions, among other duties, to institute and maintain effective anti-money laundering programs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 regulators, as well as the DOJ, Drug Enforcement Administration and IRS. There is also increased scrutiny of compliance with the rules enforced by the OFAC.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face increased risk under the terms of the CRA, as we accept additional deposits in new geographic markets.</w:t>
      </w:r>
    </w:p>
    <w:p>
      <w:pPr>
        <w:spacing w:after="0" w:line="2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Maintaining an acceptable CRA rating may become more difficult as our deposits increase across new geographic markets.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subject to federal and state fair lending laws, and failure to comply with these laws could lead to material penalties.</w:t>
      </w: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Federal and state fair lending laws and regulations, such as the ECOA, and the FHA, impose nondiscriminatory lending requirements on financial institutions. The DOJ, CFPB and other federal and state agencies are responsible for enforcing these laws and regulations.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 activity and restrictions on expansion activity, which could negatively impact our reputation, business, financial condition and results of operations.</w:t>
      </w:r>
    </w:p>
    <w:p>
      <w:pPr>
        <w:sectPr>
          <w:pgSz w:w="11900" w:h="16838" w:orient="portrait"/>
          <w:cols w:equalWidth="0" w:num="1">
            <w:col w:w="11240"/>
          </w:cols>
          <w:pgMar w:left="320" w:top="122" w:right="339" w:bottom="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Risks Related to Our Common Stock</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An active public trading market may not develop and, even if it does, our share price may trade below the initial public offering price and be subject to substantial volatility.</w:t>
      </w:r>
    </w:p>
    <w:p>
      <w:pPr>
        <w:spacing w:after="0" w:line="20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We completed the initial public offering, and the Company’s common stock began trading on the NASDAQ Global Select Market, in May 2019. An active trading market for shares of our common stock may not be sustained. If an active trading market is not sustained, you may have difficulty selling your shares of our common stock at an attractive price, or at all. Consequently, you may not be able to sell your shares of our common stock at or above an attractive price at the time that you would like to sell.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The market price of our common stock could be volatile and may fluctuate significantly, which could cause the value of an investment in our common stock to decline, result in losses to our shareholders and litigation against us.</w:t>
      </w:r>
    </w:p>
    <w:p>
      <w:pPr>
        <w:spacing w:after="0" w:line="13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The market price of our common stock may be volatile and could be subject to wide fluctuations in price in response to various factors, some of which are beyond our control. 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Despite unsuccessful, as in the past, securities class action lawsuits have been instituted against some companies following periods of volatility in the market price of its securities. We could in the future be the target of similar litigation. Securities litigation could result in substantial costs and divert management’s attention and resources from our normal business, which could adversely affect our results of operation and financial condition.</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Future equity issuances, including through our current or any future equity compensation plans, could result in dilution, which could cause the price of our shares of common stock to decline.</w:t>
      </w:r>
    </w:p>
    <w:p>
      <w:pPr>
        <w:spacing w:after="0" w:line="20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We may issue additional shares of our common stock in the future pursuant to current or future equity compensation plans, upon conversions of preferred stock or debt, upon exercise of warrants or in connection with future acquisitions or financings. We may seek to raise additional funds, finance acquisitions or develop strategic relationships by issuing additional shares of our common stock.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20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Although there are currently no shares of our preferred stock outstanding, our certificate of formation authorizes us to issue up to 1,000,000 shares of one or more series of preferred stock. The Board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directors and executive officers have significant control over our business.</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Due to the significant ownership interests of our directors and executive officers, our directors and executive officers are able to significantly affect our management, affairs and policies. For example, our directors and executive officers may be able to influence the outcome of the election of directors and the potential outcome of other matters submitted to a vote of our shareholders, such as mergers, the sale of substantially all of our assets and other extraordinary corporate matters. 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 See “Certain Relationships and Related Transactions, and Director Independence” for additional information.</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20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Our bylaws have an exclusive forum provision providing that, unless we consent in writing to an alternative forum, the U.S. District Court for the Northern District of Texas, Lubbock Division, or in the event that such court lacks jurisdiction to hear the action, the District Courts of the County of Lubbock, Texas, are the sole and exclusive forum for certain causes of action, which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dividend policy may change without notice, and our future ability to pay dividends is subject to restrictions.</w:t>
      </w: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Holders of our common stock are entitled to receive only such cash dividends as our Board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 The Federal Reserve has also issued guidance requiring that we inform and consult with the Federal</w:t>
      </w:r>
    </w:p>
    <w:p>
      <w:pPr>
        <w:sectPr>
          <w:pgSz w:w="11900" w:h="16838" w:orient="portrait"/>
          <w:cols w:equalWidth="0" w:num="1">
            <w:col w:w="11240"/>
          </w:cols>
          <w:pgMar w:left="320" w:top="122" w:right="339" w:bottom="0" w:gutter="0" w:footer="0" w:header="0"/>
        </w:sectPr>
      </w:pPr>
    </w:p>
    <w:bookmarkStart w:id="53" w:name="page54"/>
    <w:bookmarkEnd w:id="53"/>
    <w:p>
      <w:pPr>
        <w:jc w:val="both"/>
        <w:spacing w:after="0" w:line="238" w:lineRule="auto"/>
        <w:rPr>
          <w:sz w:val="20"/>
          <w:szCs w:val="20"/>
          <w:color w:val="auto"/>
        </w:rPr>
      </w:pPr>
      <w:r>
        <w:rPr>
          <w:rFonts w:ascii="Arial" w:cs="Arial" w:eastAsia="Arial" w:hAnsi="Arial"/>
          <w:sz w:val="22"/>
          <w:szCs w:val="22"/>
          <w:color w:val="auto"/>
        </w:rPr>
        <w:t>Reserve prior to declaring and paying a dividend that exceeds earnings for the period for which the dividend is being paid or that could result in an adverse change to our capital structure, including interest on any debt obligations. Finally, if required payments on our debt obligations are not made, or dividends on any preferred stock we may issue are not paid, we will be prohibited from paying dividends on our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a bank holding company and our only source of cash, other than issuances of securities, is distributions from the Bank.</w:t>
      </w:r>
    </w:p>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and regulatory considerations.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an “emerging growth company,” and the reduced reporting requirements applicable to emerging growth companies may make our common stock less attractive to investors.</w:t>
      </w:r>
    </w:p>
    <w:p>
      <w:pPr>
        <w:spacing w:after="0" w:line="20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We are an “emerging growth company,” as defined in The Jumpstart Our Business Startups Act (“JOBS Act”), and we have taken advantage of certain reduced regulatory and reporting requirements that are otherwise generally applicable to public companies that are not emerging growth companies. We may take advantage of these provisions for up to five years after the date of our initial public offering,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Investors and securities analysts may find it more difficult to evaluate our common stock because we may rely on one or more of these exemptions, and, as a result, investor confidence and the market price of our common stock may be materially and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 investment in our common stock is not an insured deposit and is subject to risk of loss.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An investment in our common stock is not a bank deposit and is not insured against loss or guaranteed by the FDIC, any deposit insurance fund or by any other public or private entity. As a result, you could lose some or all of your investment in our common stock.</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9"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ectPr>
          <w:pgSz w:w="11900" w:h="16838" w:orient="portrait"/>
          <w:cols w:equalWidth="0" w:num="1">
            <w:col w:w="11240"/>
          </w:cols>
          <w:pgMar w:left="320" w:top="122" w:right="339" w:bottom="1138"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Lubbock/South Plains</w:t>
            </w:r>
          </w:p>
        </w:tc>
      </w:tr>
      <w:tr>
        <w:trPr>
          <w:trHeight w:val="223"/>
        </w:trPr>
        <w:tc>
          <w:tcPr>
            <w:tcW w:w="18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8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192"/>
        </w:trPr>
        <w:tc>
          <w:tcPr>
            <w:tcW w:w="1800" w:type="dxa"/>
            <w:vAlign w:val="bottom"/>
          </w:tcPr>
          <w:p>
            <w:pPr>
              <w:spacing w:after="0" w:line="192" w:lineRule="exact"/>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tcPr>
          <w:p>
            <w:pPr>
              <w:jc w:val="center"/>
              <w:spacing w:after="0" w:line="192" w:lineRule="exact"/>
              <w:rPr>
                <w:sz w:val="20"/>
                <w:szCs w:val="20"/>
                <w:color w:val="auto"/>
              </w:rPr>
            </w:pPr>
            <w:r>
              <w:rPr>
                <w:rFonts w:ascii="Arial" w:cs="Arial" w:eastAsia="Arial" w:hAnsi="Arial"/>
                <w:sz w:val="18"/>
                <w:szCs w:val="18"/>
                <w:color w:val="auto"/>
                <w:w w:val="92"/>
              </w:rPr>
              <w:t>Main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line="216" w:lineRule="exact"/>
              <w:rPr>
                <w:sz w:val="20"/>
                <w:szCs w:val="20"/>
                <w:color w:val="auto"/>
              </w:rPr>
            </w:pPr>
            <w:r>
              <w:rPr>
                <w:rFonts w:ascii="Arial" w:cs="Arial" w:eastAsia="Arial" w:hAnsi="Arial"/>
                <w:sz w:val="16"/>
                <w:szCs w:val="16"/>
                <w:color w:val="auto"/>
                <w:w w:val="99"/>
              </w:rPr>
              <w:t>4</w:t>
            </w:r>
            <w:r>
              <w:rPr>
                <w:rFonts w:ascii="Arial" w:cs="Arial" w:eastAsia="Arial" w:hAnsi="Arial"/>
                <w:sz w:val="25"/>
                <w:szCs w:val="25"/>
                <w:color w:val="auto"/>
                <w:w w:val="99"/>
                <w:vertAlign w:val="superscript"/>
              </w:rPr>
              <w:t>th</w:t>
            </w:r>
            <w:r>
              <w:rPr>
                <w:rFonts w:ascii="Arial" w:cs="Arial" w:eastAsia="Arial" w:hAnsi="Arial"/>
                <w:sz w:val="16"/>
                <w:szCs w:val="16"/>
                <w:color w:val="auto"/>
                <w:w w:val="99"/>
              </w:rPr>
              <w:t xml:space="preserve"> Street Branch</w:t>
            </w:r>
          </w:p>
        </w:tc>
      </w:tr>
      <w:tr>
        <w:trPr>
          <w:trHeight w:val="22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jc w:val="center"/>
              <w:spacing w:after="0" w:line="226" w:lineRule="exact"/>
              <w:rPr>
                <w:sz w:val="20"/>
                <w:szCs w:val="20"/>
                <w:color w:val="auto"/>
              </w:rPr>
            </w:pPr>
            <w:r>
              <w:rPr>
                <w:rFonts w:ascii="Arial" w:cs="Arial" w:eastAsia="Arial" w:hAnsi="Arial"/>
                <w:sz w:val="16"/>
                <w:szCs w:val="16"/>
                <w:color w:val="auto"/>
                <w:w w:val="99"/>
              </w:rPr>
              <w:t>50</w:t>
            </w:r>
            <w:r>
              <w:rPr>
                <w:rFonts w:ascii="Arial" w:cs="Arial" w:eastAsia="Arial" w:hAnsi="Arial"/>
                <w:sz w:val="26"/>
                <w:szCs w:val="26"/>
                <w:color w:val="auto"/>
                <w:w w:val="99"/>
                <w:vertAlign w:val="superscript"/>
              </w:rPr>
              <w:t>th</w:t>
            </w:r>
            <w:r>
              <w:rPr>
                <w:rFonts w:ascii="Arial" w:cs="Arial" w:eastAsia="Arial" w:hAnsi="Arial"/>
                <w:sz w:val="16"/>
                <w:szCs w:val="16"/>
                <w:color w:val="auto"/>
                <w:w w:val="99"/>
              </w:rPr>
              <w:t xml:space="preserve"> and Indiana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Kingsgate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Milwaukee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Overton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University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Morton</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Idalou</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Levelland</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Branch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El Paso</w:t>
            </w:r>
          </w:p>
        </w:tc>
      </w:tr>
      <w:tr>
        <w:trPr>
          <w:trHeight w:val="223"/>
        </w:trPr>
        <w:tc>
          <w:tcPr>
            <w:tcW w:w="20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El Paso</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w w:val="89"/>
              </w:rPr>
              <w:t>East Branch</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El Paso</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West Branch</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El Paso</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Mesa Hills LPO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Bryan/College Station</w:t>
            </w:r>
          </w:p>
        </w:tc>
      </w:tr>
      <w:tr>
        <w:trPr>
          <w:trHeight w:val="223"/>
        </w:trPr>
        <w:tc>
          <w:tcPr>
            <w:tcW w:w="18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8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College Station</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w w:val="91"/>
              </w:rPr>
              <w:t>Branch</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College Station</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LPO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Dallas/Ft. Worth</w:t>
            </w: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Location</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Plano</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Pr>
          <w:p>
            <w:pPr>
              <w:jc w:val="center"/>
              <w:spacing w:after="0" w:line="201" w:lineRule="exact"/>
              <w:rPr>
                <w:sz w:val="20"/>
                <w:szCs w:val="20"/>
                <w:color w:val="auto"/>
              </w:rPr>
            </w:pPr>
            <w:r>
              <w:rPr>
                <w:rFonts w:ascii="Arial" w:cs="Arial" w:eastAsia="Arial" w:hAnsi="Arial"/>
                <w:sz w:val="18"/>
                <w:szCs w:val="18"/>
                <w:color w:val="auto"/>
                <w:w w:val="91"/>
              </w:rPr>
              <w:t>Branch</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Dallas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2"/>
              </w:rPr>
              <w:t>Uptown Branch</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Forney</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Arlington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Dallas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5"/>
              </w:rPr>
              <w:t>Hillcrest LPO</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Dallas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Ft. Worth</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Grand Prairie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Southlake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Southlake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LPO</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3"/>
          </w:tcPr>
          <w:p>
            <w:pPr>
              <w:jc w:val="center"/>
              <w:ind w:right="1910"/>
              <w:spacing w:after="0"/>
              <w:rPr>
                <w:sz w:val="20"/>
                <w:szCs w:val="20"/>
                <w:color w:val="auto"/>
              </w:rPr>
            </w:pPr>
            <w:r>
              <w:rPr>
                <w:rFonts w:ascii="Arial" w:cs="Arial" w:eastAsia="Arial" w:hAnsi="Arial"/>
                <w:sz w:val="18"/>
                <w:szCs w:val="18"/>
                <w:b w:val="1"/>
                <w:bCs w:val="1"/>
                <w:color w:val="auto"/>
                <w:w w:val="90"/>
              </w:rPr>
              <w:t>Houston</w:t>
            </w:r>
          </w:p>
        </w:tc>
      </w:tr>
      <w:tr>
        <w:trPr>
          <w:trHeight w:val="223"/>
        </w:trPr>
        <w:tc>
          <w:tcPr>
            <w:tcW w:w="20" w:type="dxa"/>
            <w:vAlign w:val="bottom"/>
          </w:tcPr>
          <w:p>
            <w:pPr>
              <w:spacing w:after="0"/>
              <w:rPr>
                <w:sz w:val="19"/>
                <w:szCs w:val="19"/>
                <w:color w:val="auto"/>
              </w:rPr>
            </w:pPr>
          </w:p>
        </w:tc>
        <w:tc>
          <w:tcPr>
            <w:tcW w:w="19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Location</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Houston</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884"/>
        </w:trPr>
        <w:tc>
          <w:tcPr>
            <w:tcW w:w="20" w:type="dxa"/>
            <w:vAlign w:val="bottom"/>
          </w:tcPr>
          <w:p>
            <w:pPr>
              <w:spacing w:after="0"/>
              <w:rPr>
                <w:sz w:val="24"/>
                <w:szCs w:val="24"/>
                <w:color w:val="auto"/>
              </w:rPr>
            </w:pPr>
          </w:p>
        </w:tc>
        <w:tc>
          <w:tcPr>
            <w:tcW w:w="53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Ruidoso/Eastern New Mexico</w:t>
            </w:r>
          </w:p>
        </w:tc>
      </w:tr>
      <w:tr>
        <w:trPr>
          <w:trHeight w:val="223"/>
        </w:trPr>
        <w:tc>
          <w:tcPr>
            <w:tcW w:w="20" w:type="dxa"/>
            <w:vAlign w:val="bottom"/>
          </w:tcPr>
          <w:p>
            <w:pPr>
              <w:spacing w:after="0"/>
              <w:rPr>
                <w:sz w:val="19"/>
                <w:szCs w:val="19"/>
                <w:color w:val="auto"/>
              </w:rPr>
            </w:pPr>
          </w:p>
        </w:tc>
        <w:tc>
          <w:tcPr>
            <w:tcW w:w="19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Location</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Ruidoso</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Pr>
          <w:p>
            <w:pPr>
              <w:jc w:val="center"/>
              <w:spacing w:after="0" w:line="201" w:lineRule="exact"/>
              <w:rPr>
                <w:sz w:val="20"/>
                <w:szCs w:val="20"/>
                <w:color w:val="auto"/>
              </w:rPr>
            </w:pPr>
            <w:r>
              <w:rPr>
                <w:rFonts w:ascii="Arial" w:cs="Arial" w:eastAsia="Arial" w:hAnsi="Arial"/>
                <w:sz w:val="18"/>
                <w:szCs w:val="18"/>
                <w:color w:val="auto"/>
                <w:w w:val="90"/>
              </w:rPr>
              <w:t>Gateway Branch</w:t>
            </w: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Ruidoso</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River Crossing Branch</w:t>
            </w:r>
          </w:p>
        </w:tc>
      </w:tr>
    </w:tbl>
    <w:p>
      <w:pPr>
        <w:spacing w:after="0" w:line="200" w:lineRule="exact"/>
        <w:rPr>
          <w:sz w:val="20"/>
          <w:szCs w:val="20"/>
          <w:color w:val="auto"/>
        </w:rPr>
      </w:pPr>
    </w:p>
    <w:p>
      <w:pPr>
        <w:sectPr>
          <w:pgSz w:w="11900" w:h="16838" w:orient="portrait"/>
          <w:cols w:equalWidth="0" w:num="2">
            <w:col w:w="5580" w:space="280"/>
            <w:col w:w="5380"/>
          </w:cols>
          <w:pgMar w:left="320" w:top="122" w:right="339" w:bottom="1138" w:gutter="0" w:footer="0" w:header="0"/>
          <w:type w:val="continuous"/>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138"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82"/>
        </w:trPr>
        <w:tc>
          <w:tcPr>
            <w:tcW w:w="3540" w:type="dxa"/>
            <w:vAlign w:val="bottom"/>
            <w:gridSpan w:val="3"/>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384"/>
        </w:trPr>
        <w:tc>
          <w:tcPr>
            <w:tcW w:w="3540" w:type="dxa"/>
            <w:vAlign w:val="bottom"/>
            <w:tcBorders>
              <w:bottom w:val="single" w:sz="8" w:color="auto"/>
            </w:tcBorders>
            <w:gridSpan w:val="3"/>
          </w:tcPr>
          <w:p>
            <w:pPr>
              <w:ind w:left="2060"/>
              <w:spacing w:after="0"/>
              <w:rPr>
                <w:sz w:val="20"/>
                <w:szCs w:val="20"/>
                <w:color w:val="auto"/>
              </w:rPr>
            </w:pPr>
            <w:r>
              <w:rPr>
                <w:rFonts w:ascii="Arial" w:cs="Arial" w:eastAsia="Arial" w:hAnsi="Arial"/>
                <w:sz w:val="18"/>
                <w:szCs w:val="18"/>
                <w:b w:val="1"/>
                <w:bCs w:val="1"/>
                <w:color w:val="auto"/>
                <w:w w:val="90"/>
              </w:rPr>
              <w:t>The Permian Basin</w:t>
            </w:r>
          </w:p>
        </w:tc>
        <w:tc>
          <w:tcPr>
            <w:tcW w:w="20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Other Markets</w:t>
            </w:r>
          </w:p>
        </w:tc>
      </w:tr>
      <w:tr>
        <w:trPr>
          <w:trHeight w:val="223"/>
        </w:trPr>
        <w:tc>
          <w:tcPr>
            <w:tcW w:w="3540" w:type="dxa"/>
            <w:vAlign w:val="bottom"/>
            <w:gridSpan w:val="3"/>
          </w:tcPr>
          <w:p>
            <w:pPr>
              <w:ind w:left="960"/>
              <w:spacing w:after="0"/>
              <w:rPr>
                <w:sz w:val="20"/>
                <w:szCs w:val="20"/>
                <w:color w:val="auto"/>
              </w:rPr>
            </w:pPr>
            <w:r>
              <w:rPr>
                <w:rFonts w:ascii="Arial" w:cs="Arial" w:eastAsia="Arial" w:hAnsi="Arial"/>
                <w:sz w:val="18"/>
                <w:szCs w:val="18"/>
                <w:b w:val="1"/>
                <w:bCs w:val="1"/>
                <w:color w:val="auto"/>
              </w:rPr>
              <w:t>Location</w:t>
            </w:r>
          </w:p>
        </w:tc>
        <w:tc>
          <w:tcPr>
            <w:tcW w:w="204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Branch or LPO</w:t>
            </w:r>
          </w:p>
        </w:tc>
        <w:tc>
          <w:tcPr>
            <w:tcW w:w="280" w:type="dxa"/>
            <w:vAlign w:val="bottom"/>
          </w:tcPr>
          <w:p>
            <w:pPr>
              <w:spacing w:after="0"/>
              <w:rPr>
                <w:sz w:val="19"/>
                <w:szCs w:val="19"/>
                <w:color w:val="auto"/>
              </w:rPr>
            </w:pPr>
          </w:p>
        </w:tc>
        <w:tc>
          <w:tcPr>
            <w:tcW w:w="1920" w:type="dxa"/>
            <w:vAlign w:val="bottom"/>
          </w:tcPr>
          <w:p>
            <w:pPr>
              <w:ind w:left="940"/>
              <w:spacing w:after="0"/>
              <w:rPr>
                <w:sz w:val="20"/>
                <w:szCs w:val="20"/>
                <w:color w:val="auto"/>
              </w:rPr>
            </w:pPr>
            <w:r>
              <w:rPr>
                <w:rFonts w:ascii="Arial" w:cs="Arial" w:eastAsia="Arial" w:hAnsi="Arial"/>
                <w:sz w:val="18"/>
                <w:szCs w:val="18"/>
                <w:b w:val="1"/>
                <w:bCs w:val="1"/>
                <w:color w:val="auto"/>
              </w:rPr>
              <w:t>Location</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16"/>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Odessa</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ind w:right="550"/>
              <w:spacing w:after="0"/>
              <w:rPr>
                <w:sz w:val="20"/>
                <w:szCs w:val="20"/>
                <w:color w:val="auto"/>
              </w:rPr>
            </w:pPr>
            <w:r>
              <w:rPr>
                <w:rFonts w:ascii="Arial" w:cs="Arial" w:eastAsia="Arial" w:hAnsi="Arial"/>
                <w:sz w:val="18"/>
                <w:szCs w:val="18"/>
                <w:color w:val="auto"/>
                <w:w w:val="93"/>
              </w:rPr>
              <w:t>University Branch</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Abilene, Texas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Odessa</w:t>
            </w:r>
          </w:p>
        </w:tc>
        <w:tc>
          <w:tcPr>
            <w:tcW w:w="2040" w:type="dxa"/>
            <w:vAlign w:val="bottom"/>
          </w:tcPr>
          <w:p>
            <w:pPr>
              <w:jc w:val="center"/>
              <w:ind w:right="550"/>
              <w:spacing w:after="0"/>
              <w:rPr>
                <w:sz w:val="20"/>
                <w:szCs w:val="20"/>
                <w:color w:val="auto"/>
              </w:rPr>
            </w:pPr>
            <w:r>
              <w:rPr>
                <w:rFonts w:ascii="Arial" w:cs="Arial" w:eastAsia="Arial" w:hAnsi="Arial"/>
                <w:sz w:val="18"/>
                <w:szCs w:val="18"/>
                <w:color w:val="auto"/>
                <w:w w:val="91"/>
              </w:rPr>
              <w:t>Grandview Branch</w:t>
            </w:r>
          </w:p>
        </w:tc>
        <w:tc>
          <w:tcPr>
            <w:tcW w:w="2200" w:type="dxa"/>
            <w:vAlign w:val="bottom"/>
            <w:gridSpan w:val="2"/>
          </w:tcPr>
          <w:p>
            <w:pPr>
              <w:ind w:left="280"/>
              <w:spacing w:after="0"/>
              <w:rPr>
                <w:sz w:val="20"/>
                <w:szCs w:val="20"/>
                <w:color w:val="auto"/>
              </w:rPr>
            </w:pPr>
            <w:r>
              <w:rPr>
                <w:rFonts w:ascii="Arial" w:cs="Arial" w:eastAsia="Arial" w:hAnsi="Arial"/>
                <w:sz w:val="18"/>
                <w:szCs w:val="18"/>
                <w:color w:val="auto"/>
              </w:rPr>
              <w:t>Austin, Texas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Midland</w:t>
            </w:r>
          </w:p>
        </w:tc>
        <w:tc>
          <w:tcPr>
            <w:tcW w:w="2040" w:type="dxa"/>
            <w:vAlign w:val="bottom"/>
            <w:shd w:val="clear" w:color="auto" w:fill="CCEEFF"/>
          </w:tcPr>
          <w:p>
            <w:pPr>
              <w:jc w:val="center"/>
              <w:ind w:right="550"/>
              <w:spacing w:after="0"/>
              <w:rPr>
                <w:sz w:val="20"/>
                <w:szCs w:val="20"/>
                <w:color w:val="auto"/>
              </w:rPr>
            </w:pPr>
            <w:r>
              <w:rPr>
                <w:rFonts w:ascii="Arial" w:cs="Arial" w:eastAsia="Arial" w:hAnsi="Arial"/>
                <w:sz w:val="18"/>
                <w:szCs w:val="18"/>
                <w:color w:val="auto"/>
                <w:w w:val="91"/>
              </w:rPr>
              <w:t>Branch</w:t>
            </w:r>
          </w:p>
        </w:tc>
        <w:tc>
          <w:tcPr>
            <w:tcW w:w="2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Beaumont, Texas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Kermit</w:t>
            </w:r>
          </w:p>
        </w:tc>
        <w:tc>
          <w:tcPr>
            <w:tcW w:w="2040" w:type="dxa"/>
            <w:vAlign w:val="bottom"/>
          </w:tcPr>
          <w:p>
            <w:pPr>
              <w:jc w:val="center"/>
              <w:ind w:right="550"/>
              <w:spacing w:after="0"/>
              <w:rPr>
                <w:sz w:val="20"/>
                <w:szCs w:val="20"/>
                <w:color w:val="auto"/>
              </w:rPr>
            </w:pPr>
            <w:r>
              <w:rPr>
                <w:rFonts w:ascii="Arial" w:cs="Arial" w:eastAsia="Arial" w:hAnsi="Arial"/>
                <w:sz w:val="18"/>
                <w:szCs w:val="18"/>
                <w:color w:val="auto"/>
                <w:w w:val="91"/>
              </w:rPr>
              <w:t>Branch</w:t>
            </w:r>
          </w:p>
        </w:tc>
        <w:tc>
          <w:tcPr>
            <w:tcW w:w="2200" w:type="dxa"/>
            <w:vAlign w:val="bottom"/>
            <w:gridSpan w:val="2"/>
          </w:tcPr>
          <w:p>
            <w:pPr>
              <w:ind w:left="280"/>
              <w:spacing w:after="0"/>
              <w:rPr>
                <w:sz w:val="20"/>
                <w:szCs w:val="20"/>
                <w:color w:val="auto"/>
              </w:rPr>
            </w:pPr>
            <w:r>
              <w:rPr>
                <w:rFonts w:ascii="Arial" w:cs="Arial" w:eastAsia="Arial" w:hAnsi="Arial"/>
                <w:sz w:val="18"/>
                <w:szCs w:val="18"/>
                <w:color w:val="auto"/>
                <w:w w:val="98"/>
              </w:rPr>
              <w:t>Dripping Springs, Texas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Fort Stockton</w:t>
            </w:r>
          </w:p>
        </w:tc>
        <w:tc>
          <w:tcPr>
            <w:tcW w:w="2040" w:type="dxa"/>
            <w:vAlign w:val="bottom"/>
            <w:shd w:val="clear" w:color="auto" w:fill="CCEEFF"/>
          </w:tcPr>
          <w:p>
            <w:pPr>
              <w:jc w:val="center"/>
              <w:ind w:right="550"/>
              <w:spacing w:after="0"/>
              <w:rPr>
                <w:sz w:val="20"/>
                <w:szCs w:val="20"/>
                <w:color w:val="auto"/>
              </w:rPr>
            </w:pPr>
            <w:r>
              <w:rPr>
                <w:rFonts w:ascii="Arial" w:cs="Arial" w:eastAsia="Arial" w:hAnsi="Arial"/>
                <w:sz w:val="18"/>
                <w:szCs w:val="18"/>
                <w:color w:val="auto"/>
                <w:w w:val="91"/>
              </w:rPr>
              <w:t>Branch</w:t>
            </w: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Monahans</w:t>
            </w:r>
          </w:p>
        </w:tc>
        <w:tc>
          <w:tcPr>
            <w:tcW w:w="2040" w:type="dxa"/>
            <w:vAlign w:val="bottom"/>
          </w:tcPr>
          <w:p>
            <w:pPr>
              <w:jc w:val="center"/>
              <w:ind w:right="550"/>
              <w:spacing w:after="0"/>
              <w:rPr>
                <w:sz w:val="20"/>
                <w:szCs w:val="20"/>
                <w:color w:val="auto"/>
              </w:rPr>
            </w:pPr>
            <w:r>
              <w:rPr>
                <w:rFonts w:ascii="Arial" w:cs="Arial" w:eastAsia="Arial" w:hAnsi="Arial"/>
                <w:sz w:val="18"/>
                <w:szCs w:val="18"/>
                <w:color w:val="auto"/>
                <w:w w:val="91"/>
              </w:rPr>
              <w:t>Branch</w:t>
            </w: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7" w:lineRule="exact"/>
        <w:rPr>
          <w:sz w:val="20"/>
          <w:szCs w:val="20"/>
          <w:color w:val="auto"/>
        </w:rPr>
      </w:pPr>
    </w:p>
    <w:p>
      <w:pPr>
        <w:ind w:right="80" w:firstLine="323"/>
        <w:spacing w:after="0" w:line="238" w:lineRule="auto"/>
        <w:rPr>
          <w:sz w:val="20"/>
          <w:szCs w:val="20"/>
          <w:color w:val="auto"/>
        </w:rPr>
      </w:pPr>
      <w:r>
        <w:rPr>
          <w:rFonts w:ascii="Arial" w:cs="Arial" w:eastAsia="Arial" w:hAnsi="Arial"/>
          <w:sz w:val="22"/>
          <w:szCs w:val="22"/>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From time to time, the Company or the Bank is a party to claims and legal proceedings arising in the ordinary course of business. Management does not believe any present litigation or the resolution thereof will have a material adverse effect on the business, consolidated financial condition or results of operations of the Company.</w:t>
      </w:r>
    </w:p>
    <w:p>
      <w:pPr>
        <w:spacing w:after="0" w:line="216" w:lineRule="exact"/>
        <w:rPr>
          <w:sz w:val="20"/>
          <w:szCs w:val="20"/>
          <w:color w:val="auto"/>
        </w:rPr>
      </w:pPr>
    </w:p>
    <w:p>
      <w:pPr>
        <w:jc w:val="center"/>
        <w:ind w:right="8580"/>
        <w:spacing w:after="0"/>
        <w:tabs>
          <w:tab w:leader="none" w:pos="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Information for Common Stock</w:t>
      </w:r>
    </w:p>
    <w:p>
      <w:pPr>
        <w:spacing w:after="0" w:line="239"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21"/>
          <w:szCs w:val="21"/>
          <w:color w:val="auto"/>
        </w:rPr>
        <w:t>The Company’s common stock is traded on the NASDAQ Global Select Market. Quotations of the sales volume and the closing sales prices of the Company’s common stock are listed daily under the symbol “SPFI” in NASDAQ’s listings.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Holders of Record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of March 10, 2021, there were approximately 154 holders of record of the Company’s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3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Company paid a dividend of $0.03 per common share in each of the first, second, and third quarters and a dividend of $0.05 per common share in the fourth quarter of 2020. Also, see “Item 1. Business – Supervision and Regulation – Dividend Payments, Stock Redemptions and Repurchases” and “Item 7. Management’s Discussion and Analysis of the Financial Condition and Results of Operations – Liquidity and Capital Resources – Capital Requirements” of this Report for restrictions on our present or future ability to pay dividends, particularly those restrictions arising under federal and state banking laws.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239"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The following table sets forth information at December 31, 2020 with respect to compensation plans under which shares of our common stock may be issued.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Shares to be</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rPr>
              <w:t>Weighted-Average</w:t>
            </w: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Issued Upon Exercise of</w:t>
            </w: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Exercise Price of</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Available for</w:t>
            </w:r>
          </w:p>
        </w:tc>
      </w:tr>
      <w:tr>
        <w:trPr>
          <w:trHeight w:val="241"/>
        </w:trPr>
        <w:tc>
          <w:tcPr>
            <w:tcW w:w="57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 Awards</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5"/>
              </w:rPr>
              <w:t>Outstanding Awards</w:t>
            </w:r>
          </w:p>
        </w:tc>
        <w:tc>
          <w:tcPr>
            <w:tcW w:w="1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Future Grants</w:t>
            </w:r>
          </w:p>
        </w:tc>
      </w:tr>
      <w:tr>
        <w:trPr>
          <w:trHeight w:val="216"/>
        </w:trPr>
        <w:tc>
          <w:tcPr>
            <w:tcW w:w="578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Equity compensation plans approved by shareholders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1,617,370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1,431,602</w:t>
            </w:r>
          </w:p>
        </w:tc>
        <w:tc>
          <w:tcPr>
            <w:tcW w:w="10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2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1,617,370</w:t>
            </w: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1,431,602</w:t>
            </w:r>
          </w:p>
        </w:tc>
        <w:tc>
          <w:tcPr>
            <w:tcW w:w="100" w:type="dxa"/>
            <w:vAlign w:val="bottom"/>
            <w:shd w:val="clear" w:color="auto" w:fill="CCEEFF"/>
          </w:tcPr>
          <w:p>
            <w:pPr>
              <w:spacing w:after="0"/>
              <w:rPr>
                <w:sz w:val="20"/>
                <w:szCs w:val="20"/>
                <w:color w:val="auto"/>
              </w:rPr>
            </w:pP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2854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available for future issuance includes 1,431,602 shares available under the Company’s 2019 Equity Incentive Plan (which allows for the issuance of options, as well as various other stock-based awards).</w:t>
      </w:r>
    </w:p>
    <w:p>
      <w:pPr>
        <w:sectPr>
          <w:pgSz w:w="11900" w:h="16838" w:orient="portrait"/>
          <w:cols w:equalWidth="0" w:num="1">
            <w:col w:w="11240"/>
          </w:cols>
          <w:pgMar w:left="320" w:top="122" w:right="339" w:bottom="103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030" w:gutter="0" w:footer="0" w:header="0"/>
          <w:type w:val="continuous"/>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 Purchases of Securities</w:t>
      </w:r>
    </w:p>
    <w:p>
      <w:pPr>
        <w:spacing w:after="0" w:line="2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On March 13, 2020, the Company approved a stock repurchase program pursuant to which the Company may, from time to time, purchase up to $10.0 million of its outstanding shares of common stock (the “Program”). The shares may be repurchased from time to time in privately negotiated transactions or the open market, including pursuant to Rule 10b5-1 trading plans, and in accordance with applicable regulations of the SEC. The timing and exact amount of any repurchases will depend on various factors including, the performance of the Company’s stock price, general market and other conditions, applicable legal requirements and other factors. The Program may be terminated or amended by the Company’s board of directors at any time prior to the expiration date. On April 16, 2020, the Company announced a temporary suspension of the Program in light of the uncertainties presented by the COVID-19 pandemic and surrounding events. However, as announced on November 2, 2020, the Company resumed the Program. While the Program originally had an expiration date of April 15, 2021, the Company’s board of directors extended the expiration of the Program to November 5, 2021, subject to certain limitations and conditions.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summarizes the share repurchase activity from the inception of the Program through December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Maximum Dollar Amount</w:t>
            </w:r>
          </w:p>
        </w:tc>
      </w:tr>
      <w:tr>
        <w:trPr>
          <w:trHeight w:val="216"/>
        </w:trPr>
        <w:tc>
          <w:tcPr>
            <w:tcW w:w="4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Dollar Amount</w:t>
            </w:r>
          </w:p>
        </w:tc>
        <w:tc>
          <w:tcPr>
            <w:tcW w:w="80" w:type="dxa"/>
            <w:vAlign w:val="bottom"/>
          </w:tcPr>
          <w:p>
            <w:pPr>
              <w:spacing w:after="0"/>
              <w:rPr>
                <w:sz w:val="18"/>
                <w:szCs w:val="18"/>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2"/>
              </w:rPr>
              <w:t>Total Shares</w:t>
            </w:r>
          </w:p>
        </w:tc>
        <w:tc>
          <w:tcPr>
            <w:tcW w:w="1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Pursuant to</w:t>
            </w:r>
          </w:p>
        </w:tc>
        <w:tc>
          <w:tcPr>
            <w:tcW w:w="80" w:type="dxa"/>
            <w:vAlign w:val="bottom"/>
          </w:tcPr>
          <w:p>
            <w:pPr>
              <w:spacing w:after="0"/>
              <w:rPr>
                <w:sz w:val="18"/>
                <w:szCs w:val="18"/>
                <w:color w:val="auto"/>
              </w:rPr>
            </w:pPr>
          </w:p>
        </w:tc>
        <w:tc>
          <w:tcPr>
            <w:tcW w:w="2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Repurchase Pursuant to</w:t>
            </w:r>
          </w:p>
        </w:tc>
      </w:tr>
      <w:tr>
        <w:trPr>
          <w:trHeight w:val="241"/>
        </w:trPr>
        <w:tc>
          <w:tcPr>
            <w:tcW w:w="4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9"/>
              </w:rPr>
              <w:t>Repurchased</w:t>
            </w:r>
          </w:p>
        </w:tc>
        <w:tc>
          <w:tcPr>
            <w:tcW w:w="1520" w:type="dxa"/>
            <w:vAlign w:val="bottom"/>
            <w:gridSpan w:val="4"/>
          </w:tcPr>
          <w:p>
            <w:pPr>
              <w:ind w:left="180"/>
              <w:spacing w:after="0"/>
              <w:rPr>
                <w:sz w:val="20"/>
                <w:szCs w:val="20"/>
                <w:color w:val="auto"/>
              </w:rPr>
            </w:pPr>
            <w:r>
              <w:rPr>
                <w:rFonts w:ascii="Arial" w:cs="Arial" w:eastAsia="Arial" w:hAnsi="Arial"/>
                <w:sz w:val="18"/>
                <w:szCs w:val="18"/>
                <w:b w:val="1"/>
                <w:bCs w:val="1"/>
                <w:color w:val="auto"/>
              </w:rPr>
              <w:t>Paid Per Share</w:t>
            </w: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Publicly-Announced Plan</w:t>
            </w:r>
          </w:p>
        </w:tc>
        <w:tc>
          <w:tcPr>
            <w:tcW w:w="80" w:type="dxa"/>
            <w:vAlign w:val="bottom"/>
          </w:tcPr>
          <w:p>
            <w:pPr>
              <w:spacing w:after="0"/>
              <w:rPr>
                <w:sz w:val="20"/>
                <w:szCs w:val="20"/>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Publicly-Announced Plan</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April 2020</w:t>
            </w:r>
          </w:p>
        </w:tc>
        <w:tc>
          <w:tcPr>
            <w:tcW w:w="1080" w:type="dxa"/>
            <w:vAlign w:val="bottom"/>
          </w:tcPr>
          <w:p>
            <w:pPr>
              <w:jc w:val="right"/>
              <w:spacing w:after="0"/>
              <w:rPr>
                <w:sz w:val="20"/>
                <w:szCs w:val="20"/>
                <w:color w:val="auto"/>
              </w:rPr>
            </w:pPr>
            <w:r>
              <w:rPr>
                <w:rFonts w:ascii="Arial" w:cs="Arial" w:eastAsia="Arial" w:hAnsi="Arial"/>
                <w:sz w:val="18"/>
                <w:szCs w:val="18"/>
                <w:color w:val="auto"/>
              </w:rPr>
              <w:t>4,700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61,241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9,938,759</w:t>
            </w:r>
          </w:p>
        </w:tc>
      </w:tr>
      <w:tr>
        <w:trPr>
          <w:trHeight w:val="22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November 2020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293,703</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9,706,297</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4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Performance Graph</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required.</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4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following table sets forth certain of our selected financial data for each of the periods indicated. Selected financial data as of and for the years ended December 31, 2020 and 2019 has been derived from our audited consolidated financial statements included elsewhere in this Report, and the selected financial data as of and for the years ended December 31, 2018, 2017, and 2016 has been derived from our audited consolidated financial statements not appearing in this Report. The historical results set forth below and elsewhere in this Report are not necessarily indicative of our future performance. Average balances have been calculated using daily averages.</w:t>
      </w:r>
    </w:p>
    <w:p>
      <w:pPr>
        <w:spacing w:after="0" w:line="21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You should read the following financial data in conjunction with the other information contained in this Report, including under “Item 7. Management’s Discussion and Analysis of Financial Condition and Results of Operations” and in the financial statements and related notes included elsewhere in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8"/>
                <w:szCs w:val="18"/>
                <w:b w:val="1"/>
                <w:bCs w:val="1"/>
                <w:color w:val="auto"/>
                <w:w w:val="94"/>
              </w:rPr>
              <w:t>As of or for the Year Ended December 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Selected Income Statement Data:</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(Dollars in</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77"/>
              </w:rPr>
              <w:t>thousands, except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w w:val="72"/>
              </w:rPr>
              <w:t>per</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1"/>
              </w:rPr>
              <w:t>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138,231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132,942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118,094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97,220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15,946</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28,367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22,482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14,582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122,285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104,575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95,612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82,638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25,570</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2,799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6,901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101,603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56,633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52,121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Noninterest expense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141,715</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121,708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115,443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108,144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104,388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11,250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45,353</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29,220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29,290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23,635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26,077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and Per Share Data: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Earnings per share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1.74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(diluted)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Dividends per share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Book value per share</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line="216" w:lineRule="exact"/>
              <w:rPr>
                <w:sz w:val="20"/>
                <w:szCs w:val="20"/>
                <w:color w:val="auto"/>
              </w:rPr>
            </w:pPr>
            <w:r>
              <w:rPr>
                <w:rFonts w:ascii="Arial" w:cs="Arial" w:eastAsia="Arial" w:hAnsi="Arial"/>
                <w:sz w:val="16"/>
                <w:szCs w:val="16"/>
                <w:color w:val="auto"/>
              </w:rPr>
              <w:t>Tangible book value per share</w:t>
            </w:r>
            <w:r>
              <w:rPr>
                <w:rFonts w:ascii="Arial" w:cs="Arial" w:eastAsia="Arial" w:hAnsi="Arial"/>
                <w:sz w:val="25"/>
                <w:szCs w:val="25"/>
                <w:color w:val="auto"/>
                <w:vertAlign w:val="superscript"/>
              </w:rPr>
              <w:t>(1)(2)</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15.46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(basic)</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18,054,373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16,818,697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14,771,520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14,769,086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14,932,021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w w:val="98"/>
              </w:rPr>
              <w:t>Weighted average common shares outstanding (diluted)</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18,339,033</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17,040,550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14,771,520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14,771,520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14,997,897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18,076,364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18,036,115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14,771,520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14,771,520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14,771,520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Selected Period End Balance Sheet Data: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158,099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245,989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294,563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363,400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803,087</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707,650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338,196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284,009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324,823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loans held for investment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2,221,583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2,143,623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1,957,197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1,838,155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1,661,186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45,553</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24,197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23,126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3,599,160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3,237,167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2,712,745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2,573,375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2,500,813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2,057,029</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1,905,936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1,767,387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1,678,919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1,658,198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917,322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790,921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510,067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475,162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432,725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1400" w:type="dxa"/>
            <w:vAlign w:val="bottom"/>
          </w:tcPr>
          <w:p>
            <w:pPr>
              <w:jc w:val="right"/>
              <w:ind w:right="233"/>
              <w:spacing w:after="0"/>
              <w:rPr>
                <w:sz w:val="20"/>
                <w:szCs w:val="20"/>
                <w:color w:val="auto"/>
              </w:rPr>
            </w:pPr>
            <w:r>
              <w:rPr>
                <w:rFonts w:ascii="Arial" w:cs="Arial" w:eastAsia="Arial" w:hAnsi="Arial"/>
                <w:sz w:val="18"/>
                <w:szCs w:val="18"/>
                <w:color w:val="auto"/>
              </w:rPr>
              <w:t>2,974,351</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2,696,857</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2,277,454</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2,154,081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2,090,923</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w:t>
            </w: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223,532</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205,030</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193,100</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177,830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189,196</w:t>
            </w:r>
          </w:p>
        </w:tc>
      </w:tr>
      <w:tr>
        <w:trPr>
          <w:trHeight w:val="216"/>
        </w:trPr>
        <w:tc>
          <w:tcPr>
            <w:tcW w:w="4680" w:type="dxa"/>
            <w:vAlign w:val="bottom"/>
          </w:tcPr>
          <w:p>
            <w:pPr>
              <w:ind w:left="180"/>
              <w:spacing w:after="0" w:line="216" w:lineRule="exact"/>
              <w:rPr>
                <w:sz w:val="20"/>
                <w:szCs w:val="20"/>
                <w:color w:val="auto"/>
              </w:rPr>
            </w:pPr>
            <w:r>
              <w:rPr>
                <w:rFonts w:ascii="Arial" w:cs="Arial" w:eastAsia="Arial" w:hAnsi="Arial"/>
                <w:sz w:val="16"/>
                <w:szCs w:val="16"/>
                <w:color w:val="auto"/>
              </w:rPr>
              <w:t>ESOP-owned shares</w:t>
            </w:r>
            <w:r>
              <w:rPr>
                <w:rFonts w:ascii="Arial" w:cs="Arial" w:eastAsia="Arial" w:hAnsi="Arial"/>
                <w:sz w:val="25"/>
                <w:szCs w:val="25"/>
                <w:color w:val="auto"/>
                <w:vertAlign w:val="superscript"/>
              </w:rPr>
              <w:t>(3)</w:t>
            </w:r>
          </w:p>
        </w:tc>
        <w:tc>
          <w:tcPr>
            <w:tcW w:w="14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58,195</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57,121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49,700</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Total stockholders’ equity excluding ESOP-owned shares</w:t>
            </w: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370,048</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306,182</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154,580</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158,206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150,019</w:t>
            </w:r>
          </w:p>
        </w:tc>
      </w:tr>
      <w:tr>
        <w:trPr>
          <w:trHeight w:val="390"/>
        </w:trPr>
        <w:tc>
          <w:tcPr>
            <w:tcW w:w="4680" w:type="dxa"/>
            <w:vAlign w:val="bottom"/>
          </w:tcPr>
          <w:p>
            <w:pPr>
              <w:ind w:left="180"/>
              <w:spacing w:after="0"/>
              <w:rPr>
                <w:sz w:val="20"/>
                <w:szCs w:val="20"/>
                <w:color w:val="auto"/>
              </w:rPr>
            </w:pPr>
            <w:r>
              <w:rPr>
                <w:rFonts w:ascii="Arial" w:cs="Arial" w:eastAsia="Arial" w:hAnsi="Arial"/>
                <w:sz w:val="18"/>
                <w:szCs w:val="18"/>
                <w:color w:val="auto"/>
              </w:rPr>
              <w:t>Pro forma total stockholders’ equity</w:t>
            </w:r>
            <w:r>
              <w:rPr>
                <w:rFonts w:ascii="Arial" w:cs="Arial" w:eastAsia="Arial" w:hAnsi="Arial"/>
                <w:sz w:val="29"/>
                <w:szCs w:val="29"/>
                <w:color w:val="auto"/>
                <w:vertAlign w:val="superscript"/>
              </w:rPr>
              <w:t>(3)</w:t>
            </w:r>
          </w:p>
        </w:tc>
        <w:tc>
          <w:tcPr>
            <w:tcW w:w="1400" w:type="dxa"/>
            <w:vAlign w:val="bottom"/>
          </w:tcPr>
          <w:p>
            <w:pPr>
              <w:jc w:val="right"/>
              <w:ind w:right="233"/>
              <w:spacing w:after="0"/>
              <w:rPr>
                <w:sz w:val="20"/>
                <w:szCs w:val="20"/>
                <w:color w:val="auto"/>
              </w:rPr>
            </w:pPr>
            <w:r>
              <w:rPr>
                <w:rFonts w:ascii="Arial" w:cs="Arial" w:eastAsia="Arial" w:hAnsi="Arial"/>
                <w:sz w:val="18"/>
                <w:szCs w:val="18"/>
                <w:color w:val="auto"/>
              </w:rPr>
              <w:t>370,048</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306,182</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212,775</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215,327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199,719</w:t>
            </w:r>
          </w:p>
        </w:tc>
      </w:tr>
      <w:tr>
        <w:trPr>
          <w:trHeight w:val="421"/>
        </w:trPr>
        <w:tc>
          <w:tcPr>
            <w:tcW w:w="4680" w:type="dxa"/>
            <w:vAlign w:val="bottom"/>
          </w:tcPr>
          <w:p>
            <w:pPr>
              <w:spacing w:after="0"/>
              <w:rPr>
                <w:sz w:val="24"/>
                <w:szCs w:val="24"/>
                <w:color w:val="auto"/>
              </w:rPr>
            </w:pPr>
          </w:p>
        </w:tc>
        <w:tc>
          <w:tcPr>
            <w:tcW w:w="1400" w:type="dxa"/>
            <w:vAlign w:val="bottom"/>
          </w:tcPr>
          <w:p>
            <w:pPr>
              <w:jc w:val="right"/>
              <w:ind w:right="293"/>
              <w:spacing w:after="0"/>
              <w:rPr>
                <w:sz w:val="20"/>
                <w:szCs w:val="20"/>
                <w:color w:val="auto"/>
              </w:rPr>
            </w:pPr>
            <w:r>
              <w:rPr>
                <w:rFonts w:ascii="Arial" w:cs="Arial" w:eastAsia="Arial" w:hAnsi="Arial"/>
                <w:sz w:val="14"/>
                <w:szCs w:val="14"/>
                <w:color w:val="auto"/>
              </w:rPr>
              <w:t>40</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6"/>
        </w:trPr>
        <w:tc>
          <w:tcPr>
            <w:tcW w:w="46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90"/>
              </w:rPr>
              <w:t>As of or for the Year Ended December 31,</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Performance Ratios: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(Dollars in</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84"/>
              </w:rPr>
              <w:t>thousands, except</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9"/>
              </w:rPr>
              <w:t>per share data)</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on average assets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line="216" w:lineRule="exact"/>
              <w:rPr>
                <w:sz w:val="20"/>
                <w:szCs w:val="20"/>
                <w:color w:val="auto"/>
              </w:rPr>
            </w:pPr>
            <w:r>
              <w:rPr>
                <w:rFonts w:ascii="Arial" w:cs="Arial" w:eastAsia="Arial" w:hAnsi="Arial"/>
                <w:sz w:val="16"/>
                <w:szCs w:val="16"/>
                <w:color w:val="auto"/>
              </w:rPr>
              <w:t>Return on average stockholders’ equity</w:t>
            </w:r>
            <w:r>
              <w:rPr>
                <w:rFonts w:ascii="Arial" w:cs="Arial" w:eastAsia="Arial" w:hAnsi="Arial"/>
                <w:sz w:val="25"/>
                <w:szCs w:val="25"/>
                <w:color w:val="auto"/>
                <w:vertAlign w:val="superscript"/>
              </w:rPr>
              <w:t>(1)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13.40%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10.94%</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13.63%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11.40%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5"/>
                <w:szCs w:val="25"/>
                <w:color w:val="auto"/>
                <w:vertAlign w:val="superscript"/>
              </w:rPr>
              <w:t>(4)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line="216" w:lineRule="exact"/>
              <w:rPr>
                <w:sz w:val="20"/>
                <w:szCs w:val="20"/>
                <w:color w:val="auto"/>
              </w:rPr>
            </w:pPr>
            <w:r>
              <w:rPr>
                <w:rFonts w:ascii="Arial" w:cs="Arial" w:eastAsia="Arial" w:hAnsi="Arial"/>
                <w:sz w:val="16"/>
                <w:szCs w:val="16"/>
                <w:color w:val="auto"/>
              </w:rPr>
              <w:t>Efficiency ratio</w:t>
            </w:r>
            <w:r>
              <w:rPr>
                <w:rFonts w:ascii="Arial" w:cs="Arial" w:eastAsia="Arial" w:hAnsi="Arial"/>
                <w:sz w:val="25"/>
                <w:szCs w:val="25"/>
                <w:color w:val="auto"/>
                <w:vertAlign w:val="superscript"/>
              </w:rPr>
              <w:t>(5)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62.99%</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75.29%</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77.64%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77.87%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Pro Forma Information as if a C Corporation:</w:t>
            </w:r>
            <w:r>
              <w:rPr>
                <w:rFonts w:ascii="Arial" w:cs="Arial" w:eastAsia="Arial" w:hAnsi="Arial"/>
                <w:sz w:val="25"/>
                <w:szCs w:val="25"/>
                <w:color w:val="auto"/>
                <w:vertAlign w:val="superscript"/>
              </w:rPr>
              <w:t>(6)</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45,353</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29,220</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20,757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17,580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19,652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11,250</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7,481</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4,632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Earnings per share (basic)</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2.51</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1.74</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1.41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(diluted)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1.71</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Return on average assets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1.04%</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0.79%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Return on average stockholders’ equity</w:t>
            </w:r>
            <w:r>
              <w:rPr>
                <w:rFonts w:ascii="Arial" w:cs="Arial" w:eastAsia="Arial" w:hAnsi="Arial"/>
                <w:sz w:val="25"/>
                <w:szCs w:val="25"/>
                <w:color w:val="auto"/>
                <w:vertAlign w:val="superscript"/>
              </w:rPr>
              <w:t>(1)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10.94%</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Credit Quality Ratios: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Nonperforming assets to total assets</w:t>
            </w:r>
            <w:r>
              <w:rPr>
                <w:rFonts w:ascii="Arial" w:cs="Arial" w:eastAsia="Arial" w:hAnsi="Arial"/>
                <w:sz w:val="25"/>
                <w:szCs w:val="25"/>
                <w:color w:val="auto"/>
                <w:vertAlign w:val="superscript"/>
              </w:rPr>
              <w:t>(7)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0.45%</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w w:val="99"/>
              </w:rPr>
              <w:t>Nonperforming loans to total loans held for investment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0.28%</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0.36%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Allowance for loan losses to nonperforming loans</w:t>
            </w:r>
            <w:r>
              <w:rPr>
                <w:rFonts w:ascii="Arial" w:cs="Arial" w:eastAsia="Arial" w:hAnsi="Arial"/>
                <w:sz w:val="25"/>
                <w:szCs w:val="25"/>
                <w:color w:val="auto"/>
                <w:vertAlign w:val="superscript"/>
              </w:rPr>
              <w:t>(8)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304.40%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400.28%</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332.56%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294.29%</w:t>
            </w:r>
          </w:p>
        </w:tc>
        <w:tc>
          <w:tcPr>
            <w:tcW w:w="0" w:type="dxa"/>
            <w:vAlign w:val="bottom"/>
          </w:tcPr>
          <w:p>
            <w:pPr>
              <w:spacing w:after="0"/>
              <w:rPr>
                <w:sz w:val="1"/>
                <w:szCs w:val="1"/>
                <w:color w:val="auto"/>
              </w:rPr>
            </w:pPr>
          </w:p>
        </w:tc>
      </w:tr>
      <w:tr>
        <w:trPr>
          <w:trHeight w:val="202"/>
        </w:trPr>
        <w:tc>
          <w:tcPr>
            <w:tcW w:w="4500" w:type="dxa"/>
            <w:vAlign w:val="bottom"/>
          </w:tcPr>
          <w:p>
            <w:pPr>
              <w:ind w:left="180"/>
              <w:spacing w:after="0" w:line="201" w:lineRule="exact"/>
              <w:rPr>
                <w:sz w:val="20"/>
                <w:szCs w:val="20"/>
                <w:color w:val="auto"/>
              </w:rPr>
            </w:pPr>
            <w:r>
              <w:rPr>
                <w:rFonts w:ascii="Arial" w:cs="Arial" w:eastAsia="Arial" w:hAnsi="Arial"/>
                <w:sz w:val="18"/>
                <w:szCs w:val="18"/>
                <w:color w:val="auto"/>
              </w:rPr>
              <w:t>Allowance for loan losses to total loans held for</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340"/>
              <w:spacing w:after="0"/>
              <w:rPr>
                <w:sz w:val="20"/>
                <w:szCs w:val="20"/>
                <w:color w:val="auto"/>
              </w:rPr>
            </w:pPr>
            <w:r>
              <w:rPr>
                <w:rFonts w:ascii="Arial" w:cs="Arial" w:eastAsia="Arial" w:hAnsi="Arial"/>
                <w:sz w:val="18"/>
                <w:szCs w:val="18"/>
                <w:color w:val="auto"/>
              </w:rPr>
              <w:t>investment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1.13%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1.18%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loan charge-offs to average loans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Total stockholders’ equity to total assets</w:t>
            </w:r>
            <w:r>
              <w:rPr>
                <w:rFonts w:ascii="Arial" w:cs="Arial" w:eastAsia="Arial" w:hAnsi="Arial"/>
                <w:sz w:val="25"/>
                <w:szCs w:val="25"/>
                <w:color w:val="auto"/>
                <w:vertAlign w:val="superscript"/>
              </w:rPr>
              <w:t>(1)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9.46%</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7.84%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line="216" w:lineRule="exact"/>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5"/>
                <w:szCs w:val="25"/>
                <w:color w:val="auto"/>
                <w:vertAlign w:val="superscript"/>
              </w:rPr>
              <w:t>(2)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8.69%</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7.84%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8.37%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equity tier 1 capital ratio</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11.06%</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Tier 1 leverage ratio</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10.74%</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9.63%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risk-based capital ratio</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Total risk-based capital ratio</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19.08%</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14.88%</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14.28%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15.15%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the Company’s pro forma total stockholders’ equity for years prior to 2019.</w:t>
      </w:r>
    </w:p>
    <w:p>
      <w:pPr>
        <w:spacing w:after="0" w:line="23"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a non-GAAP financial measure. We did not have any goodwill or other intangible assets as of the years ended December 31, 2016 to 2018. See our reconciliation of non-GAAP financial measures to their most directly comparable GAAP financial measures under the caption “Management’s Discussion and Analysis of Financial Condition and Results of Operations — Non-GAAP Financial Measures.”</w:t>
      </w:r>
    </w:p>
    <w:p>
      <w:pPr>
        <w:jc w:val="both"/>
        <w:ind w:left="340" w:hanging="332"/>
        <w:spacing w:after="0" w:line="265"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accordance with provisions of the Internal Revenue Code applicable to private companies, prior to our listing on the NASDAQ Global Select Market, the terms of our ESOP provided that ESOP participants had the right, for a specified period of time, to require us to repurchase shares of our common stock that are distributed to them by the ESOP. As a result, for the periods prior to our listing on the NASDAQ Global Select Market, the shares of common stock held by the ESOP are deducted from stockholders’ equity in our consolidated balance sheet. This repurchase right terminated upon the listing of our common stock on the NASDAQ Global Select Market in May 2019.</w:t>
      </w:r>
    </w:p>
    <w:p>
      <w:pPr>
        <w:ind w:left="340" w:hanging="332"/>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 interest margin is calculated as the annual net interest income, on a fully tax-equivalent basis, divided by average interest-earning assets.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efficiency ratio is calculated by dividing noninterest expense by the sum of net interest income on a tax-equivalent basis and noninterest income.</w:t>
      </w:r>
    </w:p>
    <w:p>
      <w:pPr>
        <w:spacing w:after="0" w:line="3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calculated its pro forma C Corporation net income, return on average assets, return on average stockholders’ equity and earnings per share by adding back its franchise S Corporation tax to net income, and using tax rates for Federal income taxes of 35.0% prior to January 1, 2018 and 21.0% for January 1, 2018 through May 30, 2018. This calculation reflects only the revocation of the Company’s status as an S Corporation and does not give effect to any other transaction. As our state income taxes are insignificant, they were not reflected in these calculations.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Nonperforming assets consist of nonperforming loans plus OREO.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Nonperforming loans include nonaccrual loans and loans past due 90 days or more.</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color w:val="auto"/>
        </w:rPr>
        <w:t>The following discussion and analysis of our financial condition and results of operations should be read in conjunction with “Selected Financial Data” and our consolidated financial statements and the accompanying notes included elsewhere in this Report.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“Risk Factors” and elsewhere in this Report, may cause actual results to differ materially from those projected results discussed in the forward-looking statements appearing in this discussion and analysis. Except as required by law, we assume no obligation to update any of these forward-looking statements.</w:t>
      </w:r>
    </w:p>
    <w:p>
      <w:pPr>
        <w:sectPr>
          <w:pgSz w:w="11900" w:h="16838" w:orient="portrait"/>
          <w:cols w:equalWidth="0" w:num="1">
            <w:col w:w="11240"/>
          </w:cols>
          <w:pgMar w:left="320" w:top="12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are a bank holding company headquartered in Lubbock, Texas, and our wholly-owned subsidiary, City Bank, is one of the largest independent banks in West Texas. 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comparability of our consolidated results of operations for the year ended December 31, 2020 to the year ended December 31, 2019 is affected by the acquisition of West Texas State Bank (“WTSB”) on November 12, 2019. Therefore, the results of the acquired operations of WTSB were included in our results of operations during all of 2020 and for a portion of 2019.</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Subchapter S Corporation Status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Beginning January 1, 1998, the Company elected to be taxed for U.S. federal income tax purposes as an S Corporation under the provisions of Sections 1361 to 1379 of the Code. While we were an S Corporation, our net income was not subject to, and we did not pay, U.S. federal income tax, and no provision or liability for U.S. federal income tax was included in our consolidated financial statements. Instead, for U.S. federal income tax purposes our taxable income was “passed through” to our shareholders.</w:t>
      </w:r>
    </w:p>
    <w:p>
      <w:pPr>
        <w:spacing w:after="0" w:line="170"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Effective May 31, 2018, the Company revoked its election to be taxed as an S Corporation, we became taxed as a C Corporation under the provisions of Sections 301 to 385 of the Code, and we established a deferred tax asset to reflect the S Corporation revocation. Thus, our net income is now subject to U.S. federal income tax and we bear the liability for those taxes.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a result of the revocation of our S Corporation election, the net income and earnings per share data presented in our historical financial statements for the years ended December 31, 2016, 2017, and 2018, which do not include any provision for federal income taxes for S Corporation periods, will not be comparable with our historical financial statements for the years ended December 31, 2019 and 2020, or our future net income and earnings per share, which will be calculated by including a provision for federal income taxes. Unless otherwise stated, all information in this Report,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COVID-19 Update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spread of the novel coronavirus (“COVID-19”) continues to cause significant disruptions in the U.S. economy since it was declared a pandemic in March 2020 by the World Health Organization. The changes have impacted our clients, their industries, as well as the financial services industry. At this time, we cannot predict the impact or how long the economy or our impacted clients will be disrupted.</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Company’s Oversight Committee for Business Continuity and Incident Response, which has monitored the spread of the coronavirus since January, continues to monitor the impact of the ongoing COVID-19 pandemic, as well as employee and customer communications. The Company’s Pandemic Task Force continues to implement South Plains’ Business Continuity Plan, focusing on the safety of the Company’s employees and customers while maintaining the operational and financial integrity of the Bank. Non-essential employees were transitioned to a work-from-home environment, strict protocols for employees deemed essential were adopted to ensure adequate social distancing and all Bank facilities are receiving incremental cleaning and sanitization. The Company restricted access to its bank lobbies and customers are currently served through appointments only, as well as through the Bank’s drive-through windows and recently upgraded digital platforms.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Bank also continues to utilize a rigorous enterprise risk management (“ERM”) system that delivers a systematic approach to risk measurement and enhances the effectiveness of risk management across the Bank. The Bank’s ERM system has allowed management to consistently and aggressively review the Bank’s loan portfolio for signs of potential issues during the ongoing COVID-19 pandemic and the Bank continues to closely monitoring its loans to borrowers in the retail, hospitality and energy sectors.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While the duration of the COVID-19 pandemic and the scope of its impact on the economy is uncertain, the Bank continues to be proactive with its borrowers in those sectors most affected by the COVID-19 pandemic and offering loan modifications to borrowers who are or may be unable to meet their contractual payment obligations because of the effects of COVID-19. As previously disclosed, the Bank has assigned its Chairman, Chief Executive Officer, Chief Credit Officer and Chief Lending Officer to partner with the Bank’s lenders on those borrowers most impacted by the COVID-19 pandemic to ensure the Company remains proactive in addressing those credits with the appropriate oversight and modifications when warranted. As part of the Bank’s efforts to support its customers and protect the Bank, the Bank has offered varying forms of loan modifications including 90-day payment deferrals, 6-month interest only terms, or in certain select cases periods of longer than 6 months of interest only, to provide borrowers relief. As of December 31, 2020, total active loan modifications attributed to COVID-19 were approximately $64 million, or 2.9%, of the Company’s loan portfolio. The active modification breakdown is: 2% are 6 months interest only, 95% are interest only periods longer than 6 months, primarily in the Bank’s hotel portfolio, and 3% are payment deferrals of one to four months on consumer loans.</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Bank has assisted its customers in accessing the Paycheck Protection Program (the “PPP”) administered by the Small Business Administration (the “SBA”) and created under the Coronavirus Aid, Relief, and Economic Security Act (the “CARES Act”). As of December 31, 2020, the Bank originated approximately 2,050 PPP loans totaling $215 million. The Economic Aid Act, signed into law on December 27, 2020, authorized new PPP funding and extended the authority of lenders to make PPP loans through March 31, 2021. Under the revised terms of the PPP, loans may be made to first time borrowers as well as certain businesses that previously received a PPP loan and experienced a significant reduction in revenue. The Company is participating in the new round of the PPP by offering first and second draw loans. As of February 28, 2021 the Bank originated approximately $60 million in additional PPP loans. The Bank has utilized its lines of credit with the Federal Home Loan Bank of Dallas and/or the Federal Reserve Bank to supplement funding for origination of PPP loans as needed. Helping City Bank’s customers access</w:t>
      </w:r>
    </w:p>
    <w:p>
      <w:pPr>
        <w:spacing w:after="0" w:line="1" w:lineRule="exact"/>
        <w:rPr>
          <w:sz w:val="20"/>
          <w:szCs w:val="20"/>
          <w:color w:val="auto"/>
        </w:rPr>
      </w:pPr>
    </w:p>
    <w:p>
      <w:pPr>
        <w:jc w:val="both"/>
        <w:ind w:firstLine="8"/>
        <w:spacing w:after="0" w:line="273" w:lineRule="auto"/>
        <w:tabs>
          <w:tab w:leader="none" w:pos="419" w:val="left"/>
        </w:tabs>
        <w:numPr>
          <w:ilvl w:val="0"/>
          <w:numId w:val="13"/>
        </w:numPr>
        <w:rPr>
          <w:rFonts w:ascii="Arial" w:cs="Arial" w:eastAsia="Arial" w:hAnsi="Arial"/>
          <w:sz w:val="19"/>
          <w:szCs w:val="19"/>
          <w:color w:val="auto"/>
        </w:rPr>
      </w:pPr>
      <w:r>
        <w:rPr>
          <w:rFonts w:ascii="Arial" w:cs="Arial" w:eastAsia="Arial" w:hAnsi="Arial"/>
          <w:sz w:val="19"/>
          <w:szCs w:val="19"/>
          <w:color w:val="auto"/>
        </w:rPr>
        <w:t>loans is just one way that the Bank has been helping its customers and communities during this challenging time. City Bank has also been a supporter of the South Plains and Permian Basin food banks and recently increased its financial support given the challenging economic environment for so many. Finally, as previously announced on November 2, 2020, the Company announced the resumption of its stock repurchase program. The stock repurchase program that commenced in March of 2020 allows for the repurchase of up to $10 million of the Company’s common stock. Repurchases under the stock repurchase program were temporarily suspended in April of 2020 in light of the uncertainties presented by the COVID-19 pandemic and surrounding events. The expiration of the stock repurchase program was also extended from April 15, 2021 until November 5, 2021.</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currently unable to fully assess or predict the extent of the effects of the COVID-19 pandemic on our operations as the ultimate impact will depend on factors that are currently unknown and/or beyond our control. Please refer to Part I, Item 1A, “Risk Factors”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for the Years Ended December 31, 2020 and 2019</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income for the year ended December 31, 2020 was $45.4 million, or $2.47 per diluted share, compared to $29.2 million, or $1.71 per diluted share, for the year ended December 31, 2019. The increase in net income was primarily the result of an improvement of $17.7 million in net interest income and increased noninterest income of $45.0 million, offset by an increase of $20.0 million in noninterest expense, an increase of $22.8 million in the provision for loan losses and an increase of $3.8 million in income tax expense.</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Return on average assets was 1.31% and return on average equity was 13.40% for the year ended December 31, 2020, compared to 1.04% and 10.94%, respectively, for the year ended December 31, 2019. The increase in return on average assets was primarily due to the increase in net income of 55.2%, relative to a smaller increase of 22.8% for total average assets.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Interest Income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ectPr>
          <w:pgSz w:w="11900" w:h="16838" w:orient="portrait"/>
          <w:cols w:equalWidth="0" w:num="1">
            <w:col w:w="11240"/>
          </w:cols>
          <w:pgMar w:left="320" w:top="122" w:right="339" w:bottom="436"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36"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is shown on a fully tax-equivalent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Loans, excluding PPP</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2,181,118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116,753</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1,997,783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144,514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5,130</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11,852</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317,947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158,482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4,489</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37,232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Other interest-earning assets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184,262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0.60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284,031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3,215,483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139,324</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2,636,993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133,383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249,536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182,967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3,465,019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2,819,960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1,653,088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6,337</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1,448,320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16,436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5,557</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319,811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19,404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16,231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95,054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38,747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2,223</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26,786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2,196,300</w:t>
            </w: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15,946</w:t>
            </w:r>
          </w:p>
        </w:tc>
        <w:tc>
          <w:tcPr>
            <w:tcW w:w="20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5"/>
              </w:rPr>
              <w:t>0.73</w:t>
            </w: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1,952,595</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28,367</w:t>
            </w: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570,428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41,573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29,891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338,493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267,046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Total liabilities and shareholders’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3,465,019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2,819,960</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123,378</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105,016</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ind w:left="800"/>
              <w:spacing w:after="0"/>
              <w:rPr>
                <w:sz w:val="20"/>
                <w:szCs w:val="20"/>
                <w:color w:val="auto"/>
              </w:rPr>
            </w:pPr>
            <w:r>
              <w:rPr>
                <w:rFonts w:ascii="Arial" w:cs="Arial" w:eastAsia="Arial" w:hAnsi="Arial"/>
                <w:sz w:val="18"/>
                <w:szCs w:val="18"/>
                <w:color w:val="auto"/>
              </w:rPr>
              <w:t>3.61%</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interest margin is calculated as the annual net interest income, on a fully tax-equivalent basis, divided by average interest-earning assets.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w:t>
      </w:r>
    </w:p>
    <w:p>
      <w:pPr>
        <w:spacing w:after="0" w:line="1" w:lineRule="exact"/>
        <w:rPr>
          <w:sz w:val="20"/>
          <w:szCs w:val="20"/>
          <w:color w:val="auto"/>
        </w:rPr>
      </w:pPr>
    </w:p>
    <w:p>
      <w:pPr>
        <w:jc w:val="both"/>
        <w:ind w:firstLine="8"/>
        <w:spacing w:after="0" w:line="234" w:lineRule="auto"/>
        <w:tabs>
          <w:tab w:leader="none" w:pos="279" w:val="left"/>
        </w:tabs>
        <w:numPr>
          <w:ilvl w:val="0"/>
          <w:numId w:val="15"/>
        </w:numPr>
        <w:rPr>
          <w:rFonts w:ascii="Arial" w:cs="Arial" w:eastAsia="Arial" w:hAnsi="Arial"/>
          <w:sz w:val="22"/>
          <w:szCs w:val="22"/>
          <w:color w:val="auto"/>
        </w:rPr>
      </w:pPr>
      <w:r>
        <w:rPr>
          <w:rFonts w:ascii="Arial" w:cs="Arial" w:eastAsia="Arial" w:hAnsi="Arial"/>
          <w:sz w:val="22"/>
          <w:szCs w:val="22"/>
          <w:color w:val="auto"/>
        </w:rPr>
        <w:t>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2020 over 2019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84"/>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10,744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(12,953)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Net interest income for the year ended December 31, 2020 was $122.3 million compared to $104.6 million for the year ended December 31, 2019, an increase of $17.7 million, or 16.9%. The increase in net interest income was comprised of a $5.3 million, or 4.0%, increase in interest income and a $12.4 million, or 43.8%, decrease in interest expense. The growth in interest income was primarily attributable to a $183.3 million, or 9.2%, increase in average loans outstanding for the year ended December 31, 2020, compared to 2019, partially offset by a 51 basis points decrease in the yield on total loans. The increase in average loans outstanding was primarily the result of a complete year of loans acquired from WTSB and an increase of $44.2 million in average mortgage loans held for sale. The decline in yield was a result of the large drop in rates experienced in the first quarter of 2020 and its continued effects. As of December 31, 2020, the Company had originated approximately 2,100 PPP loans, totaling $218 million, and had received $7.8 million in PPP related SBA fees. These fees were deferred and then accreted into interest income over the life of the applicable loans. During the year ended December 31, 2020, the Company recognized $3.7 million in PPP related SBA fees. The Company expects that the remaining first round of PPP loans will continue to be forgiven over the next several quarters. At December 31, 2020, there is $4.1 million of deferred fees that have not been accreted to income.</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$12.4 million decrease in interest expense for the year ended December 31, 2020 was primarily related to a 72 basis points decrease in the rate paid on interest-bearing liabilities, partially offset by an increase of $243.7 million in average interest-bearing liabilities. The increase in average interest-bearing liabilities was largely due to a complete year of the deposits acquired from WTSB and growth in deposits from PPP loan funding and other government stimulus payments and programs, and organic growth. Additionally, the decrease in the rate paid on interest-bearing liabilities was the result of the decline in the overall rate environment experienced in the first quarter of 2020.</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December 31, 2020, net interest margin and net interest spread were 3.84% and 3.61%, respectively, compared to 3.98% and 3.61% for the same period in 2019, respectively, which reflects the increases in interest income discussed above relative to the decreases in interest expense.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Loan Losses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level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 See “Financial Statements and Supplementary Data – Note 1. Summary of Significant Accounting Policies” in the notes to our consolidated financial statements included elsewhere in this Report for more detailed discussion.</w:t>
      </w:r>
    </w:p>
    <w:p>
      <w:pPr>
        <w:sectPr>
          <w:pgSz w:w="11900" w:h="16838" w:orient="portrait"/>
          <w:cols w:equalWidth="0" w:num="1">
            <w:col w:w="11240"/>
          </w:cols>
          <w:pgMar w:left="320" w:top="122" w:right="339" w:bottom="0" w:gutter="0" w:footer="0" w:header="0"/>
        </w:sectPr>
      </w:pPr>
    </w:p>
    <w:bookmarkStart w:id="63" w:name="page64"/>
    <w:bookmarkEnd w:id="63"/>
    <w:p>
      <w:pPr>
        <w:jc w:val="both"/>
        <w:spacing w:after="0" w:line="282" w:lineRule="auto"/>
        <w:rPr>
          <w:sz w:val="20"/>
          <w:szCs w:val="20"/>
          <w:color w:val="auto"/>
        </w:rPr>
      </w:pPr>
      <w:r>
        <w:rPr>
          <w:rFonts w:ascii="Arial" w:cs="Arial" w:eastAsia="Arial" w:hAnsi="Arial"/>
          <w:sz w:val="19"/>
          <w:szCs w:val="19"/>
          <w:color w:val="auto"/>
        </w:rPr>
        <w:t>The provision for loan losses for the year ended December 31, 2020 was $25.6 million compared to $2.8 million for the year ended December 31, 2019. The higher provision in 2020 was primarily a result of the uncertain economic effects from the ongoing COVID-19 pandemic as well as the decline in oil and gas prices. Net charge-offs increased $2.5 million during 2020 as compared to 2019. The allowance for loan losses as a percentage of loans held for investment was 2.05% at December 31, 2020 and 1.13% at December 31, 2019. Further discussion of the allowance for loan losses is noted below.</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Income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major components of our noninterest income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7,016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10,035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65,042</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25,126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39,916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line="216" w:lineRule="exact"/>
              <w:rPr>
                <w:sz w:val="20"/>
                <w:szCs w:val="20"/>
                <w:color w:val="auto"/>
              </w:rPr>
            </w:pPr>
            <w:r>
              <w:rPr>
                <w:rFonts w:ascii="Arial" w:cs="Arial" w:eastAsia="Arial" w:hAnsi="Arial"/>
                <w:sz w:val="16"/>
                <w:szCs w:val="16"/>
                <w:color w:val="auto"/>
              </w:rPr>
              <w:t>Other income and fees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3,654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101,603</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income and fees includes income and fees associated with the increase in the cash surrender value of life insurance, safe deposit box rental, check printing, collections, wire transfer and other miscellaneous services.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Noninterest income for the year ended December 31, 2020 was $101.6 million compared to $56.6 million for the year ended December 31, 2019, an increase of $45.0 million, or 79.4%. Income from mortgage banking activities increased $39.9 million, or 158.9%, to 65.0 million for the December 31, 2020 from $25.1 million for the year ended December 31, 2019. This increase was due primarily due to an increase of $802.2 million, or 125.2%, in mortgage loan originations for the year ended December 31, 2020, compared to the year ended December 31, 2019. Our mortgage originations experienced a record level of volume in 2020 as the industry benefited from historic low levels of interest rates. Refinance activity represented 53% of the 2020 originations as compared to 28% in 2019. Refinance activity is expected to taper off in the middle part of 2021 and then return to more historic levels. Additionally, fiduciary income increased $879,000, and income from insurance activities increased $628,000 for the year ended December 31, 2020 compared to the year ended December 31, 2019. The increase in fiduciary income was primarily due to new customer acquisition with estate executorship and trust management as the primary services in late third quarter 2019. It is expected that fiduciary fees will be $410,000 per quarter lower beginning in the third quarter of 2021, prior to any organic growth, due to the fees on some estates being fully earned at end of the second quarter of 2021. The increase in income from insurance activities is related to new revenue generated from two businesses acquired since September 1, 2019. Further, there was a $2.3 million gain on sale of securities in the first quarter of 2020.</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Expense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major components of our noninterest expense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89,220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14,658</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13,572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17,818</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14,592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141,715</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ectPr>
          <w:pgSz w:w="11900" w:h="16838" w:orient="portrait"/>
          <w:cols w:equalWidth="0" w:num="1">
            <w:col w:w="11240"/>
          </w:cols>
          <w:pgMar w:left="320" w:top="122" w:right="339" w:bottom="76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60" w:gutter="0" w:footer="0" w:header="0"/>
          <w:type w:val="continuous"/>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Noninterest expense for 2020 was $141.7 million compared to $121.7 million for 2019, an increase of $20.0 million, or 16.4%. Salaries and employee benefits increased $13.8 million, or 18.3%, from $75.4 million for the December 31, 2019 to $89.2 million for the year ended December 31, 2020. This increase in salaries and employee benefits expense was predominantly driven by $10.1 million of additional commissions paid on the higher volume of mortgage loan originations and from the full year of expenses for the personnel in the branches acquired from WTSB. Other noninterest expenses increased $6.2 million for the year ended December 31, 2020, compared to the same period in 2019. This increase was primarily due to the following: a $1.6 million increase in variable mortgage expenses as a result of increased production, a $1.4 million increase in core deposit intangible and other intangibles amortization expense, a $621,000 increase in data conversion expenses related to the WTSB acquisition, and $701,000 in computer equipment purchased in connection with upgrading the equipment at the acquired branches as well as at existing branches and a new phone system. The computer equipment purchases were expensed due to the individual items falling below the Company’s capitalization threshold.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total assets increased $362.0 million, or 11.2%, to $3.60 billion at December 31, 2020 as compared to $3.24 billion at December 31, 2019. Our gross loans held for investment increased $78.0 million, or 3.6%, to $2.22 billion at December 31, 2020, compared to $2.14 billion at December 31, 2019. Total deposits increased $277.5 million, or 10.3% to $2.97 billion at December 31, 2020, compared to $2.70 billion at December 31, 2019. The increase in total assets, loans, and deposits was primarily the result of organic growth of the Company as well as our participation in the PPP.</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loans represent the largest portion of earning assets, greater than the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presents the balance and associated percentage of each major category in our gross loan portfolio at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w w:val="88"/>
              </w:rPr>
              <w:t>As of December 31,</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9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940" w:type="dxa"/>
            <w:vAlign w:val="bottom"/>
            <w:gridSpan w:val="3"/>
          </w:tcPr>
          <w:p>
            <w:pPr>
              <w:jc w:val="right"/>
              <w:ind w:right="358"/>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Amount</w:t>
            </w:r>
          </w:p>
        </w:tc>
        <w:tc>
          <w:tcPr>
            <w:tcW w:w="9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Total</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960" w:type="dxa"/>
            <w:vAlign w:val="bottom"/>
            <w:gridSpan w:val="3"/>
          </w:tcPr>
          <w:p>
            <w:pPr>
              <w:jc w:val="right"/>
              <w:ind w:right="387"/>
              <w:spacing w:after="0"/>
              <w:rPr>
                <w:sz w:val="20"/>
                <w:szCs w:val="20"/>
                <w:color w:val="auto"/>
              </w:rPr>
            </w:pPr>
            <w:r>
              <w:rPr>
                <w:rFonts w:ascii="Arial" w:cs="Arial" w:eastAsia="Arial" w:hAnsi="Arial"/>
                <w:sz w:val="18"/>
                <w:szCs w:val="18"/>
                <w:b w:val="1"/>
                <w:bCs w:val="1"/>
                <w:color w:val="auto"/>
              </w:rPr>
              <w:t>Total</w:t>
            </w: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r>
      <w:tr>
        <w:trPr>
          <w:trHeight w:val="216"/>
        </w:trPr>
        <w:tc>
          <w:tcPr>
            <w:tcW w:w="18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(Dollars in</w:t>
            </w:r>
          </w:p>
        </w:tc>
        <w:tc>
          <w:tcPr>
            <w:tcW w:w="180" w:type="dxa"/>
            <w:vAlign w:val="bottom"/>
          </w:tcPr>
          <w:p>
            <w:pPr>
              <w:spacing w:after="0"/>
              <w:rPr>
                <w:sz w:val="18"/>
                <w:szCs w:val="18"/>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71"/>
              </w:rPr>
              <w:t>thousands)</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663,344</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658,195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538,037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506,894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462,495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Commercial –</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880" w:type="dxa"/>
            <w:vAlign w:val="bottom"/>
          </w:tcPr>
          <w:p>
            <w:pPr>
              <w:ind w:left="180"/>
              <w:spacing w:after="0"/>
              <w:rPr>
                <w:sz w:val="20"/>
                <w:szCs w:val="20"/>
                <w:color w:val="auto"/>
              </w:rPr>
            </w:pPr>
            <w:r>
              <w:rPr>
                <w:rFonts w:ascii="Arial" w:cs="Arial" w:eastAsia="Arial" w:hAnsi="Arial"/>
                <w:sz w:val="18"/>
                <w:szCs w:val="18"/>
                <w:color w:val="auto"/>
              </w:rPr>
              <w:t>specialized</w:t>
            </w: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311,686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309,505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305,022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329,119</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309,279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518,309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441,398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427,728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410,057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395,949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362,796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346,153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313,350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297,944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205,840</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215,209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191,647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146,622</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76,215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67,595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70,209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66,191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62,097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94,494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82,520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78,401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65,922</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57,207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r>
      <w:tr>
        <w:trPr>
          <w:trHeight w:val="27"/>
        </w:trPr>
        <w:tc>
          <w:tcPr>
            <w:tcW w:w="1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Gross loans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2,221,583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2,143,623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1,957,197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1,838,155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1,661,186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Allowance for loan</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1880" w:type="dxa"/>
            <w:vAlign w:val="bottom"/>
          </w:tcPr>
          <w:p>
            <w:pPr>
              <w:ind w:left="18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(45,553)</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(24,197)</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(23,126)</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(21,461)</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(21,174)</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7"/>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loans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2,176,030</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2,119,426</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1,934,071</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1,816,694</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1,640,012</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Gross loans increased $78.0 million, or 3.6%, to $2.22 billion at December 31, 2020 as compared to $2.14 billion at December 31, 2019. This increase in our gross loans was primarily due to $170.0 million in PPP loans outstanding at December 31, 2020, partially offset by the early payoff of multiple relationships and the slowing of new loan originations during 2020 as a result of the ongoing COVID-19 pandemic. See below for further discussion of changes by major category.</w:t>
      </w:r>
    </w:p>
    <w:p>
      <w:pPr>
        <w:sectPr>
          <w:pgSz w:w="11900" w:h="16838" w:orient="portrait"/>
          <w:cols w:equalWidth="0" w:num="1">
            <w:col w:w="11240"/>
          </w:cols>
          <w:pgMar w:left="320" w:top="122"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tables show the contractual maturities of our gross loan portfolio and the distribution between fixed and adjustable interest rate loans at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w w:val="94"/>
              </w:rPr>
              <w:t>As of December 31, 2020</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left="670"/>
              <w:spacing w:after="0" w:line="198" w:lineRule="exact"/>
              <w:rPr>
                <w:sz w:val="20"/>
                <w:szCs w:val="20"/>
                <w:color w:val="auto"/>
              </w:rPr>
            </w:pPr>
            <w:r>
              <w:rPr>
                <w:rFonts w:ascii="Arial" w:cs="Arial" w:eastAsia="Arial" w:hAnsi="Arial"/>
                <w:sz w:val="18"/>
                <w:szCs w:val="18"/>
                <w:b w:val="1"/>
                <w:bCs w:val="1"/>
                <w:color w:val="auto"/>
                <w:w w:val="90"/>
              </w:rPr>
              <w:t>Due in</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5"/>
          </w:tcPr>
          <w:p>
            <w:pPr>
              <w:ind w:left="260"/>
              <w:spacing w:after="0" w:line="198" w:lineRule="exact"/>
              <w:rPr>
                <w:sz w:val="20"/>
                <w:szCs w:val="20"/>
                <w:color w:val="auto"/>
              </w:rPr>
            </w:pPr>
            <w:r>
              <w:rPr>
                <w:rFonts w:ascii="Arial" w:cs="Arial" w:eastAsia="Arial" w:hAnsi="Arial"/>
                <w:sz w:val="18"/>
                <w:szCs w:val="18"/>
                <w:b w:val="1"/>
                <w:bCs w:val="1"/>
                <w:color w:val="auto"/>
              </w:rPr>
              <w:t>Due after One Year</w:t>
            </w:r>
          </w:p>
        </w:tc>
        <w:tc>
          <w:tcPr>
            <w:tcW w:w="220" w:type="dxa"/>
            <w:vAlign w:val="bottom"/>
          </w:tcPr>
          <w:p>
            <w:pPr>
              <w:spacing w:after="0"/>
              <w:rPr>
                <w:sz w:val="17"/>
                <w:szCs w:val="17"/>
                <w:color w:val="auto"/>
              </w:rPr>
            </w:pPr>
          </w:p>
        </w:tc>
        <w:tc>
          <w:tcPr>
            <w:tcW w:w="2420" w:type="dxa"/>
            <w:vAlign w:val="bottom"/>
            <w:gridSpan w:val="5"/>
          </w:tcPr>
          <w:p>
            <w:pPr>
              <w:jc w:val="center"/>
              <w:ind w:right="420"/>
              <w:spacing w:after="0" w:line="198" w:lineRule="exact"/>
              <w:rPr>
                <w:sz w:val="20"/>
                <w:szCs w:val="20"/>
                <w:color w:val="auto"/>
              </w:rPr>
            </w:pPr>
            <w:r>
              <w:rPr>
                <w:rFonts w:ascii="Arial" w:cs="Arial" w:eastAsia="Arial" w:hAnsi="Arial"/>
                <w:sz w:val="18"/>
                <w:szCs w:val="18"/>
                <w:b w:val="1"/>
                <w:bCs w:val="1"/>
                <w:color w:val="auto"/>
                <w:w w:val="92"/>
              </w:rPr>
              <w:t>Due after</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One Year or Less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Through Five Years</w:t>
            </w:r>
          </w:p>
        </w:tc>
        <w:tc>
          <w:tcPr>
            <w:tcW w:w="220" w:type="dxa"/>
            <w:vAlign w:val="bottom"/>
          </w:tcPr>
          <w:p>
            <w:pPr>
              <w:spacing w:after="0"/>
              <w:rPr>
                <w:sz w:val="20"/>
                <w:szCs w:val="20"/>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Five Years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Fixed</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Adjustable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70"/>
              <w:spacing w:after="0" w:line="198" w:lineRule="exact"/>
              <w:rPr>
                <w:sz w:val="20"/>
                <w:szCs w:val="20"/>
                <w:color w:val="auto"/>
              </w:rPr>
            </w:pPr>
            <w:r>
              <w:rPr>
                <w:rFonts w:ascii="Arial" w:cs="Arial" w:eastAsia="Arial" w:hAnsi="Arial"/>
                <w:sz w:val="18"/>
                <w:szCs w:val="18"/>
                <w:b w:val="1"/>
                <w:bCs w:val="1"/>
                <w:color w:val="auto"/>
                <w:w w:val="93"/>
              </w:rPr>
              <w:t>Fixed</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Adjustable</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9"/>
              </w:rPr>
              <w:t>Fixed</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Adjustable</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80" w:type="dxa"/>
            <w:vAlign w:val="bottom"/>
            <w:gridSpan w:val="5"/>
          </w:tcPr>
          <w:p>
            <w:pPr>
              <w:jc w:val="center"/>
              <w:ind w:right="147"/>
              <w:spacing w:after="0"/>
              <w:rPr>
                <w:sz w:val="20"/>
                <w:szCs w:val="20"/>
                <w:color w:val="auto"/>
              </w:rPr>
            </w:pPr>
            <w:r>
              <w:rPr>
                <w:rFonts w:ascii="Arial" w:cs="Arial" w:eastAsia="Arial" w:hAnsi="Arial"/>
                <w:sz w:val="18"/>
                <w:szCs w:val="18"/>
                <w:b w:val="1"/>
                <w:bCs w:val="1"/>
                <w:color w:val="auto"/>
                <w:w w:val="82"/>
              </w:rPr>
              <w:t>(Dollars 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7"/>
              </w:rPr>
              <w:t>Commercial real estate</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49,009</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142,558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115,312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286,523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663,344</w:t>
            </w: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Commercial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20" w:type="dxa"/>
            <w:vAlign w:val="bottom"/>
          </w:tcPr>
          <w:p>
            <w:pPr>
              <w:ind w:left="180"/>
              <w:spacing w:after="0"/>
              <w:rPr>
                <w:sz w:val="20"/>
                <w:szCs w:val="20"/>
                <w:color w:val="auto"/>
              </w:rPr>
            </w:pPr>
            <w:r>
              <w:rPr>
                <w:rFonts w:ascii="Arial" w:cs="Arial" w:eastAsia="Arial" w:hAnsi="Arial"/>
                <w:sz w:val="18"/>
                <w:szCs w:val="18"/>
                <w:color w:val="auto"/>
              </w:rPr>
              <w:t>specialized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90,466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57,282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28,558</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11,617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109,659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311,686</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241,635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518,309</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1-4 family residential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51,208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360,315</w:t>
            </w: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143,422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60,805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205,840</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36,154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67,595</w:t>
            </w:r>
          </w:p>
        </w:tc>
      </w:tr>
      <w:tr>
        <w:trPr>
          <w:trHeight w:val="223"/>
        </w:trPr>
        <w:tc>
          <w:tcPr>
            <w:tcW w:w="1820" w:type="dxa"/>
            <w:vAlign w:val="bottom"/>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49,334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28,821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13,818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94,494</w:t>
            </w:r>
          </w:p>
        </w:tc>
      </w:tr>
      <w:tr>
        <w:trPr>
          <w:trHeight w:val="257"/>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loans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167,066</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209,360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672,469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691,722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9"/>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w w:val="94"/>
              </w:rPr>
              <w:t>As of December 31, 2019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left="670"/>
              <w:spacing w:after="0" w:line="198" w:lineRule="exact"/>
              <w:rPr>
                <w:sz w:val="20"/>
                <w:szCs w:val="20"/>
                <w:color w:val="auto"/>
              </w:rPr>
            </w:pPr>
            <w:r>
              <w:rPr>
                <w:rFonts w:ascii="Arial" w:cs="Arial" w:eastAsia="Arial" w:hAnsi="Arial"/>
                <w:sz w:val="18"/>
                <w:szCs w:val="18"/>
                <w:b w:val="1"/>
                <w:bCs w:val="1"/>
                <w:color w:val="auto"/>
                <w:w w:val="90"/>
              </w:rPr>
              <w:t>Due in</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5"/>
          </w:tcPr>
          <w:p>
            <w:pPr>
              <w:ind w:left="260"/>
              <w:spacing w:after="0" w:line="198" w:lineRule="exact"/>
              <w:rPr>
                <w:sz w:val="20"/>
                <w:szCs w:val="20"/>
                <w:color w:val="auto"/>
              </w:rPr>
            </w:pPr>
            <w:r>
              <w:rPr>
                <w:rFonts w:ascii="Arial" w:cs="Arial" w:eastAsia="Arial" w:hAnsi="Arial"/>
                <w:sz w:val="18"/>
                <w:szCs w:val="18"/>
                <w:b w:val="1"/>
                <w:bCs w:val="1"/>
                <w:color w:val="auto"/>
              </w:rPr>
              <w:t>Due after One Year</w:t>
            </w:r>
          </w:p>
        </w:tc>
        <w:tc>
          <w:tcPr>
            <w:tcW w:w="220" w:type="dxa"/>
            <w:vAlign w:val="bottom"/>
          </w:tcPr>
          <w:p>
            <w:pPr>
              <w:spacing w:after="0"/>
              <w:rPr>
                <w:sz w:val="17"/>
                <w:szCs w:val="17"/>
                <w:color w:val="auto"/>
              </w:rPr>
            </w:pPr>
          </w:p>
        </w:tc>
        <w:tc>
          <w:tcPr>
            <w:tcW w:w="2420" w:type="dxa"/>
            <w:vAlign w:val="bottom"/>
            <w:gridSpan w:val="5"/>
          </w:tcPr>
          <w:p>
            <w:pPr>
              <w:jc w:val="center"/>
              <w:ind w:right="420"/>
              <w:spacing w:after="0" w:line="198" w:lineRule="exact"/>
              <w:rPr>
                <w:sz w:val="20"/>
                <w:szCs w:val="20"/>
                <w:color w:val="auto"/>
              </w:rPr>
            </w:pPr>
            <w:r>
              <w:rPr>
                <w:rFonts w:ascii="Arial" w:cs="Arial" w:eastAsia="Arial" w:hAnsi="Arial"/>
                <w:sz w:val="18"/>
                <w:szCs w:val="18"/>
                <w:b w:val="1"/>
                <w:bCs w:val="1"/>
                <w:color w:val="auto"/>
                <w:w w:val="92"/>
              </w:rPr>
              <w:t>Due after</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One Year or Less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Through Five Years</w:t>
            </w:r>
          </w:p>
        </w:tc>
        <w:tc>
          <w:tcPr>
            <w:tcW w:w="220" w:type="dxa"/>
            <w:vAlign w:val="bottom"/>
          </w:tcPr>
          <w:p>
            <w:pPr>
              <w:spacing w:after="0"/>
              <w:rPr>
                <w:sz w:val="20"/>
                <w:szCs w:val="20"/>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Five Years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Fixed</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Adjustable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70"/>
              <w:spacing w:after="0" w:line="198" w:lineRule="exact"/>
              <w:rPr>
                <w:sz w:val="20"/>
                <w:szCs w:val="20"/>
                <w:color w:val="auto"/>
              </w:rPr>
            </w:pPr>
            <w:r>
              <w:rPr>
                <w:rFonts w:ascii="Arial" w:cs="Arial" w:eastAsia="Arial" w:hAnsi="Arial"/>
                <w:sz w:val="18"/>
                <w:szCs w:val="18"/>
                <w:b w:val="1"/>
                <w:bCs w:val="1"/>
                <w:color w:val="auto"/>
                <w:w w:val="93"/>
              </w:rPr>
              <w:t>Fixed</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Adjustable</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9"/>
              </w:rPr>
              <w:t>Fixed</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Adjustable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80" w:type="dxa"/>
            <w:vAlign w:val="bottom"/>
            <w:gridSpan w:val="5"/>
          </w:tcPr>
          <w:p>
            <w:pPr>
              <w:jc w:val="center"/>
              <w:ind w:right="147"/>
              <w:spacing w:after="0"/>
              <w:rPr>
                <w:sz w:val="20"/>
                <w:szCs w:val="20"/>
                <w:color w:val="auto"/>
              </w:rPr>
            </w:pPr>
            <w:r>
              <w:rPr>
                <w:rFonts w:ascii="Arial" w:cs="Arial" w:eastAsia="Arial" w:hAnsi="Arial"/>
                <w:sz w:val="18"/>
                <w:szCs w:val="18"/>
                <w:b w:val="1"/>
                <w:bCs w:val="1"/>
                <w:color w:val="auto"/>
                <w:w w:val="82"/>
              </w:rPr>
              <w:t>(Dollars 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7"/>
              </w:rPr>
              <w:t>Commercial real estate</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47,455</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107,589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130,381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Commercial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20" w:type="dxa"/>
            <w:vAlign w:val="bottom"/>
          </w:tcPr>
          <w:p>
            <w:pPr>
              <w:ind w:left="140"/>
              <w:spacing w:after="0"/>
              <w:rPr>
                <w:sz w:val="20"/>
                <w:szCs w:val="20"/>
                <w:color w:val="auto"/>
              </w:rPr>
            </w:pPr>
            <w:r>
              <w:rPr>
                <w:rFonts w:ascii="Arial" w:cs="Arial" w:eastAsia="Arial" w:hAnsi="Arial"/>
                <w:sz w:val="18"/>
                <w:szCs w:val="18"/>
                <w:color w:val="auto"/>
              </w:rPr>
              <w:t>specialized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98,369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51,411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46,708</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12,986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64,216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82,977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197,751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1-4 family residential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74,562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89,599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143,776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69,797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37,796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1820" w:type="dxa"/>
            <w:vAlign w:val="bottom"/>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18,166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57"/>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loans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171,615</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220,158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499,940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321,327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Bank is primarily involved in real estate, commercial, agricultural and consumer lending activities with customers throughout Texas and Eastern New Mexico. We have a collateral concentration as 66.5% of our gross loans were secured by real property as of December 31, 2020, compared to 65.5% as of December 31, 2019.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29.9% of gross loans as of December 31, 2020 and represented 30.7% of gross loans as of December 31, 2019. Further, these loans are geographically diversified, primarily throughout the state of Texas as well as Eastern New Mexico.</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Commercial Real Estate</w:t>
      </w:r>
      <w:r>
        <w:rPr>
          <w:rFonts w:ascii="Arial" w:cs="Arial" w:eastAsia="Arial" w:hAnsi="Arial"/>
          <w:sz w:val="21"/>
          <w:szCs w:val="21"/>
          <w:color w:val="auto"/>
        </w:rPr>
        <w:t>. Our commercial real estate portfolio includes loans for commercial property that is owned by real estate</w:t>
      </w:r>
      <w:r>
        <w:rPr>
          <w:rFonts w:ascii="Arial" w:cs="Arial" w:eastAsia="Arial" w:hAnsi="Arial"/>
          <w:sz w:val="21"/>
          <w:szCs w:val="21"/>
          <w:i w:val="1"/>
          <w:iCs w:val="1"/>
          <w:color w:val="auto"/>
        </w:rPr>
        <w:t xml:space="preserve"> </w:t>
      </w:r>
      <w:r>
        <w:rPr>
          <w:rFonts w:ascii="Arial" w:cs="Arial" w:eastAsia="Arial" w:hAnsi="Arial"/>
          <w:sz w:val="21"/>
          <w:szCs w:val="21"/>
          <w:color w:val="auto"/>
        </w:rPr>
        <w:t>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ectPr>
          <w:pgSz w:w="11900" w:h="16838" w:orient="portrait"/>
          <w:cols w:equalWidth="0" w:num="1">
            <w:col w:w="11240"/>
          </w:cols>
          <w:pgMar w:left="320" w:top="122" w:right="339" w:bottom="73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33" w:gutter="0" w:footer="0" w:header="0"/>
          <w:type w:val="continuous"/>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Commercial real estate loans increased $5.1 million, or 0.8%, to $663.3 million as of December 31, 2020 from $658.2 million as of December 31, 2019. This included a decrease of $38.5 million in land development and construction loans, partially offset by increases of $17.7 million and $16.4 million in non-office commercial tenant loans and multifamily tenant loans, respectively.</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color w:val="auto"/>
        </w:rPr>
        <w:t>Commercial – General and Specialized</w:t>
      </w:r>
      <w:r>
        <w:rPr>
          <w:rFonts w:ascii="Arial" w:cs="Arial" w:eastAsia="Arial" w:hAnsi="Arial"/>
          <w:sz w:val="19"/>
          <w:szCs w:val="19"/>
          <w:color w:val="auto"/>
        </w:rPr>
        <w:t>. Commercial loans are underwritten after evaluating and understanding the borrower’s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200" w:lineRule="exact"/>
        <w:rPr>
          <w:sz w:val="20"/>
          <w:szCs w:val="20"/>
          <w:color w:val="auto"/>
        </w:rPr>
      </w:pP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Commercial general loans increased $76.9 million, or 17.4%, to $518.3 million as of December 31, 2020 from $441.4 million as of December 31, 2019. The increase in commercial general loans was primarily due to $170.0 million in net PPP loans, partially offset by early payoffs and paydowns and a slowdown of new originations due to the ongoing COVID-19 pandemic during 2020. In addition, a $16.0 million relationship was paid-off and then new money was loaned for a different purpose in 2020 and it is now reported as a specialized loan.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Commercial specialized loans increased $2.2 million, or 0.7%, to $311.7 million as of December 31, 2020 from $309.5 million as of December 31, 2019. This increase was primarily due to a net increase of $2.7 million in energy loans, $8.8 million in agricultural real estate loans, and $15.9 million in finance, investment &amp; insurance loans, partially offset with a net decrease of $25.3 million in agricultural production loans. Our agricultural production loans did not experience the typical historical increase in seasonal fundings during the third quarter of 2020, primarily as a result of drought conditions or damaged crops and where the borrower received crop insurance proceeds to pay down the loans.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Consumer</w:t>
      </w:r>
      <w:r>
        <w:rPr>
          <w:rFonts w:ascii="Arial" w:cs="Arial" w:eastAsia="Arial" w:hAnsi="Arial"/>
          <w:sz w:val="19"/>
          <w:szCs w:val="19"/>
          <w:color w:val="auto"/>
        </w:rPr>
        <w:t>. We utilize a computer-based credit scoring analysis to supplement our policies and procedures in underwriting</w:t>
      </w:r>
      <w:r>
        <w:rPr>
          <w:rFonts w:ascii="Arial" w:cs="Arial" w:eastAsia="Arial" w:hAnsi="Arial"/>
          <w:sz w:val="19"/>
          <w:szCs w:val="19"/>
          <w:i w:val="1"/>
          <w:iCs w:val="1"/>
          <w:color w:val="auto"/>
        </w:rPr>
        <w:t xml:space="preserve"> </w:t>
      </w:r>
      <w:r>
        <w:rPr>
          <w:rFonts w:ascii="Arial" w:cs="Arial" w:eastAsia="Arial" w:hAnsi="Arial"/>
          <w:sz w:val="19"/>
          <w:szCs w:val="19"/>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Consumer and other loans decreased $18.3 million, or 2.8%, to $633.8 million as of December 31, 2020, from $652.0 million as of December 31, 2019. The decrease in these loans was primarily the result of indirect auto loan originations slowing during March through September 2020 to a level that was less than incoming payments as a result of the COVID-19 pandemic. As of December 31, 2020, our consumer loan portfolio was comprised of $360.3 million in 1-4 family residential loans, $205.8 million in auto loans, and $67.6 million in other consumer loans.</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Construction</w:t>
      </w:r>
      <w:r>
        <w:rPr>
          <w:rFonts w:ascii="Arial" w:cs="Arial" w:eastAsia="Arial" w:hAnsi="Arial"/>
          <w:sz w:val="22"/>
          <w:szCs w:val="22"/>
          <w:color w:val="auto"/>
        </w:rPr>
        <w:t>. Loans for residential construction are for single-family properties to developers, builders, or end-users. These loans</w:t>
      </w:r>
      <w:r>
        <w:rPr>
          <w:rFonts w:ascii="Arial" w:cs="Arial" w:eastAsia="Arial" w:hAnsi="Arial"/>
          <w:sz w:val="22"/>
          <w:szCs w:val="22"/>
          <w:i w:val="1"/>
          <w:iCs w:val="1"/>
          <w:color w:val="auto"/>
        </w:rPr>
        <w:t xml:space="preserve"> </w:t>
      </w:r>
      <w:r>
        <w:rPr>
          <w:rFonts w:ascii="Arial" w:cs="Arial" w:eastAsia="Arial" w:hAnsi="Arial"/>
          <w:sz w:val="22"/>
          <w:szCs w:val="22"/>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Construction loans increased $12.0 million, or 14.5%, to $94.5 million as of December 31, 2020 from $82.5 million as of December 31, 2019. The increase was due to new residential construction loan growth related to the 2020 mortgage boom driven primarily by the decline in mortgage interest rates.</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i w:val="1"/>
          <w:iCs w:val="1"/>
          <w:color w:val="212529"/>
        </w:rPr>
        <w:t>Paycheck Protection Program</w:t>
      </w:r>
      <w:r>
        <w:rPr>
          <w:rFonts w:ascii="Arial" w:cs="Arial" w:eastAsia="Arial" w:hAnsi="Arial"/>
          <w:sz w:val="21"/>
          <w:szCs w:val="21"/>
          <w:color w:val="212529"/>
        </w:rPr>
        <w:t>. In April 2020, we began originating loans to qualified small businesses under the PPP</w:t>
      </w:r>
      <w:r>
        <w:rPr>
          <w:rFonts w:ascii="Arial" w:cs="Arial" w:eastAsia="Arial" w:hAnsi="Arial"/>
          <w:sz w:val="21"/>
          <w:szCs w:val="21"/>
          <w:i w:val="1"/>
          <w:iCs w:val="1"/>
          <w:color w:val="212529"/>
        </w:rPr>
        <w:t xml:space="preserve"> </w:t>
      </w:r>
      <w:r>
        <w:rPr>
          <w:rFonts w:ascii="Arial" w:cs="Arial" w:eastAsia="Arial" w:hAnsi="Arial"/>
          <w:sz w:val="21"/>
          <w:szCs w:val="21"/>
          <w:color w:val="212529"/>
        </w:rPr>
        <w:t>administered by the SBA under the provisions of the CARES Act. Loans covered by the PPP may be eligible for loan forgiveness for certain costs incurred related to payroll, group health care benefit costs and qualifying mortgage, rent and utility payments. The remaining loan balance after forgiveness of any amounts is still fully guaranteed by the SBA. Terms of the PPP loans include the following (i) maximum amount limited to the lesser of $10 million or an amount calculated using a payroll-based formula, (ii) maximum loan term of two years, (iii) interest rate of 1.00%, (iv) no collateral or personal guarantees are required, (v) no payments are required for six months following the loan disbursement date and (vi) loan forgiveness up to the full principal amount of the loan and any accrued interest, subject to certain requirements including that no more than 25% of the loan forgiveness amount may be attributable to non-payroll costs. In return for processing and booking the loan, the SBA will pay the lender a processing fee tiered by the size of the loan (5% for loans of not more than $350 thousand; 3% for loans more than $350 thousand and less than $2 million; and 1% for loans of at least $2 million). At December 31, 2020, PPP loans totaled approximately $170 million which are included in commercial general loans. The Company is participating in the new round of the PPP by offering first and second draw loans.</w:t>
      </w:r>
    </w:p>
    <w:p>
      <w:pPr>
        <w:sectPr>
          <w:pgSz w:w="11900" w:h="16838" w:orient="portrait"/>
          <w:cols w:equalWidth="0" w:num="1">
            <w:col w:w="11240"/>
          </w:cols>
          <w:pgMar w:left="320" w:top="122" w:right="339" w:bottom="4" w:gutter="0" w:footer="0" w:header="0"/>
        </w:sectPr>
      </w:pPr>
    </w:p>
    <w:bookmarkStart w:id="68" w:name="page69"/>
    <w:bookmarkEnd w:id="68"/>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Loan Losses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To determine the adequacy of the allowance,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allowance for loan losses was $45.6 million at December 31, 2020 compared to $24.2 million at December 31, 2019, an increase of $21.4 million, or 88.3%. The increase is primarily a result of management’s estimate of economic effects of the ongoing COVID-19 pandemic as well as the decline in oil and gas prices seen in 2020. These effects caused us to downgrade the risk ratings on some of the more at-risk sectors in our portfolio, primarily energy and hospitality, during the first quarter and second quarter of 2020.</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an analysis of the allowance for loan losses and other data at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80" w:type="dxa"/>
            <w:vAlign w:val="bottom"/>
            <w:gridSpan w:val="5"/>
          </w:tcPr>
          <w:p>
            <w:pPr>
              <w:jc w:val="center"/>
              <w:ind w:right="127"/>
              <w:spacing w:after="0"/>
              <w:rPr>
                <w:sz w:val="20"/>
                <w:szCs w:val="20"/>
                <w:color w:val="auto"/>
              </w:rPr>
            </w:pPr>
            <w:r>
              <w:rPr>
                <w:rFonts w:ascii="Arial" w:cs="Arial" w:eastAsia="Arial" w:hAnsi="Arial"/>
                <w:sz w:val="18"/>
                <w:szCs w:val="18"/>
                <w:b w:val="1"/>
                <w:bCs w:val="1"/>
                <w:color w:val="auto"/>
                <w:w w:val="88"/>
              </w:rPr>
              <w:t>(Dollars in thousands)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4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loans outstanding</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2,325,632</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1,997,783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1,921,221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1,790,201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1,689,915</w:t>
            </w:r>
          </w:p>
        </w:tc>
      </w:tr>
      <w:tr>
        <w:trPr>
          <w:trHeight w:val="210"/>
        </w:trPr>
        <w:tc>
          <w:tcPr>
            <w:tcW w:w="4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6"/>
              </w:rPr>
              <w:t>Gross loans held for investment outstanding at period end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2,143,623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1,957,197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1,838,155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1,661,186</w:t>
            </w:r>
          </w:p>
        </w:tc>
      </w:tr>
      <w:tr>
        <w:trPr>
          <w:trHeight w:val="210"/>
        </w:trPr>
        <w:tc>
          <w:tcPr>
            <w:tcW w:w="4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at beginning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23,126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21,461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21,174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24,220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Charge offs: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2,429</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2,143</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r>
      <w:tr>
        <w:trPr>
          <w:trHeight w:val="216"/>
        </w:trPr>
        <w:tc>
          <w:tcPr>
            <w:tcW w:w="4460" w:type="dxa"/>
            <w:vAlign w:val="bottom"/>
          </w:tcPr>
          <w:p>
            <w:pPr>
              <w:ind w:left="34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r>
      <w:tr>
        <w:trPr>
          <w:trHeight w:val="216"/>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1,281</w:t>
            </w:r>
          </w:p>
        </w:tc>
      </w:tr>
      <w:tr>
        <w:trPr>
          <w:trHeight w:val="223"/>
        </w:trPr>
        <w:tc>
          <w:tcPr>
            <w:tcW w:w="446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charge-offs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specialized</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Commercial – general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340"/>
              <w:spacing w:after="0"/>
              <w:rPr>
                <w:sz w:val="20"/>
                <w:szCs w:val="20"/>
                <w:color w:val="auto"/>
              </w:rPr>
            </w:pPr>
            <w:r>
              <w:rPr>
                <w:rFonts w:ascii="Arial" w:cs="Arial" w:eastAsia="Arial" w:hAnsi="Arial"/>
                <w:sz w:val="18"/>
                <w:szCs w:val="18"/>
                <w:color w:val="auto"/>
              </w:rPr>
              <w:t>1-4 family residential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 loans</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4460" w:type="dxa"/>
            <w:vAlign w:val="bottom"/>
          </w:tcPr>
          <w:p>
            <w:pPr>
              <w:ind w:left="340"/>
              <w:spacing w:after="0"/>
              <w:rPr>
                <w:sz w:val="20"/>
                <w:szCs w:val="20"/>
                <w:color w:val="auto"/>
              </w:rPr>
            </w:pPr>
            <w:r>
              <w:rPr>
                <w:rFonts w:ascii="Arial" w:cs="Arial" w:eastAsia="Arial" w:hAnsi="Arial"/>
                <w:sz w:val="18"/>
                <w:szCs w:val="18"/>
                <w:color w:val="auto"/>
              </w:rPr>
              <w:t>Other consumer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recoveries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1,545</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2,910</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1,927</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1,730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60" w:type="dxa"/>
            <w:vAlign w:val="bottom"/>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25,570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2,799</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6,901</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3,966</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1,969</w:t>
            </w:r>
          </w:p>
        </w:tc>
      </w:tr>
      <w:tr>
        <w:trPr>
          <w:trHeight w:val="25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45,553</w:t>
            </w:r>
          </w:p>
        </w:tc>
        <w:tc>
          <w:tcPr>
            <w:tcW w:w="26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8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8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28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60" w:type="dxa"/>
            <w:vAlign w:val="bottom"/>
            <w:shd w:val="clear" w:color="auto" w:fill="CCEEFF"/>
          </w:tcPr>
          <w:p>
            <w:pPr>
              <w:spacing w:after="0"/>
              <w:rPr>
                <w:sz w:val="22"/>
                <w:szCs w:val="22"/>
                <w:color w:val="auto"/>
              </w:rPr>
            </w:pPr>
          </w:p>
        </w:tc>
      </w:tr>
      <w:tr>
        <w:trPr>
          <w:trHeight w:val="209"/>
        </w:trPr>
        <w:tc>
          <w:tcPr>
            <w:tcW w:w="4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6"/>
              </w:rPr>
              <w:t>Ratio of allowance to period end loans held for investment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390"/>
        </w:trPr>
        <w:tc>
          <w:tcPr>
            <w:tcW w:w="4460" w:type="dxa"/>
            <w:vAlign w:val="bottom"/>
          </w:tcPr>
          <w:p>
            <w:pPr>
              <w:spacing w:after="0"/>
              <w:rPr>
                <w:sz w:val="20"/>
                <w:szCs w:val="20"/>
                <w:color w:val="auto"/>
              </w:rPr>
            </w:pPr>
            <w:r>
              <w:rPr>
                <w:rFonts w:ascii="Arial" w:cs="Arial" w:eastAsia="Arial" w:hAnsi="Arial"/>
                <w:sz w:val="18"/>
                <w:szCs w:val="18"/>
                <w:color w:val="auto"/>
              </w:rPr>
              <w:t>Ratio of net charge-offs to average loans</w:t>
            </w:r>
            <w:r>
              <w:rPr>
                <w:rFonts w:ascii="Arial" w:cs="Arial" w:eastAsia="Arial" w:hAnsi="Arial"/>
                <w:sz w:val="29"/>
                <w:szCs w:val="29"/>
                <w:color w:val="auto"/>
                <w:vertAlign w:val="superscript"/>
              </w:rPr>
              <w:t>(1)</w:t>
            </w:r>
          </w:p>
        </w:tc>
        <w:tc>
          <w:tcPr>
            <w:tcW w:w="2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(1)  Average outstanding balances include loans held for sale.</w:t>
      </w:r>
    </w:p>
    <w:p>
      <w:pPr>
        <w:sectPr>
          <w:pgSz w:w="11900" w:h="16838" w:orient="portrait"/>
          <w:cols w:equalWidth="0" w:num="1">
            <w:col w:w="11240"/>
          </w:cols>
          <w:pgMar w:left="320" w:top="122" w:right="339" w:bottom="0" w:gutter="0" w:footer="0" w:header="0"/>
        </w:sectPr>
      </w:pPr>
    </w:p>
    <w:bookmarkStart w:id="70" w:name="page71"/>
    <w:bookmarkEnd w:id="70"/>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Net charge-offs totaled $4.2 million and were 0.18% of average loans outstanding for the year ended December 31, 2020, compared to $1.7 million and 0.09% for the year ended December 31, 2019. The increase in net charge-offs was primarily the result of a $342,000 charge-off on another commercial relationship during the third quarter of 2020, a $518,000 charge-off on a retail commercial relationship in the first quarter of 2020, and a $822,000 charge-off of an acquired direct energy relationship in the second quarter of 2020. The allowance for loan losses as a percentage of loans held for investment was 2.05% at December 31, 2020 and 1.13% at December 31, 2019.</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While the entire allowance is available to absorb losses from any part of our loan portfolio, the following table sets forth the allocation of the allowance for loan losses for the years presented and the percentage of allowance in each classification to total allowance: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9"/>
              </w:rPr>
              <w:t>As of December 31,</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2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r>
      <w:tr>
        <w:trPr>
          <w:trHeight w:val="241"/>
        </w:trPr>
        <w:tc>
          <w:tcPr>
            <w:tcW w:w="2300" w:type="dxa"/>
            <w:vAlign w:val="bottom"/>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260" w:type="dxa"/>
            <w:vAlign w:val="bottom"/>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6"/>
          </w:tcPr>
          <w:p>
            <w:pPr>
              <w:spacing w:after="0"/>
              <w:rPr>
                <w:sz w:val="20"/>
                <w:szCs w:val="20"/>
                <w:color w:val="auto"/>
              </w:rPr>
            </w:pPr>
            <w:r>
              <w:rPr>
                <w:rFonts w:ascii="Arial" w:cs="Arial" w:eastAsia="Arial" w:hAnsi="Arial"/>
                <w:sz w:val="18"/>
                <w:szCs w:val="18"/>
                <w:b w:val="1"/>
                <w:bCs w:val="1"/>
                <w:color w:val="auto"/>
                <w:w w:val="93"/>
              </w:rPr>
              <w:t>(Dollars in thousands)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$ 18,962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10,151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Consumer:</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Construction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allowance for loan</w:t>
            </w: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$ 45,553</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24,197</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23,126</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21,461</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21,174</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Nonperforming Loans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Real estate we acquire as a result of foreclosure or by deed-in-lieu of foreclosure is classified as OREO until sold and is initially recorded at fair value less costs to sell when acquired, establishing a new cost basis.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Nonperforming loans include nonaccrual loans and loans past due 90 days or more. Nonperforming assets consist of nonperforming loans plus OREO.</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Nonperforming loans were $15.0 million at December 31, 2020 and $6.0 million at December 31, 2019. The increase in the year ended December 31, 2020 was primarily due to five commercial relationships totaling $9.2 million that moved to nonaccrual status in 2020. These additions to nonaccrual loans, which are primarily secured by real estate, were due to deterioration in the borrowers’ financial condition.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December 31, 2020, our total nonaccrual loans were $13.7 million as compared to $4.7 million at December 31, 2019. These loans were reviewed for impairment and specific valuation allowances were established as necessary and included in the allowance for loan losses as of December 31, 2020 to cover any probable loss.</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presents the contractual aging of the recorded investment in current and past due loans by class of loans as of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30-89 Days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Past Due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Past Due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Nonaccrual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3"/>
              </w:rPr>
              <w:t>(Dollars in thousands)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663,344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311,173</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311,686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2,089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360,315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205,064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66,944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67,595</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94,288</w:t>
            </w:r>
          </w:p>
        </w:tc>
        <w:tc>
          <w:tcPr>
            <w:tcW w:w="12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94,494</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2,200,059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30-89 Days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Past Due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Past Due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Nonaccrual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3"/>
              </w:rPr>
              <w:t>(Dollars in thousands)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307,625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213,558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81,361</w:t>
            </w:r>
          </w:p>
        </w:tc>
        <w:tc>
          <w:tcPr>
            <w:tcW w:w="12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2,130,399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Nonperforming Assets</w:t>
      </w:r>
    </w:p>
    <w:p>
      <w:pPr>
        <w:spacing w:after="0" w:line="2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r>
      <w:tr>
        <w:trPr>
          <w:trHeight w:val="216"/>
        </w:trPr>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60" w:type="dxa"/>
            <w:vAlign w:val="bottom"/>
            <w:gridSpan w:val="6"/>
          </w:tcPr>
          <w:p>
            <w:pPr>
              <w:jc w:val="center"/>
              <w:ind w:right="107"/>
              <w:spacing w:after="0"/>
              <w:rPr>
                <w:sz w:val="20"/>
                <w:szCs w:val="20"/>
                <w:color w:val="auto"/>
              </w:rPr>
            </w:pPr>
            <w:r>
              <w:rPr>
                <w:rFonts w:ascii="Arial" w:cs="Arial" w:eastAsia="Arial" w:hAnsi="Arial"/>
                <w:sz w:val="18"/>
                <w:szCs w:val="18"/>
                <w:b w:val="1"/>
                <w:bCs w:val="1"/>
                <w:color w:val="auto"/>
                <w:w w:val="88"/>
              </w:rPr>
              <w:t>(Dollars in thousands)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4,693</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12,704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6,187</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1,352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1,008</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nonperforming loans</w:t>
            </w: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60" w:type="dxa"/>
            <w:vAlign w:val="bottom"/>
            <w:shd w:val="clear" w:color="auto" w:fill="CCEEFF"/>
          </w:tcPr>
          <w:p>
            <w:pPr>
              <w:spacing w:after="0"/>
              <w:rPr>
                <w:sz w:val="18"/>
                <w:szCs w:val="18"/>
                <w:color w:val="auto"/>
              </w:rPr>
            </w:pP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1,883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2,830</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7,849</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40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Restructured loans - nonaccrual</w:t>
            </w:r>
            <w:r>
              <w:rPr>
                <w:rFonts w:ascii="Arial" w:cs="Arial" w:eastAsia="Arial" w:hAnsi="Arial"/>
                <w:sz w:val="25"/>
                <w:szCs w:val="25"/>
                <w:color w:val="auto"/>
                <w:vertAlign w:val="superscript"/>
              </w:rPr>
              <w:t>(1)</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436</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Restructured loans - accruing</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1,687</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1,804</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3,351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3,592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7,817</w:t>
            </w:r>
          </w:p>
        </w:tc>
      </w:tr>
      <w:tr>
        <w:trPr>
          <w:trHeight w:val="216"/>
        </w:trPr>
        <w:tc>
          <w:tcPr>
            <w:tcW w:w="4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Nonperforming loans to gross loans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loans and OREO</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Allowance for loan losses to nonperforming loans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304.42%</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400.28%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332.56%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154.38%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294.29%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gross loans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Nonaccrual loans by category:</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162</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2,550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2,254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Consumer:</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1,293</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Construction</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Restructured loans, nonaccrual, are included in nonaccrual loans which are a component of nonperforming loans.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Troubled Debt Restructurings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8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had no loans restructured as TDRs during 2020 or 2019. TDRs are excluded from our nonperforming loans unless they otherwise meet the definition of nonaccrual loans or past due 90 days or more.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COVID-19 Industry Exposures. </w:t>
      </w:r>
      <w:r>
        <w:rPr>
          <w:rFonts w:ascii="Arial" w:cs="Arial" w:eastAsia="Arial" w:hAnsi="Arial"/>
          <w:sz w:val="22"/>
          <w:szCs w:val="22"/>
          <w:color w:val="auto"/>
        </w:rPr>
        <w:t>The Company’s COVID-19 industry exposures at December 31, 2020 were:</w:t>
      </w:r>
    </w:p>
    <w:p>
      <w:pPr>
        <w:spacing w:after="0" w:line="240" w:lineRule="exact"/>
        <w:rPr>
          <w:sz w:val="20"/>
          <w:szCs w:val="20"/>
          <w:color w:val="auto"/>
        </w:rPr>
      </w:pPr>
    </w:p>
    <w:p>
      <w:pPr>
        <w:jc w:val="both"/>
        <w:ind w:left="660" w:hanging="328"/>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Restaurant and retail owner-occupied loans totaled $90.5 million (or 4.1% of total loans). The average loan size was $312,000. There was $2.0 million in classified loans, $287,000 in loans past due 30 days or more, and $1.5 million in nonaccrual loans. The related allowance for loan losses to total restaurant and retail owner-occupied loans was 3.56%. As of December 31, 2020, approximately 2% of these loans were active modifications as a result of the COVID-19 pandemic. Of these modifications, 31% were for six months of interest-only payments with the remaining 69% being 90-day payment deferrals.</w:t>
      </w:r>
    </w:p>
    <w:p>
      <w:pPr>
        <w:spacing w:after="0" w:line="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Hospitality and assisted living center loans totaled $123.5 million (or 5.6% of total loans), excluding properties under construction. The average loan size was $2.8 million. There was $52.6 million in classified loans, $495,000 in loans past due 30 days or more, and $2.3 million in nonaccrual loans. The related allowance for loan losses to total hospitality and assisted living center loans was 7.71%. As of December 31, 2020, approximately 46% of these loans were active modifications as a result of the COVID-19 pandemic. All of these modifications were interest-only periods of 12 months or a combination of a 90-day deferral and nine months of interest only.</w:t>
      </w:r>
    </w:p>
    <w:p>
      <w:pPr>
        <w:sectPr>
          <w:pgSz w:w="11900" w:h="16838" w:orient="portrait"/>
          <w:cols w:equalWidth="0" w:num="1">
            <w:col w:w="11240"/>
          </w:cols>
          <w:pgMar w:left="320" w:top="122" w:right="339" w:bottom="31" w:gutter="0" w:footer="0" w:header="0"/>
        </w:sectPr>
      </w:pPr>
    </w:p>
    <w:bookmarkStart w:id="74" w:name="page75"/>
    <w:bookmarkEnd w:id="74"/>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Oil and Gas Exposures. </w:t>
      </w:r>
      <w:r>
        <w:rPr>
          <w:rFonts w:ascii="Arial" w:cs="Arial" w:eastAsia="Arial" w:hAnsi="Arial"/>
          <w:sz w:val="22"/>
          <w:szCs w:val="22"/>
          <w:color w:val="auto"/>
        </w:rPr>
        <w:t>The Company’s direct energy sector loans totaled $64.0 million (or 2.9% of total loans) at December 31,</w:t>
      </w:r>
      <w:r>
        <w:rPr>
          <w:rFonts w:ascii="Arial" w:cs="Arial" w:eastAsia="Arial" w:hAnsi="Arial"/>
          <w:sz w:val="22"/>
          <w:szCs w:val="22"/>
          <w:i w:val="1"/>
          <w:iCs w:val="1"/>
          <w:color w:val="auto"/>
        </w:rPr>
        <w:t xml:space="preserve"> </w:t>
      </w:r>
      <w:r>
        <w:rPr>
          <w:rFonts w:ascii="Arial" w:cs="Arial" w:eastAsia="Arial" w:hAnsi="Arial"/>
          <w:sz w:val="22"/>
          <w:szCs w:val="22"/>
          <w:color w:val="auto"/>
        </w:rPr>
        <w:t>2020. There was $7.4 million in classified loans, $21,000 in loans past due 30 days or more, and $93,000 in nonaccrual loans. Management has expanded the monitoring of the loans in this category. The related allowance for loan losses to direct energy loans is 5.30%. As of December 31, 2020, less than 0.5% of these loans were active modifications as a result of the COVID-19 pandemic.</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Quality</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addition to the past due and nonaccrual criteria, the Company also evaluates loans according to its internal risk grading system. Loans are segregated between pass, special mention, substandard, doubtful and loss categories. The definitions of those categories are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Pass</w:t>
      </w:r>
      <w:r>
        <w:rPr>
          <w:rFonts w:ascii="Arial" w:cs="Arial" w:eastAsia="Arial" w:hAnsi="Arial"/>
          <w:sz w:val="19"/>
          <w:szCs w:val="19"/>
          <w:color w:val="auto"/>
        </w:rPr>
        <w:t>: Loans that do not fit any of the other categories listed below and for which likelihood of loss is considered to be remote.</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Special mention</w:t>
      </w:r>
      <w:r>
        <w:rPr>
          <w:rFonts w:ascii="Arial" w:cs="Arial" w:eastAsia="Arial" w:hAnsi="Arial"/>
          <w:sz w:val="22"/>
          <w:szCs w:val="22"/>
          <w:color w:val="auto"/>
        </w:rPr>
        <w:t>: Loans with potential for deteriorating into a substandard classification without close supervision and</w:t>
      </w:r>
      <w:r>
        <w:rPr>
          <w:rFonts w:ascii="Arial" w:cs="Arial" w:eastAsia="Arial" w:hAnsi="Arial"/>
          <w:sz w:val="22"/>
          <w:szCs w:val="22"/>
          <w:i w:val="1"/>
          <w:iCs w:val="1"/>
          <w:color w:val="auto"/>
        </w:rPr>
        <w:t xml:space="preserve"> </w:t>
      </w:r>
      <w:r>
        <w:rPr>
          <w:rFonts w:ascii="Arial" w:cs="Arial" w:eastAsia="Arial" w:hAnsi="Arial"/>
          <w:sz w:val="22"/>
          <w:szCs w:val="22"/>
          <w:color w:val="auto"/>
        </w:rPr>
        <w:t>monitoring. Loans remain in this category on a temporary basis and should be reclassified up or down, depending on improvement or continued deterioration.</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Substandard</w:t>
      </w:r>
      <w:r>
        <w:rPr>
          <w:rFonts w:ascii="Arial" w:cs="Arial" w:eastAsia="Arial" w:hAnsi="Arial"/>
          <w:sz w:val="19"/>
          <w:szCs w:val="19"/>
          <w:color w:val="auto"/>
        </w:rPr>
        <w:t>: Loans not adequately protected by sound current net worth or adequate repayment capacity of the borrower and/or</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collateral pledged. Substandard loans have well defined weaknesses that jeopardize the liquidation of the classified debt. A potential for loss exists if the deficiencies or weaknesses are not recognized and corrected. Substandard loans can be accruing or placed on nonaccrual based on the individual circumstances of each loan.</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Doubtful</w:t>
      </w:r>
      <w:r>
        <w:rPr>
          <w:rFonts w:ascii="Arial" w:cs="Arial" w:eastAsia="Arial" w:hAnsi="Arial"/>
          <w:sz w:val="22"/>
          <w:szCs w:val="22"/>
          <w:color w:val="auto"/>
        </w:rPr>
        <w:t>: Doubtful loans have all the weaknesses inherent in substandard loans with the added characteristics that the</w:t>
      </w:r>
      <w:r>
        <w:rPr>
          <w:rFonts w:ascii="Arial" w:cs="Arial" w:eastAsia="Arial" w:hAnsi="Arial"/>
          <w:sz w:val="22"/>
          <w:szCs w:val="22"/>
          <w:i w:val="1"/>
          <w:iCs w:val="1"/>
          <w:color w:val="auto"/>
        </w:rPr>
        <w:t xml:space="preserve"> </w:t>
      </w:r>
      <w:r>
        <w:rPr>
          <w:rFonts w:ascii="Arial" w:cs="Arial" w:eastAsia="Arial" w:hAnsi="Arial"/>
          <w:sz w:val="22"/>
          <w:szCs w:val="22"/>
          <w:color w:val="auto"/>
        </w:rPr>
        <w:t>weaknesses make collection or liquidation in full on the basis of currently existing facts, conditions and values highly questionable and improbable. All doubtful loans are on nonaccrual.</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Loss</w:t>
      </w:r>
      <w:r>
        <w:rPr>
          <w:rFonts w:ascii="Arial" w:cs="Arial" w:eastAsia="Arial" w:hAnsi="Arial"/>
          <w:sz w:val="22"/>
          <w:szCs w:val="22"/>
          <w:color w:val="auto"/>
        </w:rPr>
        <w:t>: Loans that are considered uncollectible and of such little value that their continuance as an active bank-owned asset is not</w:t>
      </w:r>
      <w:r>
        <w:rPr>
          <w:rFonts w:ascii="Arial" w:cs="Arial" w:eastAsia="Arial" w:hAnsi="Arial"/>
          <w:sz w:val="22"/>
          <w:szCs w:val="22"/>
          <w:i w:val="1"/>
          <w:iCs w:val="1"/>
          <w:color w:val="auto"/>
        </w:rPr>
        <w:t xml:space="preserve"> </w:t>
      </w:r>
      <w:r>
        <w:rPr>
          <w:rFonts w:ascii="Arial" w:cs="Arial" w:eastAsia="Arial" w:hAnsi="Arial"/>
          <w:sz w:val="22"/>
          <w:szCs w:val="22"/>
          <w:color w:val="auto"/>
        </w:rPr>
        <w:t>warranted. These loans are immediately charged off.</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Outstanding loan balances categorized by internal risk grades as of the dates indicated are summarized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Mention</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Substandard</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80" w:type="dxa"/>
            <w:vAlign w:val="bottom"/>
            <w:gridSpan w:val="5"/>
          </w:tcPr>
          <w:p>
            <w:pPr>
              <w:jc w:val="right"/>
              <w:ind w:right="810"/>
              <w:spacing w:after="0"/>
              <w:rPr>
                <w:sz w:val="20"/>
                <w:szCs w:val="20"/>
                <w:color w:val="auto"/>
              </w:rPr>
            </w:pPr>
            <w:r>
              <w:rPr>
                <w:rFonts w:ascii="Arial" w:cs="Arial" w:eastAsia="Arial" w:hAnsi="Arial"/>
                <w:sz w:val="18"/>
                <w:szCs w:val="18"/>
                <w:b w:val="1"/>
                <w:bCs w:val="1"/>
                <w:color w:val="auto"/>
                <w:w w:val="82"/>
              </w:rPr>
              <w:t>(Dollars in thousands)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61,094</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663,344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303,831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7,855</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311,686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7,385</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360,315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204,301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67,595</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94,494</w:t>
            </w:r>
          </w:p>
        </w:tc>
        <w:tc>
          <w:tcPr>
            <w:tcW w:w="160" w:type="dxa"/>
            <w:vAlign w:val="bottom"/>
          </w:tcPr>
          <w:p>
            <w:pPr>
              <w:spacing w:after="0"/>
              <w:rPr>
                <w:sz w:val="19"/>
                <w:szCs w:val="19"/>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94,494</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2,135,565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86,018</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Mention</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Substandard</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80" w:type="dxa"/>
            <w:vAlign w:val="bottom"/>
            <w:gridSpan w:val="5"/>
          </w:tcPr>
          <w:p>
            <w:pPr>
              <w:jc w:val="right"/>
              <w:ind w:right="810"/>
              <w:spacing w:after="0"/>
              <w:rPr>
                <w:sz w:val="20"/>
                <w:szCs w:val="20"/>
                <w:color w:val="auto"/>
              </w:rPr>
            </w:pPr>
            <w:r>
              <w:rPr>
                <w:rFonts w:ascii="Arial" w:cs="Arial" w:eastAsia="Arial" w:hAnsi="Arial"/>
                <w:sz w:val="18"/>
                <w:szCs w:val="18"/>
                <w:b w:val="1"/>
                <w:bCs w:val="1"/>
                <w:color w:val="auto"/>
                <w:w w:val="82"/>
              </w:rPr>
              <w:t>(Dollars in thousands)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22,313</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2,266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13,243</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214,363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82,520</w:t>
            </w:r>
          </w:p>
        </w:tc>
        <w:tc>
          <w:tcPr>
            <w:tcW w:w="16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2,095,056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shows all loans, including nonaccrual loans, by classification and aging, as of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Mention</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Substandard</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80" w:type="dxa"/>
            <w:vAlign w:val="bottom"/>
            <w:gridSpan w:val="5"/>
          </w:tcPr>
          <w:p>
            <w:pPr>
              <w:jc w:val="right"/>
              <w:ind w:right="810"/>
              <w:spacing w:after="0"/>
              <w:rPr>
                <w:sz w:val="20"/>
                <w:szCs w:val="20"/>
                <w:color w:val="auto"/>
              </w:rPr>
            </w:pPr>
            <w:r>
              <w:rPr>
                <w:rFonts w:ascii="Arial" w:cs="Arial" w:eastAsia="Arial" w:hAnsi="Arial"/>
                <w:sz w:val="18"/>
                <w:szCs w:val="18"/>
                <w:b w:val="1"/>
                <w:bCs w:val="1"/>
                <w:color w:val="auto"/>
                <w:w w:val="82"/>
              </w:rPr>
              <w:t>(Dollars in thousands)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69,902</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2,200,059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Past due 30 – 89 days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1,301</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90+ days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Nonaccrual</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13,718</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13,718</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2,135,565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86,018</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Mention</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Substandard</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80" w:type="dxa"/>
            <w:vAlign w:val="bottom"/>
            <w:gridSpan w:val="5"/>
          </w:tcPr>
          <w:p>
            <w:pPr>
              <w:jc w:val="right"/>
              <w:ind w:right="810"/>
              <w:spacing w:after="0"/>
              <w:rPr>
                <w:sz w:val="20"/>
                <w:szCs w:val="20"/>
                <w:color w:val="auto"/>
              </w:rPr>
            </w:pPr>
            <w:r>
              <w:rPr>
                <w:rFonts w:ascii="Arial" w:cs="Arial" w:eastAsia="Arial" w:hAnsi="Arial"/>
                <w:sz w:val="18"/>
                <w:szCs w:val="18"/>
                <w:b w:val="1"/>
                <w:bCs w:val="1"/>
                <w:color w:val="auto"/>
                <w:w w:val="82"/>
              </w:rPr>
              <w:t>(Dollars in thousands)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22,313</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19,259</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2,130,399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Past due 30 – 89 days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90+ days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1,263</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Nonaccrual</w:t>
            </w: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4,693</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2,095,056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Portfolio</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Total securities at December 31, 2020 were $803.1 million, representing an increase of $95.4 million, or 13.5%, compared to $707.7 million at December 31, 2019. The increase was due to the purchase of $279.8 million in Texas municipal securities and unrealized gain of $25.9 million, partially offset by the sale of $94.5 million in mortgage-backed securities and $114.9 million in maturities. The sale of the mortgage-backed securities occurred in January 2020 and generated a gain of $2.3 million.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fair value of the securities portfolio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December 31, 2020</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2019</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5"/>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Gain/(Loss)</w:t>
            </w: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Gain/(Loss)</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4,750</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261,023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272,607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11,584</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94,512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94,692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359,542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373,362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463,899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107,175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106,715</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107,443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107,289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 amortizing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31,509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33,572</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35,833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12,078</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775,999</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803,087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706,437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707,650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Certain securities have fair values less than amortized cost and, therefore, contain unrealized losses. At December 31, </w:t>
      </w:r>
      <w:r>
        <w:rPr>
          <w:rFonts w:ascii="Arial" w:cs="Arial" w:eastAsia="Arial" w:hAnsi="Arial"/>
          <w:sz w:val="19"/>
          <w:szCs w:val="19"/>
          <w:color w:val="auto"/>
          <w:shd w:val="clear" w:color="auto" w:fill="E0E0E0"/>
        </w:rPr>
        <w:t>2020,</w:t>
      </w:r>
      <w:r>
        <w:rPr>
          <w:rFonts w:ascii="Arial" w:cs="Arial" w:eastAsia="Arial" w:hAnsi="Arial"/>
          <w:sz w:val="19"/>
          <w:szCs w:val="19"/>
          <w:color w:val="auto"/>
        </w:rPr>
        <w:t xml:space="preserve">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ectPr>
          <w:pgSz w:w="11900" w:h="16838" w:orient="portrait"/>
          <w:cols w:equalWidth="0" w:num="1">
            <w:col w:w="11240"/>
          </w:cols>
          <w:pgMar w:left="320" w:top="121" w:right="339" w:bottom="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1"/>
              </w:rPr>
              <w:t>As of December 31, 2020</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right"/>
              <w:ind w:right="1020"/>
              <w:spacing w:after="0" w:line="198" w:lineRule="exact"/>
              <w:rPr>
                <w:sz w:val="20"/>
                <w:szCs w:val="20"/>
                <w:color w:val="auto"/>
              </w:rPr>
            </w:pPr>
            <w:r>
              <w:rPr>
                <w:rFonts w:ascii="Arial" w:cs="Arial" w:eastAsia="Arial" w:hAnsi="Arial"/>
                <w:sz w:val="18"/>
                <w:szCs w:val="18"/>
                <w:b w:val="1"/>
                <w:bCs w:val="1"/>
                <w:color w:val="auto"/>
              </w:rPr>
              <w:t>Due in</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right"/>
              <w:ind w:right="48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80" w:type="dxa"/>
            <w:vAlign w:val="bottom"/>
          </w:tcPr>
          <w:p>
            <w:pPr>
              <w:spacing w:after="0"/>
              <w:rPr>
                <w:sz w:val="17"/>
                <w:szCs w:val="17"/>
                <w:color w:val="auto"/>
              </w:rPr>
            </w:pPr>
          </w:p>
        </w:tc>
        <w:tc>
          <w:tcPr>
            <w:tcW w:w="1820" w:type="dxa"/>
            <w:vAlign w:val="bottom"/>
            <w:gridSpan w:val="3"/>
          </w:tcPr>
          <w:p>
            <w:pPr>
              <w:jc w:val="right"/>
              <w:ind w:right="55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8"/>
              </w:rPr>
              <w:t>One 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6"/>
              </w:rPr>
              <w:t>Through Ten Years</w:t>
            </w:r>
          </w:p>
        </w:tc>
        <w:tc>
          <w:tcPr>
            <w:tcW w:w="180" w:type="dxa"/>
            <w:vAlign w:val="bottom"/>
          </w:tcPr>
          <w:p>
            <w:pPr>
              <w:spacing w:after="0"/>
              <w:rPr>
                <w:sz w:val="20"/>
                <w:szCs w:val="20"/>
                <w:color w:val="auto"/>
              </w:rPr>
            </w:pPr>
          </w:p>
        </w:tc>
        <w:tc>
          <w:tcPr>
            <w:tcW w:w="19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3,397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14,079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241,565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346,242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34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107,175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39,622</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725,671</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Total deposits at December 31, 2020 were $2.97 billion, representing an increase of $277.5 million, or 10.3%, compared to $2.70 billion at December 31, 2019. As of December 31, 2020, 30.9% of total deposits were comprised of noninterest-bearing demand accounts, 57.5% of interest-bearing non-maturity accounts and 11.5% of time deposits. Deposits increased in 2020 primarily due to organic growth, customers having disbursed PPP loan funds in their accounts that have not been spent, and other government related stimulus programs in response to the ongoing COVID-19 pandemic.</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our average deposit balances and weighted average rates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1"/>
                <w:szCs w:val="21"/>
                <w:color w:val="auto"/>
              </w:rPr>
            </w:pPr>
          </w:p>
        </w:tc>
      </w:tr>
      <w:tr>
        <w:trPr>
          <w:trHeight w:val="198"/>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1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Weighted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1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Weighted</w:t>
            </w:r>
          </w:p>
        </w:tc>
        <w:tc>
          <w:tcPr>
            <w:tcW w:w="160" w:type="dxa"/>
            <w:vAlign w:val="bottom"/>
          </w:tcPr>
          <w:p>
            <w:pPr>
              <w:spacing w:after="0"/>
              <w:rPr>
                <w:sz w:val="17"/>
                <w:szCs w:val="17"/>
                <w:color w:val="auto"/>
              </w:rPr>
            </w:pPr>
          </w:p>
        </w:tc>
      </w:tr>
      <w:tr>
        <w:trPr>
          <w:trHeight w:val="241"/>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Average 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Average Rate</w:t>
            </w:r>
          </w:p>
        </w:tc>
        <w:tc>
          <w:tcPr>
            <w:tcW w:w="160" w:type="dxa"/>
            <w:vAlign w:val="bottom"/>
          </w:tcPr>
          <w:p>
            <w:pPr>
              <w:spacing w:after="0"/>
              <w:rPr>
                <w:sz w:val="20"/>
                <w:szCs w:val="20"/>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888,653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570,428</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3"/>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329,431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266,991</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0.35</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Savings accounts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113,681</w:t>
            </w: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71,754</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0.20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1,209,976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1,109,575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1.38</w:t>
            </w: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331,623</w:t>
            </w:r>
          </w:p>
        </w:tc>
        <w:tc>
          <w:tcPr>
            <w:tcW w:w="220" w:type="dxa"/>
            <w:vAlign w:val="bottom"/>
          </w:tcPr>
          <w:p>
            <w:pPr>
              <w:spacing w:after="0"/>
              <w:rPr>
                <w:sz w:val="19"/>
                <w:szCs w:val="19"/>
                <w:color w:val="auto"/>
              </w:rPr>
            </w:pP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319,811</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1.89</w:t>
            </w:r>
          </w:p>
        </w:tc>
      </w:tr>
      <w:tr>
        <w:trPr>
          <w:trHeight w:val="223"/>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1,984,711</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5"/>
              </w:rPr>
              <w:t>0.60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1,768,131</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5"/>
              </w:rPr>
              <w:t>1.27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94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2,873,364</w:t>
            </w:r>
          </w:p>
        </w:tc>
        <w:tc>
          <w:tcPr>
            <w:tcW w:w="220" w:type="dxa"/>
            <w:vAlign w:val="bottom"/>
          </w:tcPr>
          <w:p>
            <w:pPr>
              <w:spacing w:after="0"/>
              <w:rPr>
                <w:sz w:val="18"/>
                <w:szCs w:val="18"/>
                <w:color w:val="auto"/>
              </w:rPr>
            </w:pP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0.41%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2,338,559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0.96%</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tables set forth the maturity of time deposits of $100,000 or more as of December 31,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Three</w:t>
            </w:r>
          </w:p>
        </w:tc>
        <w:tc>
          <w:tcPr>
            <w:tcW w:w="2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Three to</w:t>
            </w:r>
          </w:p>
        </w:tc>
        <w:tc>
          <w:tcPr>
            <w:tcW w:w="3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Six to</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After</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780" w:type="dxa"/>
            <w:vAlign w:val="bottom"/>
            <w:gridSpan w:val="2"/>
          </w:tcPr>
          <w:p>
            <w:pPr>
              <w:jc w:val="right"/>
              <w:ind w:right="2990"/>
              <w:spacing w:after="0"/>
              <w:rPr>
                <w:sz w:val="20"/>
                <w:szCs w:val="20"/>
                <w:color w:val="auto"/>
              </w:rPr>
            </w:pPr>
            <w:r>
              <w:rPr>
                <w:rFonts w:ascii="Arial" w:cs="Arial" w:eastAsia="Arial" w:hAnsi="Arial"/>
                <w:sz w:val="18"/>
                <w:szCs w:val="18"/>
                <w:b w:val="1"/>
                <w:bCs w:val="1"/>
                <w:color w:val="auto"/>
                <w:w w:val="88"/>
              </w:rPr>
              <w:t>(Dollars in thousands)</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Months</w:t>
            </w: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Six Months</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12 Months</w:t>
            </w: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12 Months</w:t>
            </w:r>
          </w:p>
        </w:tc>
        <w:tc>
          <w:tcPr>
            <w:tcW w:w="3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31,359</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36,580</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57,807</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118,737</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244,483</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Time deposits issued in amounts of more than $250,000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Borrowed Funds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 addition to deposits, we utilize advances from the FHLB and other borrowings as a supplementary funding source to finance our operations.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FHLB Advances</w:t>
      </w:r>
      <w:r>
        <w:rPr>
          <w:rFonts w:ascii="Arial" w:cs="Arial" w:eastAsia="Arial" w:hAnsi="Arial"/>
          <w:sz w:val="21"/>
          <w:szCs w:val="21"/>
          <w:color w:val="auto"/>
        </w:rPr>
        <w:t>. The FHLB allows us to borrow, both short and long-term, on a blanket floating lien status collateralized by first</w:t>
      </w:r>
      <w:r>
        <w:rPr>
          <w:rFonts w:ascii="Arial" w:cs="Arial" w:eastAsia="Arial" w:hAnsi="Arial"/>
          <w:sz w:val="21"/>
          <w:szCs w:val="21"/>
          <w:i w:val="1"/>
          <w:iCs w:val="1"/>
          <w:color w:val="auto"/>
        </w:rPr>
        <w:t xml:space="preserve"> </w:t>
      </w:r>
      <w:r>
        <w:rPr>
          <w:rFonts w:ascii="Arial" w:cs="Arial" w:eastAsia="Arial" w:hAnsi="Arial"/>
          <w:sz w:val="21"/>
          <w:szCs w:val="21"/>
          <w:color w:val="auto"/>
        </w:rPr>
        <w:t>mortgage loans and commercial real estate loans as well as FHLB stock. At December 31, 2020 and December 31, 2019 we had total remaining borrowing capacity from the FHLB of $512.5 million and $394.3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long-term FHLB borrowings as of and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5"/>
          </w:tcPr>
          <w:p>
            <w:pPr>
              <w:ind w:left="140"/>
              <w:spacing w:after="0"/>
              <w:rPr>
                <w:sz w:val="20"/>
                <w:szCs w:val="20"/>
                <w:color w:val="auto"/>
              </w:rPr>
            </w:pPr>
            <w:r>
              <w:rPr>
                <w:rFonts w:ascii="Arial" w:cs="Arial" w:eastAsia="Arial" w:hAnsi="Arial"/>
                <w:sz w:val="18"/>
                <w:szCs w:val="18"/>
                <w:b w:val="1"/>
                <w:bCs w:val="1"/>
                <w:color w:val="auto"/>
              </w:rPr>
              <w:t>As of and for the Year</w:t>
            </w:r>
          </w:p>
        </w:tc>
      </w:tr>
      <w:tr>
        <w:trPr>
          <w:trHeight w:val="241"/>
        </w:trPr>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5"/>
          </w:tcPr>
          <w:p>
            <w:pPr>
              <w:ind w:left="180"/>
              <w:spacing w:after="0"/>
              <w:rPr>
                <w:sz w:val="20"/>
                <w:szCs w:val="20"/>
                <w:color w:val="auto"/>
              </w:rPr>
            </w:pPr>
            <w:r>
              <w:rPr>
                <w:rFonts w:ascii="Arial" w:cs="Arial" w:eastAsia="Arial" w:hAnsi="Arial"/>
                <w:sz w:val="18"/>
                <w:szCs w:val="18"/>
                <w:b w:val="1"/>
                <w:bCs w:val="1"/>
                <w:color w:val="auto"/>
              </w:rPr>
              <w:t>Ended December 31,</w:t>
            </w:r>
          </w:p>
        </w:tc>
      </w:tr>
      <w:tr>
        <w:trPr>
          <w:trHeight w:val="223"/>
        </w:trPr>
        <w:tc>
          <w:tcPr>
            <w:tcW w:w="84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5"/>
          </w:tcPr>
          <w:p>
            <w:pPr>
              <w:ind w:left="14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year-end</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year</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Average balance outstanding during the year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116,517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95,055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year</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Federal Reserve Bank of Dallas</w:t>
      </w:r>
      <w:r>
        <w:rPr>
          <w:rFonts w:ascii="Arial" w:cs="Arial" w:eastAsia="Arial" w:hAnsi="Arial"/>
          <w:sz w:val="19"/>
          <w:szCs w:val="19"/>
          <w:color w:val="auto"/>
        </w:rPr>
        <w:t>. The Bank has a line of credit with the FRB. The amount of the line is determined on a monthly</w:t>
      </w:r>
      <w:r>
        <w:rPr>
          <w:rFonts w:ascii="Arial" w:cs="Arial" w:eastAsia="Arial" w:hAnsi="Arial"/>
          <w:sz w:val="19"/>
          <w:szCs w:val="19"/>
          <w:i w:val="1"/>
          <w:iCs w:val="1"/>
          <w:color w:val="auto"/>
        </w:rPr>
        <w:t xml:space="preserve"> </w:t>
      </w:r>
      <w:r>
        <w:rPr>
          <w:rFonts w:ascii="Arial" w:cs="Arial" w:eastAsia="Arial" w:hAnsi="Arial"/>
          <w:sz w:val="19"/>
          <w:szCs w:val="19"/>
          <w:color w:val="auto"/>
        </w:rPr>
        <w:t>basis by the Federal Reserve Bank. The line is collateralized by a blanket floating lien on all agriculture, commercial and consumer loans. The amount of the line was $700.8 million and $547.0 million at December 31, 2020 and 2019,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FRB borrowings as of and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2320" w:type="dxa"/>
            <w:vAlign w:val="bottom"/>
            <w:gridSpan w:val="4"/>
          </w:tcPr>
          <w:p>
            <w:pPr>
              <w:ind w:left="460"/>
              <w:spacing w:after="0"/>
              <w:rPr>
                <w:sz w:val="20"/>
                <w:szCs w:val="20"/>
                <w:color w:val="auto"/>
              </w:rPr>
            </w:pPr>
            <w:r>
              <w:rPr>
                <w:rFonts w:ascii="Arial" w:cs="Arial" w:eastAsia="Arial" w:hAnsi="Arial"/>
                <w:sz w:val="18"/>
                <w:szCs w:val="18"/>
                <w:b w:val="1"/>
                <w:bCs w:val="1"/>
                <w:color w:val="auto"/>
                <w:w w:val="98"/>
              </w:rPr>
              <w:t>As of and for the Year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48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8"/>
                <w:szCs w:val="18"/>
                <w:b w:val="1"/>
                <w:bCs w:val="1"/>
                <w:color w:val="auto"/>
              </w:rPr>
              <w:t>Ended December 31,</w:t>
            </w: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480" w:type="dxa"/>
            <w:vAlign w:val="bottom"/>
          </w:tcPr>
          <w:p>
            <w:pPr>
              <w:spacing w:after="0"/>
              <w:rPr>
                <w:sz w:val="19"/>
                <w:szCs w:val="19"/>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84"/>
              </w:rPr>
              <w:t>2020</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2320" w:type="dxa"/>
            <w:vAlign w:val="bottom"/>
            <w:gridSpan w:val="4"/>
          </w:tcPr>
          <w:p>
            <w:pPr>
              <w:ind w:left="460"/>
              <w:spacing w:after="0"/>
              <w:rPr>
                <w:sz w:val="20"/>
                <w:szCs w:val="20"/>
                <w:color w:val="auto"/>
              </w:rPr>
            </w:pPr>
            <w:r>
              <w:rPr>
                <w:rFonts w:ascii="Arial" w:cs="Arial" w:eastAsia="Arial" w:hAnsi="Arial"/>
                <w:sz w:val="18"/>
                <w:szCs w:val="18"/>
                <w:b w:val="1"/>
                <w:bCs w:val="1"/>
                <w:color w:val="auto"/>
                <w:w w:val="96"/>
              </w:rPr>
              <w:t>(Dollars in thousands)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year-end</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8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year</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Average balance outstanding during the year</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1,209</w:t>
            </w: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year</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Lines of Credit</w:t>
      </w:r>
      <w:r>
        <w:rPr>
          <w:rFonts w:ascii="Arial" w:cs="Arial" w:eastAsia="Arial" w:hAnsi="Arial"/>
          <w:sz w:val="22"/>
          <w:szCs w:val="22"/>
          <w:color w:val="auto"/>
        </w:rPr>
        <w:t>. The Bank has uncollateralized lines of credit with multiple banks as a source of funding for liquidity</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The total amount of the lines was $165.0 million and $135.0 million as of December 31, 2020 and 2019. The lines were not used at December 31, 2020 and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Subordinated Debt Securities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September 29, 2020, the Company issued $50.0 million in subordinated debt securities. Proceeds were reduced by approximately $926,000 in debt issuance costs. The securities have a maturity date of September 2030 with a fixed rate of 4.50% for the first five years. After the expiration of the fixed rate period, the securities will reset quarterly at a variable rate equal to the then current three-month Secured Overnight Financing Rate (“SOFR”), as published by the Federal Reserve Bank of New York, plus 438 basis points. These securities pay interest semi-annually, are unsecured, and may be called by the Company at any time after the remaining maturity is five years or less. Additionally, these securities qualify for Tier 2 capital treatment, subject to regulatory limitations.</w:t>
      </w:r>
    </w:p>
    <w:p>
      <w:pPr>
        <w:sectPr>
          <w:pgSz w:w="11900" w:h="16838" w:orient="portrait"/>
          <w:cols w:equalWidth="0" w:num="1">
            <w:col w:w="11240"/>
          </w:cols>
          <w:pgMar w:left="320" w:top="121" w:right="339" w:bottom="814"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14" w:gutter="0" w:footer="0" w:header="0"/>
          <w:type w:val="continuous"/>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2020, the total amount of subordinated debt securities outstanding was $76.5 million less approximately $883,000 of remaining debt issuance costs for a total balance of $75.6 million.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Junior Subordinated Deferrable Interest Debentures and Trust Preferred Securities</w:t>
      </w:r>
      <w:r>
        <w:rPr>
          <w:rFonts w:ascii="Arial" w:cs="Arial" w:eastAsia="Arial" w:hAnsi="Arial"/>
          <w:sz w:val="19"/>
          <w:szCs w:val="19"/>
          <w:color w:val="auto"/>
        </w:rPr>
        <w:t>. Between March 2004 and June 2007,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2020 and 2019. Company has the right, as has been exercised in the past, to defer payments of interest on the securities for up to twenty consecutive quarters. During such time, corporate dividends may not be paid.</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chart below indicates certain information, as of December 31, 2020,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Stated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Interest Rate of</w:t>
            </w: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of Trust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of Trust Preferred</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Trust Preferred</w:t>
            </w:r>
          </w:p>
        </w:tc>
      </w:tr>
      <w:tr>
        <w:trPr>
          <w:trHeight w:val="206"/>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ind w:left="760"/>
              <w:spacing w:after="0"/>
              <w:rPr>
                <w:sz w:val="20"/>
                <w:szCs w:val="20"/>
                <w:color w:val="auto"/>
              </w:rPr>
            </w:pPr>
            <w:r>
              <w:rPr>
                <w:rFonts w:ascii="Arial" w:cs="Arial" w:eastAsia="Arial" w:hAnsi="Arial"/>
                <w:sz w:val="18"/>
                <w:szCs w:val="18"/>
                <w:b w:val="1"/>
                <w:bCs w:val="1"/>
                <w:color w:val="auto"/>
              </w:rPr>
              <w:t>Issue</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Preferred</w:t>
            </w:r>
          </w:p>
        </w:tc>
        <w:tc>
          <w:tcPr>
            <w:tcW w:w="12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 of</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Securities and</w:t>
            </w:r>
          </w:p>
        </w:tc>
      </w:tr>
      <w:tr>
        <w:trPr>
          <w:trHeight w:val="251"/>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Trust</w:t>
            </w:r>
          </w:p>
        </w:tc>
        <w:tc>
          <w:tcPr>
            <w:tcW w:w="120" w:type="dxa"/>
            <w:vAlign w:val="bottom"/>
          </w:tcPr>
          <w:p>
            <w:pPr>
              <w:spacing w:after="0"/>
              <w:rPr>
                <w:sz w:val="21"/>
                <w:szCs w:val="21"/>
                <w:color w:val="auto"/>
              </w:rPr>
            </w:pPr>
          </w:p>
        </w:tc>
        <w:tc>
          <w:tcPr>
            <w:tcW w:w="13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Date</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Debentures</w:t>
            </w:r>
          </w:p>
        </w:tc>
        <w:tc>
          <w:tcPr>
            <w:tcW w:w="220" w:type="dxa"/>
            <w:vAlign w:val="bottom"/>
          </w:tcPr>
          <w:p>
            <w:pPr>
              <w:spacing w:after="0"/>
              <w:rPr>
                <w:sz w:val="21"/>
                <w:szCs w:val="21"/>
                <w:color w:val="auto"/>
              </w:rPr>
            </w:pPr>
          </w:p>
        </w:tc>
        <w:tc>
          <w:tcPr>
            <w:tcW w:w="176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9"/>
              </w:rPr>
              <w:t>Debentures</w:t>
            </w:r>
            <w:r>
              <w:rPr>
                <w:rFonts w:ascii="Arial" w:cs="Arial" w:eastAsia="Arial" w:hAnsi="Arial"/>
                <w:sz w:val="28"/>
                <w:szCs w:val="28"/>
                <w:b w:val="1"/>
                <w:bCs w:val="1"/>
                <w:color w:val="auto"/>
                <w:w w:val="89"/>
                <w:vertAlign w:val="superscript"/>
              </w:rPr>
              <w:t>(1)</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7"/>
              </w:rPr>
              <w:t>Debentures</w:t>
            </w:r>
            <w:r>
              <w:rPr>
                <w:rFonts w:ascii="Arial" w:cs="Arial" w:eastAsia="Arial" w:hAnsi="Arial"/>
                <w:sz w:val="28"/>
                <w:szCs w:val="28"/>
                <w:b w:val="1"/>
                <w:bCs w:val="1"/>
                <w:color w:val="auto"/>
                <w:w w:val="87"/>
                <w:vertAlign w:val="superscript"/>
              </w:rPr>
              <w:t>(2)(3)</w:t>
            </w: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III</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2004</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10,310</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550"/>
              <w:spacing w:after="0" w:line="201" w:lineRule="exact"/>
              <w:rPr>
                <w:sz w:val="20"/>
                <w:szCs w:val="20"/>
                <w:color w:val="auto"/>
              </w:rPr>
            </w:pPr>
            <w:r>
              <w:rPr>
                <w:rFonts w:ascii="Arial" w:cs="Arial" w:eastAsia="Arial" w:hAnsi="Arial"/>
                <w:sz w:val="18"/>
                <w:szCs w:val="18"/>
                <w:color w:val="auto"/>
              </w:rPr>
              <w:t>2034</w:t>
            </w:r>
          </w:p>
        </w:tc>
        <w:tc>
          <w:tcPr>
            <w:tcW w:w="14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3-mo. LIBOR</w:t>
            </w:r>
          </w:p>
        </w:tc>
      </w:tr>
      <w:tr>
        <w:trPr>
          <w:trHeight w:val="230"/>
        </w:trPr>
        <w:tc>
          <w:tcPr>
            <w:tcW w:w="3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1"/>
              </w:rPr>
              <w:t>+ 265 bps; 2.86%</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South Plains Financial Capital Trust IV</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2005</w:t>
            </w:r>
          </w:p>
        </w:tc>
        <w:tc>
          <w:tcPr>
            <w:tcW w:w="140" w:type="dxa"/>
            <w:vAlign w:val="bottom"/>
          </w:tcPr>
          <w:p>
            <w:pPr>
              <w:spacing w:after="0"/>
              <w:rPr>
                <w:sz w:val="17"/>
                <w:szCs w:val="17"/>
                <w:color w:val="auto"/>
              </w:rPr>
            </w:pP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20,000</w:t>
            </w:r>
          </w:p>
        </w:tc>
        <w:tc>
          <w:tcPr>
            <w:tcW w:w="1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20,619</w:t>
            </w:r>
          </w:p>
        </w:tc>
        <w:tc>
          <w:tcPr>
            <w:tcW w:w="220" w:type="dxa"/>
            <w:vAlign w:val="bottom"/>
          </w:tcPr>
          <w:p>
            <w:pPr>
              <w:spacing w:after="0"/>
              <w:rPr>
                <w:sz w:val="17"/>
                <w:szCs w:val="17"/>
                <w:color w:val="auto"/>
              </w:rPr>
            </w:pPr>
          </w:p>
        </w:tc>
        <w:tc>
          <w:tcPr>
            <w:tcW w:w="1760" w:type="dxa"/>
            <w:vAlign w:val="bottom"/>
          </w:tcPr>
          <w:p>
            <w:pPr>
              <w:jc w:val="right"/>
              <w:ind w:right="550"/>
              <w:spacing w:after="0" w:line="201" w:lineRule="exact"/>
              <w:rPr>
                <w:sz w:val="20"/>
                <w:szCs w:val="20"/>
                <w:color w:val="auto"/>
              </w:rPr>
            </w:pPr>
            <w:r>
              <w:rPr>
                <w:rFonts w:ascii="Arial" w:cs="Arial" w:eastAsia="Arial" w:hAnsi="Arial"/>
                <w:sz w:val="18"/>
                <w:szCs w:val="18"/>
                <w:color w:val="auto"/>
              </w:rPr>
              <w:t>2035</w:t>
            </w:r>
          </w:p>
        </w:tc>
        <w:tc>
          <w:tcPr>
            <w:tcW w:w="14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33-mo. LIBOR</w:t>
            </w:r>
          </w:p>
        </w:tc>
      </w:tr>
      <w:tr>
        <w:trPr>
          <w:trHeight w:val="230"/>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w w:val="91"/>
              </w:rPr>
              <w:t>+ 139 bps; 1.61%</w:t>
            </w: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V</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15,464</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550"/>
              <w:spacing w:after="0" w:line="201" w:lineRule="exact"/>
              <w:rPr>
                <w:sz w:val="20"/>
                <w:szCs w:val="20"/>
                <w:color w:val="auto"/>
              </w:rPr>
            </w:pPr>
            <w:r>
              <w:rPr>
                <w:rFonts w:ascii="Arial" w:cs="Arial" w:eastAsia="Arial" w:hAnsi="Arial"/>
                <w:sz w:val="18"/>
                <w:szCs w:val="18"/>
                <w:color w:val="auto"/>
              </w:rPr>
              <w:t>2037</w:t>
            </w:r>
          </w:p>
        </w:tc>
        <w:tc>
          <w:tcPr>
            <w:tcW w:w="14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3-mo. LIBOR</w:t>
            </w:r>
          </w:p>
        </w:tc>
      </w:tr>
      <w:tr>
        <w:trPr>
          <w:trHeight w:val="237"/>
        </w:trPr>
        <w:tc>
          <w:tcPr>
            <w:tcW w:w="3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1"/>
              </w:rPr>
              <w:t>+ 150 bps; 1.72%</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45,000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 as of last reset date, prior to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reviews this information to determine if the projected future net interest income levels would be acceptable. The Company attempts to stay within acceptable net interest income levels.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ectPr>
          <w:pgSz w:w="11900" w:h="16838" w:orient="portrait"/>
          <w:cols w:equalWidth="0" w:num="1">
            <w:col w:w="11240"/>
          </w:cols>
          <w:pgMar w:left="320" w:top="121" w:right="339" w:bottom="76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60"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Capital Requirements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Total shareholders’ equity increased to $370.0 million as of December 31, 2020, compared to $306.2 million as of December 31, 2019. The increase from December 31, 2019 was primarily the result of $45.4 million in net earnings for the year ended December 31, 2020, and a change in accumulated other comprehensive income of $20.4 million, net of tax, reduced by $2.5 million in dividends paid.</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CET1 capital, tier 1 capital and total capital to risk-weighted assets and of tier 1 capital to average consolidated assets, referred to as the “leverage ratio.”</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At December 31, 2020, both we and the Bank met all the capital adequacy requirements to which we and the Bank were subject. At December 31, 2020, we and the Bank were “well capitalized” under the regulatory framework for prompt corrective action. Management believes that no conditions or events have occurred since December 31, 2020 that would materially adversely change such capital classifications. From time to time, we may need to raise additional capital to support our and the Bank’s further growth and to maintain our “well capitalized” status.</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table below also summarizes the capital requirements applicable to us and the Bank in order to be considered “well-capitalized” from a regulatory perspective, as well as our and the Bank’s capital ratios as of the dates indicated. We and the Bank exceeded all regulatory capital requirements under Basel III and the Bank was considered to be “well-capitalized” as of the dates reflected in the table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Minimum Capital</w:t>
            </w:r>
          </w:p>
        </w:tc>
        <w:tc>
          <w:tcPr>
            <w:tcW w:w="180" w:type="dxa"/>
            <w:vAlign w:val="bottom"/>
          </w:tcPr>
          <w:p>
            <w:pPr>
              <w:spacing w:after="0"/>
              <w:rPr>
                <w:sz w:val="18"/>
                <w:szCs w:val="18"/>
                <w:color w:val="auto"/>
              </w:rPr>
            </w:pPr>
          </w:p>
        </w:tc>
        <w:tc>
          <w:tcPr>
            <w:tcW w:w="14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6"/>
              </w:rPr>
              <w:t>Minimum</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40"/>
              <w:spacing w:after="0"/>
              <w:rPr>
                <w:sz w:val="20"/>
                <w:szCs w:val="20"/>
                <w:color w:val="auto"/>
              </w:rPr>
            </w:pPr>
            <w:r>
              <w:rPr>
                <w:rFonts w:ascii="Arial" w:cs="Arial" w:eastAsia="Arial" w:hAnsi="Arial"/>
                <w:sz w:val="18"/>
                <w:szCs w:val="18"/>
                <w:b w:val="1"/>
                <w:bCs w:val="1"/>
                <w:color w:val="auto"/>
              </w:rPr>
              <w:t>Requirement with</w:t>
            </w: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To be Considered</w:t>
            </w:r>
          </w:p>
        </w:tc>
      </w:tr>
      <w:tr>
        <w:trPr>
          <w:trHeight w:val="241"/>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4"/>
              </w:rPr>
              <w:t>Capital Buffer</w:t>
            </w:r>
          </w:p>
        </w:tc>
        <w:tc>
          <w:tcPr>
            <w:tcW w:w="18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Well Capitalized</w:t>
            </w:r>
          </w:p>
        </w:tc>
      </w:tr>
      <w:tr>
        <w:trPr>
          <w:trHeight w:val="223"/>
        </w:trPr>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Ratio</w:t>
            </w:r>
          </w:p>
        </w:tc>
        <w:tc>
          <w:tcPr>
            <w:tcW w:w="160" w:type="dxa"/>
            <w:vAlign w:val="bottom"/>
          </w:tcPr>
          <w:p>
            <w:pPr>
              <w:spacing w:after="0"/>
              <w:rPr>
                <w:sz w:val="19"/>
                <w:szCs w:val="19"/>
                <w:color w:val="auto"/>
              </w:rPr>
            </w:pPr>
          </w:p>
        </w:tc>
      </w:tr>
      <w:tr>
        <w:trPr>
          <w:trHeight w:val="223"/>
        </w:trPr>
        <w:tc>
          <w:tcPr>
            <w:tcW w:w="3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2020</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473,425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260,531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404,138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260,481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248,077</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210,906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210,866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198,462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173,688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173,654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161,250</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144,347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144,282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178,999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596"/>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59</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3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gridSpan w:val="2"/>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8"/>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Minimum Capital</w:t>
            </w:r>
          </w:p>
        </w:tc>
        <w:tc>
          <w:tcPr>
            <w:tcW w:w="180" w:type="dxa"/>
            <w:vAlign w:val="bottom"/>
          </w:tcPr>
          <w:p>
            <w:pPr>
              <w:spacing w:after="0"/>
              <w:rPr>
                <w:sz w:val="24"/>
                <w:szCs w:val="24"/>
                <w:color w:val="auto"/>
              </w:rPr>
            </w:pPr>
          </w:p>
        </w:tc>
        <w:tc>
          <w:tcPr>
            <w:tcW w:w="14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6"/>
              </w:rPr>
              <w:t>Minimum</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40"/>
              <w:spacing w:after="0"/>
              <w:rPr>
                <w:sz w:val="20"/>
                <w:szCs w:val="20"/>
                <w:color w:val="auto"/>
              </w:rPr>
            </w:pPr>
            <w:r>
              <w:rPr>
                <w:rFonts w:ascii="Arial" w:cs="Arial" w:eastAsia="Arial" w:hAnsi="Arial"/>
                <w:sz w:val="18"/>
                <w:szCs w:val="18"/>
                <w:b w:val="1"/>
                <w:bCs w:val="1"/>
                <w:color w:val="auto"/>
              </w:rPr>
              <w:t>Requirement with</w:t>
            </w: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To be Considered</w:t>
            </w:r>
          </w:p>
        </w:tc>
      </w:tr>
      <w:tr>
        <w:trPr>
          <w:trHeight w:val="241"/>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4"/>
              </w:rPr>
              <w:t>Capital Buffer</w:t>
            </w:r>
          </w:p>
        </w:tc>
        <w:tc>
          <w:tcPr>
            <w:tcW w:w="18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Well Capitalized</w:t>
            </w:r>
          </w:p>
        </w:tc>
      </w:tr>
      <w:tr>
        <w:trPr>
          <w:trHeight w:val="223"/>
        </w:trPr>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Ratio</w:t>
            </w:r>
          </w:p>
        </w:tc>
        <w:tc>
          <w:tcPr>
            <w:tcW w:w="160" w:type="dxa"/>
            <w:vAlign w:val="bottom"/>
          </w:tcPr>
          <w:p>
            <w:pPr>
              <w:spacing w:after="0"/>
              <w:rPr>
                <w:sz w:val="19"/>
                <w:szCs w:val="19"/>
                <w:color w:val="auto"/>
              </w:rPr>
            </w:pPr>
          </w:p>
        </w:tc>
      </w:tr>
      <w:tr>
        <w:trPr>
          <w:trHeight w:val="223"/>
        </w:trPr>
        <w:tc>
          <w:tcPr>
            <w:tcW w:w="3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2019</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263,769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368,322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263,702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251,145</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213,527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213,473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200,916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277,835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175,846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175,801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163,244</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120,219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121,235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150,175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Treasury Stock</w:t>
      </w:r>
    </w:p>
    <w:p>
      <w:pPr>
        <w:spacing w:after="0" w:line="23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Company repurchased stock in accordance with its stock repurchase program during 2020. See Part II, Item 5, “Market for Registrant’s Common Equity, Related Stockholder Matters, and Issuer Purchases of Equity Securities”, of this Report for further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Contractual Obligations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contain supplemental information regarding our total contractual obligations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December 31, 2020</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8"/>
              </w:rPr>
              <w:t>Within</w:t>
            </w:r>
          </w:p>
        </w:tc>
        <w:tc>
          <w:tcPr>
            <w:tcW w:w="100" w:type="dxa"/>
            <w:vAlign w:val="bottom"/>
          </w:tcPr>
          <w:p>
            <w:pPr>
              <w:spacing w:after="0"/>
              <w:rPr>
                <w:sz w:val="17"/>
                <w:szCs w:val="17"/>
                <w:color w:val="auto"/>
              </w:rPr>
            </w:pPr>
          </w:p>
        </w:tc>
        <w:tc>
          <w:tcPr>
            <w:tcW w:w="1280" w:type="dxa"/>
            <w:vAlign w:val="bottom"/>
            <w:gridSpan w:val="2"/>
          </w:tcPr>
          <w:p>
            <w:pPr>
              <w:jc w:val="center"/>
              <w:ind w:right="250"/>
              <w:spacing w:after="0" w:line="198" w:lineRule="exact"/>
              <w:rPr>
                <w:sz w:val="20"/>
                <w:szCs w:val="20"/>
                <w:color w:val="auto"/>
              </w:rPr>
            </w:pPr>
            <w:r>
              <w:rPr>
                <w:rFonts w:ascii="Arial" w:cs="Arial" w:eastAsia="Arial" w:hAnsi="Arial"/>
                <w:sz w:val="18"/>
                <w:szCs w:val="18"/>
                <w:b w:val="1"/>
                <w:bCs w:val="1"/>
                <w:color w:val="auto"/>
                <w:w w:val="87"/>
              </w:rPr>
              <w:t>One to</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Three to</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After Five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One Year</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Three Years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Five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128,295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325,501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26,550</w:t>
            </w: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26,550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75,589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75,589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4,613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10,635</w:t>
            </w: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131,069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9"/>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December 31, 2019</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8"/>
              </w:rPr>
              <w:t>Within</w:t>
            </w:r>
          </w:p>
        </w:tc>
        <w:tc>
          <w:tcPr>
            <w:tcW w:w="100" w:type="dxa"/>
            <w:vAlign w:val="bottom"/>
          </w:tcPr>
          <w:p>
            <w:pPr>
              <w:spacing w:after="0"/>
              <w:rPr>
                <w:sz w:val="17"/>
                <w:szCs w:val="17"/>
                <w:color w:val="auto"/>
              </w:rPr>
            </w:pPr>
          </w:p>
        </w:tc>
        <w:tc>
          <w:tcPr>
            <w:tcW w:w="1280" w:type="dxa"/>
            <w:vAlign w:val="bottom"/>
            <w:gridSpan w:val="2"/>
          </w:tcPr>
          <w:p>
            <w:pPr>
              <w:jc w:val="center"/>
              <w:ind w:right="250"/>
              <w:spacing w:after="0" w:line="198" w:lineRule="exact"/>
              <w:rPr>
                <w:sz w:val="20"/>
                <w:szCs w:val="20"/>
                <w:color w:val="auto"/>
              </w:rPr>
            </w:pPr>
            <w:r>
              <w:rPr>
                <w:rFonts w:ascii="Arial" w:cs="Arial" w:eastAsia="Arial" w:hAnsi="Arial"/>
                <w:sz w:val="18"/>
                <w:szCs w:val="18"/>
                <w:b w:val="1"/>
                <w:bCs w:val="1"/>
                <w:color w:val="auto"/>
                <w:w w:val="87"/>
              </w:rPr>
              <w:t>One to</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Three to</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After Five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One Year</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Three Years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Five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93,029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356,023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37,165</w:t>
            </w: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37,165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26,472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1,721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4,367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10,388</w:t>
            </w: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276,305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Arrangements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ectPr>
          <w:pgSz w:w="11900" w:h="16838" w:orient="portrait"/>
          <w:cols w:equalWidth="0" w:num="1">
            <w:col w:w="11240"/>
          </w:cols>
          <w:pgMar w:left="320" w:top="121" w:right="339" w:bottom="0" w:gutter="0" w:footer="0" w:header="0"/>
        </w:sectPr>
      </w:pPr>
    </w:p>
    <w:bookmarkStart w:id="82" w:name="page83"/>
    <w:bookmarkEnd w:id="82"/>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commitments we have made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7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417,798</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409,969</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10,481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10,748</w:t>
            </w:r>
          </w:p>
        </w:tc>
      </w:tr>
      <w:tr>
        <w:trPr>
          <w:trHeight w:val="256"/>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428,279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The amount of these letters of credit with the FHLB was $199.0 million and $199.0 million at December 31, 2020 and 2019,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Sensitivity and Market Risk</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15"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3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exposure to interest rate risk is managed by the Investment/Asset/Liability Committee, or the ALCO Committee, in accordance with policies approved by the Bank’s Board.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ectPr>
          <w:pgSz w:w="11900" w:h="16838" w:orient="portrait"/>
          <w:cols w:equalWidth="0" w:num="1">
            <w:col w:w="11240"/>
          </w:cols>
          <w:pgMar w:left="320" w:top="121" w:right="339" w:bottom="463"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63" w:gutter="0" w:footer="0" w:header="0"/>
          <w:type w:val="continuous"/>
        </w:sectPr>
      </w:pPr>
    </w:p>
    <w:bookmarkStart w:id="84" w:name="page85"/>
    <w:bookmarkEnd w:id="84"/>
    <w:p>
      <w:pPr>
        <w:spacing w:after="0" w:line="37"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summarize the simulated change in net interest income over a 12-month horizon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180" w:type="dxa"/>
            <w:vAlign w:val="bottom"/>
            <w:gridSpan w:val="4"/>
          </w:tcPr>
          <w:p>
            <w:pPr>
              <w:ind w:left="134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6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top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9"/>
                <w:szCs w:val="19"/>
                <w:color w:val="auto"/>
              </w:rPr>
            </w:pPr>
          </w:p>
        </w:tc>
      </w:tr>
      <w:tr>
        <w:trPr>
          <w:trHeight w:val="198"/>
        </w:trPr>
        <w:tc>
          <w:tcPr>
            <w:tcW w:w="6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Percent Change in</w:t>
            </w:r>
          </w:p>
        </w:tc>
        <w:tc>
          <w:tcPr>
            <w:tcW w:w="100" w:type="dxa"/>
            <w:vAlign w:val="bottom"/>
          </w:tcPr>
          <w:p>
            <w:pPr>
              <w:spacing w:after="0"/>
              <w:rPr>
                <w:sz w:val="17"/>
                <w:szCs w:val="17"/>
                <w:color w:val="auto"/>
              </w:rPr>
            </w:pPr>
          </w:p>
        </w:tc>
        <w:tc>
          <w:tcPr>
            <w:tcW w:w="2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20" w:type="dxa"/>
            <w:vAlign w:val="bottom"/>
          </w:tcPr>
          <w:p>
            <w:pPr>
              <w:spacing w:after="0"/>
              <w:rPr>
                <w:sz w:val="17"/>
                <w:szCs w:val="17"/>
                <w:color w:val="auto"/>
              </w:rPr>
            </w:pPr>
          </w:p>
        </w:tc>
      </w:tr>
      <w:tr>
        <w:trPr>
          <w:trHeight w:val="24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Change in Interest Rates (Basis Points)</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Net Interest Income</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Net Interest Income</w:t>
            </w:r>
          </w:p>
        </w:tc>
      </w:tr>
      <w:tr>
        <w:trPr>
          <w:trHeight w:val="216"/>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w:t>
            </w:r>
          </w:p>
        </w:tc>
        <w:tc>
          <w:tcPr>
            <w:tcW w:w="8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+200</w:t>
            </w:r>
          </w:p>
        </w:tc>
        <w:tc>
          <w:tcPr>
            <w:tcW w:w="84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206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-100</w:t>
            </w:r>
          </w:p>
        </w:tc>
        <w:tc>
          <w:tcPr>
            <w:tcW w:w="840" w:type="dxa"/>
            <w:vAlign w:val="bottom"/>
          </w:tcPr>
          <w:p>
            <w:pPr>
              <w:spacing w:after="0"/>
              <w:rPr>
                <w:sz w:val="20"/>
                <w:szCs w:val="20"/>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206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Tangible Book Value Per Common Share</w:t>
      </w:r>
      <w:r>
        <w:rPr>
          <w:rFonts w:ascii="Arial" w:cs="Arial" w:eastAsia="Arial" w:hAnsi="Arial"/>
          <w:sz w:val="19"/>
          <w:szCs w:val="19"/>
          <w:color w:val="auto"/>
        </w:rPr>
        <w:t>. Tangible book value per share is a non-GAAP measure generally used by investors,</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Tangible Common Equity to Tangible Assets</w:t>
      </w:r>
      <w:r>
        <w:rPr>
          <w:rFonts w:ascii="Arial" w:cs="Arial" w:eastAsia="Arial" w:hAnsi="Arial"/>
          <w:sz w:val="19"/>
          <w:szCs w:val="19"/>
          <w:color w:val="auto"/>
        </w:rPr>
        <w:t>. Tangible common equity to tangible assets is a non-GAAP measure generally used</w:t>
      </w:r>
      <w:r>
        <w:rPr>
          <w:rFonts w:ascii="Arial" w:cs="Arial" w:eastAsia="Arial" w:hAnsi="Arial"/>
          <w:sz w:val="19"/>
          <w:szCs w:val="19"/>
          <w:i w:val="1"/>
          <w:iCs w:val="1"/>
          <w:color w:val="auto"/>
        </w:rPr>
        <w:t xml:space="preserve"> </w:t>
      </w:r>
      <w:r>
        <w:rPr>
          <w:rFonts w:ascii="Arial" w:cs="Arial" w:eastAsia="Arial" w:hAnsi="Arial"/>
          <w:sz w:val="19"/>
          <w:szCs w:val="19"/>
          <w:color w:val="auto"/>
        </w:rPr>
        <w:t>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ectPr>
          <w:pgSz w:w="11900" w:h="16875" w:orient="portrait"/>
          <w:cols w:equalWidth="0" w:num="1">
            <w:col w:w="11240"/>
          </w:cols>
          <w:pgMar w:left="320" w:top="121" w:right="339" w:bottom="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ectPr>
          <w:pgSz w:w="11900" w:h="16875" w:orient="portrait"/>
          <w:cols w:equalWidth="0" w:num="1">
            <w:col w:w="11240"/>
          </w:cols>
          <w:pgMar w:left="320" w:top="121" w:right="339" w:bottom="0" w:gutter="0" w:footer="0" w:header="0"/>
          <w:type w:val="continuous"/>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r>
      <w:tr>
        <w:trPr>
          <w:trHeight w:val="216"/>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260" w:type="dxa"/>
            <w:vAlign w:val="bottom"/>
            <w:gridSpan w:val="3"/>
          </w:tcPr>
          <w:p>
            <w:pPr>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370,048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306,182</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(27,070)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(27,389)</w:t>
            </w:r>
          </w:p>
        </w:tc>
      </w:tr>
      <w:tr>
        <w:trPr>
          <w:trHeight w:val="257"/>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Tangible common equity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$ 342,978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278,793</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09"/>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3,599,160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3,237,167</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(27,070)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(27,389)</w:t>
            </w:r>
          </w:p>
        </w:tc>
      </w:tr>
      <w:tr>
        <w:trPr>
          <w:trHeight w:val="216"/>
        </w:trPr>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420" w:type="dxa"/>
            <w:vAlign w:val="bottom"/>
          </w:tcPr>
          <w:p>
            <w:pPr>
              <w:ind w:left="160"/>
              <w:spacing w:after="0"/>
              <w:rPr>
                <w:sz w:val="20"/>
                <w:szCs w:val="20"/>
                <w:color w:val="auto"/>
              </w:rPr>
            </w:pPr>
            <w:r>
              <w:rPr>
                <w:rFonts w:ascii="Arial" w:cs="Arial" w:eastAsia="Arial" w:hAnsi="Arial"/>
                <w:sz w:val="18"/>
                <w:szCs w:val="18"/>
                <w:color w:val="auto"/>
              </w:rPr>
              <w:t>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3,572,090</w:t>
            </w:r>
          </w:p>
        </w:tc>
        <w:tc>
          <w:tcPr>
            <w:tcW w:w="18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3,209,778</w:t>
            </w:r>
          </w:p>
        </w:tc>
      </w:tr>
      <w:tr>
        <w:trPr>
          <w:trHeight w:val="21"/>
        </w:trPr>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18,076,364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18,036,115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09"/>
        </w:trPr>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 to total assets</w:t>
            </w:r>
          </w:p>
        </w:tc>
        <w:tc>
          <w:tcPr>
            <w:tcW w:w="1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r>
      <w:tr>
        <w:trPr>
          <w:trHeight w:val="216"/>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Tangible common equity to tangible assets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w:t>
            </w:r>
          </w:p>
        </w:tc>
      </w:tr>
      <w:tr>
        <w:trPr>
          <w:trHeight w:val="216"/>
        </w:trPr>
        <w:tc>
          <w:tcPr>
            <w:tcW w:w="7420" w:type="dxa"/>
            <w:vAlign w:val="bottom"/>
          </w:tcPr>
          <w:p>
            <w:pPr>
              <w:ind w:left="160"/>
              <w:spacing w:after="0"/>
              <w:rPr>
                <w:sz w:val="20"/>
                <w:szCs w:val="20"/>
                <w:color w:val="auto"/>
              </w:rPr>
            </w:pPr>
            <w:r>
              <w:rPr>
                <w:rFonts w:ascii="Arial" w:cs="Arial" w:eastAsia="Arial" w:hAnsi="Arial"/>
                <w:sz w:val="18"/>
                <w:szCs w:val="18"/>
                <w:color w:val="auto"/>
              </w:rPr>
              <w:t>Book value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20.47</w:t>
            </w:r>
          </w:p>
        </w:tc>
        <w:tc>
          <w:tcPr>
            <w:tcW w:w="18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16.98</w:t>
            </w:r>
          </w:p>
        </w:tc>
      </w:tr>
      <w:tr>
        <w:trPr>
          <w:trHeight w:val="216"/>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Tangible book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 In particular, management has identified several accounting policies that, due to the estimates, assumptions and judgments inherent in those policies, are critical in understanding our financial statements.</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financial statements included in this Report,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2020.</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Basis of Presentation and Consolidation. </w:t>
      </w:r>
      <w:r>
        <w:rPr>
          <w:rFonts w:ascii="Arial" w:cs="Arial" w:eastAsia="Arial" w:hAnsi="Arial"/>
          <w:sz w:val="22"/>
          <w:szCs w:val="22"/>
          <w:color w:val="auto"/>
        </w:rPr>
        <w:t>The consolidated financial statements include the accounts of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wholly owned consolidated subsidiaries. All significant intercompany balances and transactions have been eliminated in consolidation.</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color w:val="auto"/>
        </w:rPr>
        <w:t xml:space="preserve">Cash and Cash Equivalents. </w:t>
      </w:r>
      <w:r>
        <w:rPr>
          <w:rFonts w:ascii="Arial" w:cs="Arial" w:eastAsia="Arial" w:hAnsi="Arial"/>
          <w:sz w:val="22"/>
          <w:szCs w:val="22"/>
          <w:color w:val="auto"/>
        </w:rPr>
        <w:t>The Company includes all cash on hand, balances due from other banks, and Federal funds sold, all</w:t>
      </w:r>
      <w:r>
        <w:rPr>
          <w:rFonts w:ascii="Arial" w:cs="Arial" w:eastAsia="Arial" w:hAnsi="Arial"/>
          <w:sz w:val="22"/>
          <w:szCs w:val="22"/>
          <w:i w:val="1"/>
          <w:iCs w:val="1"/>
          <w:color w:val="auto"/>
        </w:rPr>
        <w:t xml:space="preserve"> </w:t>
      </w:r>
      <w:r>
        <w:rPr>
          <w:rFonts w:ascii="Arial" w:cs="Arial" w:eastAsia="Arial" w:hAnsi="Arial"/>
          <w:sz w:val="22"/>
          <w:szCs w:val="22"/>
          <w:color w:val="auto"/>
        </w:rPr>
        <w:t>of which have original maturities within three months, as cash and cash equivalents.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Securities. </w:t>
      </w:r>
      <w:r>
        <w:rPr>
          <w:rFonts w:ascii="Arial" w:cs="Arial" w:eastAsia="Arial" w:hAnsi="Arial"/>
          <w:sz w:val="19"/>
          <w:szCs w:val="19"/>
          <w:color w:val="auto"/>
        </w:rPr>
        <w:t>Investment securities may be classified into trading, held-to-maturity, or available-for-sale portfolios. Securities that</w:t>
      </w:r>
      <w:r>
        <w:rPr>
          <w:rFonts w:ascii="Arial" w:cs="Arial" w:eastAsia="Arial" w:hAnsi="Arial"/>
          <w:sz w:val="19"/>
          <w:szCs w:val="19"/>
          <w:i w:val="1"/>
          <w:iCs w:val="1"/>
          <w:color w:val="auto"/>
        </w:rPr>
        <w:t xml:space="preserve"> </w:t>
      </w:r>
      <w:r>
        <w:rPr>
          <w:rFonts w:ascii="Arial" w:cs="Arial" w:eastAsia="Arial" w:hAnsi="Arial"/>
          <w:sz w:val="19"/>
          <w:szCs w:val="19"/>
          <w:color w:val="auto"/>
        </w:rPr>
        <w:t>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ectPr>
          <w:pgSz w:w="11900" w:h="16838" w:orient="portrait"/>
          <w:cols w:equalWidth="0" w:num="1">
            <w:col w:w="11240"/>
          </w:cols>
          <w:pgMar w:left="320" w:top="121" w:right="339" w:bottom="1084"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84" w:gutter="0" w:footer="0" w:header="0"/>
          <w:type w:val="continuous"/>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 xml:space="preserve">Loans. </w:t>
      </w:r>
      <w:r>
        <w:rPr>
          <w:rFonts w:ascii="Arial" w:cs="Arial" w:eastAsia="Arial" w:hAnsi="Arial"/>
          <w:sz w:val="19"/>
          <w:szCs w:val="19"/>
          <w:color w:val="auto"/>
        </w:rPr>
        <w:t>Loans that management has the intent and ability to hold for the foreseeable future or until maturity or payoff are reported</w:t>
      </w:r>
      <w:r>
        <w:rPr>
          <w:rFonts w:ascii="Arial" w:cs="Arial" w:eastAsia="Arial" w:hAnsi="Arial"/>
          <w:sz w:val="19"/>
          <w:szCs w:val="19"/>
          <w:i w:val="1"/>
          <w:iCs w:val="1"/>
          <w:color w:val="auto"/>
        </w:rPr>
        <w:t xml:space="preserve"> </w:t>
      </w:r>
      <w:r>
        <w:rPr>
          <w:rFonts w:ascii="Arial" w:cs="Arial" w:eastAsia="Arial" w:hAnsi="Arial"/>
          <w:sz w:val="19"/>
          <w:szCs w:val="19"/>
          <w:color w:val="auto"/>
        </w:rPr>
        <w:t>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 xml:space="preserve">Allowance for Loan Losses. </w:t>
      </w:r>
      <w:r>
        <w:rPr>
          <w:rFonts w:ascii="Arial" w:cs="Arial" w:eastAsia="Arial" w:hAnsi="Arial"/>
          <w:sz w:val="19"/>
          <w:szCs w:val="19"/>
          <w:color w:val="auto"/>
        </w:rPr>
        <w:t>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Loans Held for Sale. </w:t>
      </w:r>
      <w:r>
        <w:rPr>
          <w:rFonts w:ascii="Arial" w:cs="Arial" w:eastAsia="Arial" w:hAnsi="Arial"/>
          <w:sz w:val="22"/>
          <w:szCs w:val="22"/>
          <w:color w:val="auto"/>
        </w:rPr>
        <w:t>Loans held for sale are comprised of residential mortgage loans. Loans that are originated for best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Goodwill and Other Intangible Assets. </w:t>
      </w:r>
      <w:r>
        <w:rPr>
          <w:rFonts w:ascii="Arial" w:cs="Arial" w:eastAsia="Arial" w:hAnsi="Arial"/>
          <w:sz w:val="22"/>
          <w:szCs w:val="22"/>
          <w:color w:val="auto"/>
        </w:rPr>
        <w:t>Goodwill resulting from business combinations is generally determined as the excess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ectPr>
          <w:pgSz w:w="11900" w:h="16838" w:orient="portrait"/>
          <w:cols w:equalWidth="0" w:num="1">
            <w:col w:w="11240"/>
          </w:cols>
          <w:pgMar w:left="320" w:top="121" w:right="339" w:bottom="32" w:gutter="0" w:footer="0" w:header="0"/>
        </w:sectPr>
      </w:pPr>
    </w:p>
    <w:bookmarkStart w:id="88" w:name="page89"/>
    <w:bookmarkEnd w:id="88"/>
    <w:p>
      <w:pPr>
        <w:spacing w:after="0" w:line="274" w:lineRule="auto"/>
        <w:rPr>
          <w:sz w:val="20"/>
          <w:szCs w:val="20"/>
          <w:color w:val="auto"/>
        </w:rPr>
      </w:pPr>
      <w:r>
        <w:rPr>
          <w:rFonts w:ascii="Arial" w:cs="Arial" w:eastAsia="Arial" w:hAnsi="Arial"/>
          <w:sz w:val="21"/>
          <w:szCs w:val="21"/>
          <w:color w:val="auto"/>
        </w:rPr>
        <w:t>See Note 1, Summary of Significant Accounting Policies, in the notes to the consolidated financial statements included elsewhere in this Report regarding the impact of new accounting pronouncements which we have adopted.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9" w:lineRule="exact"/>
        <w:rPr>
          <w:sz w:val="20"/>
          <w:szCs w:val="20"/>
          <w:color w:val="auto"/>
        </w:rPr>
      </w:pPr>
    </w:p>
    <w:p>
      <w:pPr>
        <w:ind w:right="720" w:firstLine="324"/>
        <w:spacing w:after="0" w:line="328" w:lineRule="auto"/>
        <w:rPr>
          <w:sz w:val="20"/>
          <w:szCs w:val="20"/>
          <w:color w:val="auto"/>
        </w:rPr>
      </w:pPr>
      <w:r>
        <w:rPr>
          <w:rFonts w:ascii="Arial" w:cs="Arial" w:eastAsia="Arial" w:hAnsi="Arial"/>
          <w:sz w:val="19"/>
          <w:szCs w:val="19"/>
          <w:color w:val="auto"/>
        </w:rPr>
        <w:t>See “Item 7. Management’s Discussion and Analysis of Financial Condition and Results of Operations – Interest Rate Sensitivity and Market Risk” of this Report for discussion on how the Company manages market risk.</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jc w:val="center"/>
        <w:spacing w:after="0" w:line="238" w:lineRule="auto"/>
        <w:rPr>
          <w:sz w:val="20"/>
          <w:szCs w:val="20"/>
          <w:color w:val="auto"/>
        </w:rPr>
      </w:pPr>
      <w:r>
        <w:rPr>
          <w:rFonts w:ascii="Arial" w:cs="Arial" w:eastAsia="Arial" w:hAnsi="Arial"/>
          <w:sz w:val="22"/>
          <w:szCs w:val="22"/>
          <w:b w:val="1"/>
          <w:bCs w:val="1"/>
          <w:i w:val="1"/>
          <w:iCs w:val="1"/>
          <w:color w:val="auto"/>
        </w:rPr>
        <w:t>CONSOLIDATED FINANCIAL STATEMENTS</w:t>
      </w:r>
    </w:p>
    <w:p>
      <w:pPr>
        <w:jc w:val="center"/>
        <w:spacing w:after="0"/>
        <w:rPr>
          <w:sz w:val="20"/>
          <w:szCs w:val="20"/>
          <w:color w:val="auto"/>
        </w:rPr>
      </w:pPr>
      <w:r>
        <w:rPr>
          <w:rFonts w:ascii="Arial" w:cs="Arial" w:eastAsia="Arial" w:hAnsi="Arial"/>
          <w:sz w:val="22"/>
          <w:szCs w:val="22"/>
          <w:b w:val="1"/>
          <w:bCs w:val="1"/>
          <w:i w:val="1"/>
          <w:iCs w:val="1"/>
          <w:color w:val="auto"/>
        </w:rPr>
        <w:t>Years Ended December 31, 2020 and 2019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16"/>
        </w:trPr>
        <w:tc>
          <w:tcPr>
            <w:tcW w:w="52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Report of Independent Registered Public Accounting Firm</w:t>
              </w:r>
            </w:hyperlink>
          </w:p>
        </w:tc>
        <w:tc>
          <w:tcPr>
            <w:tcW w:w="6040" w:type="dxa"/>
            <w:vAlign w:val="bottom"/>
            <w:gridSpan w:val="2"/>
            <w:shd w:val="clear" w:color="auto" w:fill="CCEEFF"/>
          </w:tcPr>
          <w:p>
            <w:pPr>
              <w:jc w:val="center"/>
              <w:ind w:left="5293"/>
              <w:spacing w:after="0"/>
              <w:rPr>
                <w:sz w:val="20"/>
                <w:szCs w:val="20"/>
                <w:color w:val="auto"/>
              </w:rPr>
            </w:pPr>
            <w:r>
              <w:rPr>
                <w:rFonts w:ascii="Arial" w:cs="Arial" w:eastAsia="Arial" w:hAnsi="Arial"/>
                <w:sz w:val="18"/>
                <w:szCs w:val="18"/>
                <w:color w:val="auto"/>
                <w:w w:val="89"/>
              </w:rPr>
              <w:t>66</w:t>
            </w:r>
          </w:p>
        </w:tc>
      </w:tr>
      <w:tr>
        <w:trPr>
          <w:trHeight w:val="216"/>
        </w:trPr>
        <w:tc>
          <w:tcPr>
            <w:tcW w:w="52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5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200" w:type="dxa"/>
            <w:vAlign w:val="bottom"/>
            <w:shd w:val="clear" w:color="auto" w:fill="CCEEFF"/>
          </w:tcPr>
          <w:p>
            <w:pPr>
              <w:ind w:left="46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Consolidated Balance Sheets</w:t>
              </w:r>
            </w:hyperlink>
          </w:p>
        </w:tc>
        <w:tc>
          <w:tcPr>
            <w:tcW w:w="6040" w:type="dxa"/>
            <w:vAlign w:val="bottom"/>
            <w:gridSpan w:val="2"/>
            <w:shd w:val="clear" w:color="auto" w:fill="CCEEFF"/>
          </w:tcPr>
          <w:p>
            <w:pPr>
              <w:jc w:val="center"/>
              <w:ind w:left="5293"/>
              <w:spacing w:after="0"/>
              <w:rPr>
                <w:sz w:val="20"/>
                <w:szCs w:val="20"/>
                <w:color w:val="auto"/>
              </w:rPr>
            </w:pPr>
            <w:r>
              <w:rPr>
                <w:rFonts w:ascii="Arial" w:cs="Arial" w:eastAsia="Arial" w:hAnsi="Arial"/>
                <w:sz w:val="18"/>
                <w:szCs w:val="18"/>
                <w:color w:val="auto"/>
                <w:w w:val="89"/>
              </w:rPr>
              <w:t>67</w:t>
            </w:r>
          </w:p>
        </w:tc>
      </w:tr>
      <w:tr>
        <w:trPr>
          <w:trHeight w:val="216"/>
        </w:trPr>
        <w:tc>
          <w:tcPr>
            <w:tcW w:w="5200" w:type="dxa"/>
            <w:vAlign w:val="bottom"/>
          </w:tcPr>
          <w:p>
            <w:pPr>
              <w:ind w:left="4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Consolidated Statements of Comprehensive Income</w:t>
              </w:r>
            </w:hyperlink>
          </w:p>
        </w:tc>
        <w:tc>
          <w:tcPr>
            <w:tcW w:w="6040" w:type="dxa"/>
            <w:vAlign w:val="bottom"/>
            <w:gridSpan w:val="2"/>
          </w:tcPr>
          <w:p>
            <w:pPr>
              <w:jc w:val="center"/>
              <w:ind w:left="5293"/>
              <w:spacing w:after="0"/>
              <w:rPr>
                <w:sz w:val="20"/>
                <w:szCs w:val="20"/>
                <w:color w:val="auto"/>
              </w:rPr>
            </w:pPr>
            <w:r>
              <w:rPr>
                <w:rFonts w:ascii="Arial" w:cs="Arial" w:eastAsia="Arial" w:hAnsi="Arial"/>
                <w:sz w:val="18"/>
                <w:szCs w:val="18"/>
                <w:color w:val="auto"/>
                <w:w w:val="89"/>
              </w:rPr>
              <w:t>68</w:t>
            </w:r>
          </w:p>
        </w:tc>
      </w:tr>
      <w:tr>
        <w:trPr>
          <w:trHeight w:val="216"/>
        </w:trPr>
        <w:tc>
          <w:tcPr>
            <w:tcW w:w="5200" w:type="dxa"/>
            <w:vAlign w:val="bottom"/>
            <w:shd w:val="clear" w:color="auto" w:fill="CCEEFF"/>
          </w:tcPr>
          <w:p>
            <w:pPr>
              <w:ind w:left="460"/>
              <w:spacing w:after="0"/>
              <w:rPr>
                <w:rFonts w:ascii="Arial" w:cs="Arial" w:eastAsia="Arial" w:hAnsi="Arial"/>
                <w:sz w:val="18"/>
                <w:szCs w:val="18"/>
                <w:u w:val="single" w:color="auto"/>
                <w:color w:val="0000EE"/>
                <w:w w:val="97"/>
              </w:rPr>
            </w:pPr>
            <w:hyperlink w:anchor="page95">
              <w:r>
                <w:rPr>
                  <w:rFonts w:ascii="Arial" w:cs="Arial" w:eastAsia="Arial" w:hAnsi="Arial"/>
                  <w:sz w:val="18"/>
                  <w:szCs w:val="18"/>
                  <w:u w:val="single" w:color="auto"/>
                  <w:color w:val="0000EE"/>
                  <w:w w:val="97"/>
                </w:rPr>
                <w:t>Consolidated Statements of Changes in Stockholders’ Equity</w:t>
              </w:r>
            </w:hyperlink>
          </w:p>
        </w:tc>
        <w:tc>
          <w:tcPr>
            <w:tcW w:w="6040" w:type="dxa"/>
            <w:vAlign w:val="bottom"/>
            <w:gridSpan w:val="2"/>
            <w:shd w:val="clear" w:color="auto" w:fill="CCEEFF"/>
          </w:tcPr>
          <w:p>
            <w:pPr>
              <w:jc w:val="center"/>
              <w:ind w:left="5293"/>
              <w:spacing w:after="0"/>
              <w:rPr>
                <w:sz w:val="20"/>
                <w:szCs w:val="20"/>
                <w:color w:val="auto"/>
              </w:rPr>
            </w:pPr>
            <w:r>
              <w:rPr>
                <w:rFonts w:ascii="Arial" w:cs="Arial" w:eastAsia="Arial" w:hAnsi="Arial"/>
                <w:sz w:val="18"/>
                <w:szCs w:val="18"/>
                <w:color w:val="auto"/>
                <w:w w:val="89"/>
              </w:rPr>
              <w:t>70</w:t>
            </w:r>
          </w:p>
        </w:tc>
      </w:tr>
      <w:tr>
        <w:trPr>
          <w:trHeight w:val="216"/>
        </w:trPr>
        <w:tc>
          <w:tcPr>
            <w:tcW w:w="5200" w:type="dxa"/>
            <w:vAlign w:val="bottom"/>
          </w:tcPr>
          <w:p>
            <w:pPr>
              <w:ind w:left="4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Consolidated Statements of Cash Flows</w:t>
              </w:r>
            </w:hyperlink>
          </w:p>
        </w:tc>
        <w:tc>
          <w:tcPr>
            <w:tcW w:w="6040" w:type="dxa"/>
            <w:vAlign w:val="bottom"/>
            <w:gridSpan w:val="2"/>
          </w:tcPr>
          <w:p>
            <w:pPr>
              <w:jc w:val="center"/>
              <w:ind w:left="5293"/>
              <w:spacing w:after="0"/>
              <w:rPr>
                <w:sz w:val="20"/>
                <w:szCs w:val="20"/>
                <w:color w:val="auto"/>
              </w:rPr>
            </w:pPr>
            <w:r>
              <w:rPr>
                <w:rFonts w:ascii="Arial" w:cs="Arial" w:eastAsia="Arial" w:hAnsi="Arial"/>
                <w:sz w:val="18"/>
                <w:szCs w:val="18"/>
                <w:color w:val="auto"/>
                <w:w w:val="89"/>
              </w:rPr>
              <w:t>71</w:t>
            </w:r>
          </w:p>
        </w:tc>
      </w:tr>
      <w:tr>
        <w:trPr>
          <w:trHeight w:val="216"/>
        </w:trPr>
        <w:tc>
          <w:tcPr>
            <w:tcW w:w="5200" w:type="dxa"/>
            <w:vAlign w:val="bottom"/>
            <w:shd w:val="clear" w:color="auto" w:fill="CCEEFF"/>
          </w:tcPr>
          <w:p>
            <w:pPr>
              <w:ind w:left="46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Notes to Consolidated Financial Statements</w:t>
              </w:r>
            </w:hyperlink>
          </w:p>
        </w:tc>
        <w:tc>
          <w:tcPr>
            <w:tcW w:w="6040" w:type="dxa"/>
            <w:vAlign w:val="bottom"/>
            <w:gridSpan w:val="2"/>
            <w:shd w:val="clear" w:color="auto" w:fill="CCEEFF"/>
          </w:tcPr>
          <w:p>
            <w:pPr>
              <w:jc w:val="center"/>
              <w:ind w:left="5293"/>
              <w:spacing w:after="0"/>
              <w:rPr>
                <w:sz w:val="20"/>
                <w:szCs w:val="20"/>
                <w:color w:val="auto"/>
              </w:rPr>
            </w:pPr>
            <w:r>
              <w:rPr>
                <w:rFonts w:ascii="Arial" w:cs="Arial" w:eastAsia="Arial" w:hAnsi="Arial"/>
                <w:sz w:val="18"/>
                <w:szCs w:val="18"/>
                <w:color w:val="auto"/>
                <w:w w:val="89"/>
              </w:rPr>
              <w:t>72</w:t>
            </w:r>
          </w:p>
        </w:tc>
      </w:tr>
      <w:tr>
        <w:trPr>
          <w:trHeight w:val="595"/>
        </w:trPr>
        <w:tc>
          <w:tcPr>
            <w:tcW w:w="5200" w:type="dxa"/>
            <w:vAlign w:val="bottom"/>
          </w:tcPr>
          <w:p>
            <w:pPr>
              <w:spacing w:after="0"/>
              <w:rPr>
                <w:sz w:val="24"/>
                <w:szCs w:val="24"/>
                <w:color w:val="auto"/>
              </w:rPr>
            </w:pPr>
          </w:p>
        </w:tc>
        <w:tc>
          <w:tcPr>
            <w:tcW w:w="5380" w:type="dxa"/>
            <w:vAlign w:val="bottom"/>
          </w:tcPr>
          <w:p>
            <w:pPr>
              <w:jc w:val="right"/>
              <w:ind w:right="4793"/>
              <w:spacing w:after="0"/>
              <w:rPr>
                <w:sz w:val="20"/>
                <w:szCs w:val="20"/>
                <w:color w:val="auto"/>
              </w:rPr>
            </w:pPr>
            <w:r>
              <w:rPr>
                <w:rFonts w:ascii="Arial" w:cs="Arial" w:eastAsia="Arial" w:hAnsi="Arial"/>
                <w:sz w:val="14"/>
                <w:szCs w:val="14"/>
                <w:color w:val="auto"/>
              </w:rPr>
              <w:t>65</w:t>
            </w:r>
          </w:p>
        </w:tc>
        <w:tc>
          <w:tcPr>
            <w:tcW w:w="660" w:type="dxa"/>
            <w:vAlign w:val="bottom"/>
          </w:tcPr>
          <w:p>
            <w:pPr>
              <w:spacing w:after="0"/>
              <w:rPr>
                <w:sz w:val="24"/>
                <w:szCs w:val="24"/>
                <w:color w:val="auto"/>
              </w:rPr>
            </w:pPr>
          </w:p>
        </w:tc>
      </w:tr>
      <w:tr>
        <w:trPr>
          <w:trHeight w:val="46"/>
        </w:trPr>
        <w:tc>
          <w:tcPr>
            <w:tcW w:w="520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238" w:lineRule="auto"/>
        <w:rPr>
          <w:sz w:val="20"/>
          <w:szCs w:val="20"/>
          <w:color w:val="auto"/>
        </w:rPr>
      </w:pPr>
      <w:r>
        <w:rPr>
          <w:rFonts w:ascii="Arial" w:cs="Arial" w:eastAsia="Arial" w:hAnsi="Arial"/>
          <w:sz w:val="22"/>
          <w:szCs w:val="22"/>
          <w:color w:val="auto"/>
        </w:rPr>
        <w:t>South Plains Financial, Inc.</w:t>
      </w:r>
    </w:p>
    <w:p>
      <w:pPr>
        <w:spacing w:after="0"/>
        <w:rPr>
          <w:sz w:val="20"/>
          <w:szCs w:val="20"/>
          <w:color w:val="auto"/>
        </w:rPr>
      </w:pPr>
      <w:r>
        <w:rPr>
          <w:rFonts w:ascii="Arial" w:cs="Arial" w:eastAsia="Arial" w:hAnsi="Arial"/>
          <w:sz w:val="22"/>
          <w:szCs w:val="22"/>
          <w:color w:val="auto"/>
        </w:rPr>
        <w:t>Lubbock, Texas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Consolidated Financial Statements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have audited the accompanying consolidated balance sheets of South Plains Financial, Inc. and Subsidiaries (the “Company”) as of December 31, 2020 and 2019, and the related consolidated statements of comprehensive income, changes in stockholders’ equity, and cash flows for the years then ended, and the related notes to the consolidated financial statements (collectively referred to as the “financial statements”). In our opinion, the consolidated financial statements present fairly, in all material respects, the financial position of the Company as of December 31, 2020 and 2019, and the results of its operations and its cash flows for each of the years then ended,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South Plains Financial,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 WEAVER AND TIDWELL,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South Plains Financial, Inc.’s auditor since 2018.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Fort Worth,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10, 2021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8"/>
        </w:trPr>
        <w:tc>
          <w:tcPr>
            <w:tcW w:w="6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(In thousands</w:t>
            </w:r>
          </w:p>
        </w:tc>
        <w:tc>
          <w:tcPr>
            <w:tcW w:w="13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88"/>
              </w:rPr>
              <w:t>except per share</w:t>
            </w:r>
          </w:p>
        </w:tc>
        <w:tc>
          <w:tcPr>
            <w:tcW w:w="100" w:type="dxa"/>
            <w:vAlign w:val="bottom"/>
          </w:tcPr>
          <w:p>
            <w:pPr>
              <w:spacing w:after="0"/>
              <w:rPr>
                <w:sz w:val="17"/>
                <w:szCs w:val="17"/>
                <w:color w:val="auto"/>
              </w:rPr>
            </w:pPr>
          </w:p>
        </w:tc>
      </w:tr>
      <w:tr>
        <w:trPr>
          <w:trHeight w:val="194"/>
        </w:trPr>
        <w:tc>
          <w:tcPr>
            <w:tcW w:w="8680" w:type="dxa"/>
            <w:vAlign w:val="bottom"/>
            <w:gridSpan w:val="3"/>
          </w:tcPr>
          <w:p>
            <w:pPr>
              <w:spacing w:after="0" w:line="194"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6"/>
                <w:szCs w:val="16"/>
                <w:color w:val="auto"/>
              </w:rPr>
            </w:pPr>
          </w:p>
        </w:tc>
        <w:tc>
          <w:tcPr>
            <w:tcW w:w="1340" w:type="dxa"/>
            <w:vAlign w:val="bottom"/>
            <w:gridSpan w:val="3"/>
          </w:tcPr>
          <w:p>
            <w:pPr>
              <w:jc w:val="right"/>
              <w:ind w:right="70"/>
              <w:spacing w:after="0" w:line="194" w:lineRule="exact"/>
              <w:rPr>
                <w:sz w:val="20"/>
                <w:szCs w:val="20"/>
                <w:color w:val="auto"/>
              </w:rPr>
            </w:pPr>
            <w:r>
              <w:rPr>
                <w:rFonts w:ascii="Arial" w:cs="Arial" w:eastAsia="Arial" w:hAnsi="Arial"/>
                <w:sz w:val="18"/>
                <w:szCs w:val="18"/>
                <w:b w:val="1"/>
                <w:bCs w:val="1"/>
                <w:color w:val="auto"/>
              </w:rPr>
              <w:t>data)</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76,146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56,246</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Interest-bearing deposits in banks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224,161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101,853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707,650</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111,477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49,035</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2,143,623</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(45,553)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(24,197)</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15,233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13,924</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60,331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61,873</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70,731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69,397</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19,508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5,619</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23,384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22,701</w:t>
            </w:r>
          </w:p>
        </w:tc>
      </w:tr>
      <w:tr>
        <w:trPr>
          <w:trHeight w:val="257"/>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3,599,160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917,322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790,921</w:t>
            </w: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2,057,029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deposits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2,974,351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2,696,857</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26,550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37,165</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29,098</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75,589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46,393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3,229,112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2,930,985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3"/>
              </w:rPr>
              <w:t>Common stock, $1 par value, 30,000,000 shares authorized; 18,076,364 issued in 2020 and 18,036,115 issued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00" w:type="dxa"/>
            <w:vAlign w:val="bottom"/>
            <w:gridSpan w:val="2"/>
          </w:tcPr>
          <w:p>
            <w:pPr>
              <w:ind w:left="340"/>
              <w:spacing w:after="0"/>
              <w:rPr>
                <w:sz w:val="20"/>
                <w:szCs w:val="20"/>
                <w:color w:val="auto"/>
              </w:rPr>
            </w:pPr>
            <w:r>
              <w:rPr>
                <w:rFonts w:ascii="Arial" w:cs="Arial" w:eastAsia="Arial" w:hAnsi="Arial"/>
                <w:sz w:val="18"/>
                <w:szCs w:val="18"/>
                <w:color w:val="auto"/>
              </w:rPr>
              <w:t>2019</w:t>
            </w: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18,076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18,036</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141,112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140,492</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189,521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146,696</w:t>
            </w:r>
          </w:p>
        </w:tc>
      </w:tr>
      <w:tr>
        <w:trPr>
          <w:trHeight w:val="223"/>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21,339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23"/>
        </w:trPr>
        <w:tc>
          <w:tcPr>
            <w:tcW w:w="86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370,048</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306,182</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3,599,160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STATEMENTS OF COMPREHENSIVE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(In thousands</w:t>
            </w:r>
          </w:p>
        </w:tc>
        <w:tc>
          <w:tcPr>
            <w:tcW w:w="13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88"/>
              </w:rPr>
              <w:t>except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0"/>
                <w:szCs w:val="20"/>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data)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including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Non taxable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funds sold and interest-bearing deposits in banks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132,942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expense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104,575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insurance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gain on sales of loans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Realized gain on sale of securities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Fiduciary fees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101,603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56,633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Noninterest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75,392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Occupancy and equipment,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Bank card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14,592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STATEMENTS OF COMPREHENSIVE INCOME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Years Ended December 31,</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8"/>
        </w:trPr>
        <w:tc>
          <w:tcPr>
            <w:tcW w:w="868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(In thousands</w:t>
            </w:r>
          </w:p>
        </w:tc>
        <w:tc>
          <w:tcPr>
            <w:tcW w:w="13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88"/>
              </w:rPr>
              <w:t>except per share</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data)</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45,353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net unrealized gain (loss) on securities available for sale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net gain (loss) on cash flow hedges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Reclassification adjustment for (gain) loss included in net income</w:t>
            </w:r>
          </w:p>
        </w:tc>
        <w:tc>
          <w:tcPr>
            <w:tcW w:w="1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(2,318)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w:t>
            </w:r>
          </w:p>
        </w:tc>
      </w:tr>
      <w:tr>
        <w:trPr>
          <w:trHeight w:val="223"/>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STATEMENTS OF CHANGES IN STOCKHOLDERS’ EQUITY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Years Ended December 31, 2020 and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4"/>
              </w:rPr>
              <w:t>Less: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40" w:type="dxa"/>
            <w:vAlign w:val="bottom"/>
            <w:gridSpan w:val="6"/>
            <w:vMerge w:val="restart"/>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1100" w:type="dxa"/>
            <w:vAlign w:val="bottom"/>
            <w:gridSpan w:val="2"/>
          </w:tcPr>
          <w:p>
            <w:pPr>
              <w:jc w:val="right"/>
              <w:ind w:right="156"/>
              <w:spacing w:after="0"/>
              <w:rPr>
                <w:sz w:val="20"/>
                <w:szCs w:val="20"/>
                <w:color w:val="auto"/>
              </w:rPr>
            </w:pPr>
            <w:r>
              <w:rPr>
                <w:rFonts w:ascii="Arial" w:cs="Arial" w:eastAsia="Arial" w:hAnsi="Arial"/>
                <w:sz w:val="18"/>
                <w:szCs w:val="18"/>
                <w:b w:val="1"/>
                <w:bCs w:val="1"/>
                <w:color w:val="auto"/>
                <w:w w:val="95"/>
              </w:rPr>
              <w:t>Additional</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5"/>
              </w:rPr>
              <w:t>ESOP</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240" w:type="dxa"/>
            <w:vAlign w:val="bottom"/>
            <w:gridSpan w:val="6"/>
            <w:vMerge w:val="continue"/>
          </w:tcPr>
          <w:p>
            <w:pPr>
              <w:spacing w:after="0"/>
              <w:rPr>
                <w:sz w:val="18"/>
                <w:szCs w:val="18"/>
                <w:color w:val="auto"/>
              </w:rPr>
            </w:pPr>
          </w:p>
        </w:tc>
        <w:tc>
          <w:tcPr>
            <w:tcW w:w="1100" w:type="dxa"/>
            <w:vAlign w:val="bottom"/>
            <w:gridSpan w:val="2"/>
          </w:tcPr>
          <w:p>
            <w:pPr>
              <w:jc w:val="right"/>
              <w:ind w:right="296"/>
              <w:spacing w:after="0"/>
              <w:rPr>
                <w:sz w:val="20"/>
                <w:szCs w:val="20"/>
                <w:color w:val="auto"/>
              </w:rPr>
            </w:pPr>
            <w:r>
              <w:rPr>
                <w:rFonts w:ascii="Arial" w:cs="Arial" w:eastAsia="Arial" w:hAnsi="Arial"/>
                <w:sz w:val="18"/>
                <w:szCs w:val="18"/>
                <w:b w:val="1"/>
                <w:bCs w:val="1"/>
                <w:color w:val="auto"/>
              </w:rPr>
              <w:t>Paid-in</w:t>
            </w:r>
          </w:p>
        </w:tc>
        <w:tc>
          <w:tcPr>
            <w:tcW w:w="1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Retained</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Owned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120" w:type="dxa"/>
            <w:vAlign w:val="bottom"/>
            <w:gridSpan w:val="2"/>
          </w:tcPr>
          <w:p>
            <w:pPr>
              <w:jc w:val="right"/>
              <w:spacing w:after="0"/>
              <w:rPr>
                <w:sz w:val="20"/>
                <w:szCs w:val="20"/>
                <w:color w:val="auto"/>
              </w:rPr>
            </w:pPr>
            <w:r>
              <w:rPr>
                <w:rFonts w:ascii="Arial" w:cs="Arial" w:eastAsia="Arial" w:hAnsi="Arial"/>
                <w:sz w:val="17"/>
                <w:szCs w:val="17"/>
                <w:b w:val="1"/>
                <w:bCs w:val="1"/>
                <w:color w:val="auto"/>
                <w:w w:val="73"/>
              </w:rPr>
              <w:t>thousands, except</w:t>
            </w:r>
          </w:p>
        </w:tc>
        <w:tc>
          <w:tcPr>
            <w:tcW w:w="16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w w:val="97"/>
              </w:rPr>
              <w:t>share data)</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14,771,520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80,412</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119,834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(58,195)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154,580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Issuance of common stock, net</w:t>
            </w:r>
          </w:p>
        </w:tc>
        <w:tc>
          <w:tcPr>
            <w:tcW w:w="920" w:type="dxa"/>
            <w:vAlign w:val="bottom"/>
          </w:tcPr>
          <w:p>
            <w:pPr>
              <w:jc w:val="right"/>
              <w:spacing w:after="0"/>
              <w:rPr>
                <w:sz w:val="20"/>
                <w:szCs w:val="20"/>
                <w:color w:val="auto"/>
              </w:rPr>
            </w:pPr>
            <w:r>
              <w:rPr>
                <w:rFonts w:ascii="Arial" w:cs="Arial" w:eastAsia="Arial" w:hAnsi="Arial"/>
                <w:sz w:val="18"/>
                <w:szCs w:val="18"/>
                <w:color w:val="auto"/>
              </w:rPr>
              <w:t>3,207,000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3,207</w:t>
            </w: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48,185</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29,220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 $0.06 per share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8"/>
              </w:rPr>
              <w:t>Other comprehensive income, (net of tax)</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18"/>
                <w:szCs w:val="18"/>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Terminated ESOP put option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58,195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6"/>
              </w:rPr>
              <w:t>Exercise of employee stock options, net of</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2"/>
              </w:rPr>
              <w:t>111,011 shares for cashless exercise and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net of 18,894 shares for taxes</w:t>
            </w:r>
          </w:p>
        </w:tc>
        <w:tc>
          <w:tcPr>
            <w:tcW w:w="920" w:type="dxa"/>
            <w:vAlign w:val="bottom"/>
          </w:tcPr>
          <w:p>
            <w:pPr>
              <w:jc w:val="right"/>
              <w:spacing w:after="0"/>
              <w:rPr>
                <w:sz w:val="20"/>
                <w:szCs w:val="20"/>
                <w:color w:val="auto"/>
              </w:rPr>
            </w:pPr>
            <w:r>
              <w:rPr>
                <w:rFonts w:ascii="Arial" w:cs="Arial" w:eastAsia="Arial" w:hAnsi="Arial"/>
                <w:sz w:val="18"/>
                <w:szCs w:val="18"/>
                <w:color w:val="auto"/>
              </w:rPr>
              <w:t>57,595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100" w:type="dxa"/>
            <w:vAlign w:val="bottom"/>
            <w:gridSpan w:val="2"/>
          </w:tcPr>
          <w:p>
            <w:pPr>
              <w:jc w:val="right"/>
              <w:ind w:right="76"/>
              <w:spacing w:after="0"/>
              <w:rPr>
                <w:sz w:val="20"/>
                <w:szCs w:val="20"/>
                <w:color w:val="auto"/>
              </w:rPr>
            </w:pPr>
            <w:r>
              <w:rPr>
                <w:rFonts w:ascii="Arial" w:cs="Arial" w:eastAsia="Arial" w:hAnsi="Arial"/>
                <w:sz w:val="18"/>
                <w:szCs w:val="18"/>
                <w:color w:val="auto"/>
              </w:rPr>
              <w:t>(408)</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853</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Share-based liability awards modified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equity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11,450</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Cumulative change in accounting principle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(1,279)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18,036,115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18,036</w:t>
            </w: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140,492</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146,696</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306,182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 $0.14 per share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(2,528)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8"/>
              </w:rPr>
              <w:t>Other comprehensive income, (net of tax)</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20,381</w:t>
            </w:r>
          </w:p>
        </w:tc>
        <w:tc>
          <w:tcPr>
            <w:tcW w:w="120" w:type="dxa"/>
            <w:vAlign w:val="bottom"/>
          </w:tcPr>
          <w:p>
            <w:pPr>
              <w:spacing w:after="0"/>
              <w:rPr>
                <w:sz w:val="18"/>
                <w:szCs w:val="18"/>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20,381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Exercise of employee stock options, net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69,855 shares for cashless exercise and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17,762 shares for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1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(378)</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(19,035)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ind w:right="76"/>
              <w:spacing w:after="0"/>
              <w:rPr>
                <w:sz w:val="20"/>
                <w:szCs w:val="20"/>
                <w:color w:val="auto"/>
              </w:rPr>
            </w:pPr>
            <w:r>
              <w:rPr>
                <w:rFonts w:ascii="Arial" w:cs="Arial" w:eastAsia="Arial" w:hAnsi="Arial"/>
                <w:sz w:val="18"/>
                <w:szCs w:val="18"/>
                <w:color w:val="auto"/>
              </w:rPr>
              <w:t>(274)</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1,272</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18,076,364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18,076</w:t>
            </w: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w w:val="95"/>
              </w:rPr>
              <w:t>$   141,112</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   189,521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21,339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370,048</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Years Ended December 31,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w w:val="91"/>
              </w:rPr>
              <w:t>(In thousands except per share data)</w:t>
            </w:r>
          </w:p>
        </w:tc>
        <w:tc>
          <w:tcPr>
            <w:tcW w:w="0" w:type="dxa"/>
            <w:vAlign w:val="bottom"/>
          </w:tcPr>
          <w:p>
            <w:pPr>
              <w:spacing w:after="0"/>
              <w:rPr>
                <w:sz w:val="1"/>
                <w:szCs w:val="1"/>
                <w:color w:val="auto"/>
              </w:rPr>
            </w:pPr>
          </w:p>
        </w:tc>
      </w:tr>
      <w:tr>
        <w:trPr>
          <w:trHeight w:val="198"/>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45,353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29,220</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25,570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and amortization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Other (gains) losses, net</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(2,539)</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(63,531)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1,434,173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652,216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(1,442,913)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(640,680)</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Earnings on bank-owned life insurance</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(1,334)</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Change in valuation of mortgage servicing rights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500"/>
              <w:spacing w:after="0"/>
              <w:rPr>
                <w:sz w:val="20"/>
                <w:szCs w:val="20"/>
                <w:color w:val="auto"/>
              </w:rPr>
            </w:pPr>
            <w:r>
              <w:rPr>
                <w:rFonts w:ascii="Arial" w:cs="Arial" w:eastAsia="Arial" w:hAnsi="Arial"/>
                <w:sz w:val="18"/>
                <w:szCs w:val="18"/>
                <w:color w:val="auto"/>
              </w:rPr>
              <w:t>Accrued interest receivable and other assets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1,611</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Net cash from operating activities</w:t>
            </w: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5,627</w:t>
            </w:r>
          </w:p>
        </w:tc>
        <w:tc>
          <w:tcPr>
            <w:tcW w:w="24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Activity in securities available for sale: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(279,727)</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(489,032)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94,514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52,495</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Maturities, prepayments, and calls</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114,850</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139,255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originations and principal collections,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(84,991)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Cash paid for acquisition</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(687)</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received in business combinations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78,171</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Goodwill adjustment related to litigation settlement</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premises and equipment,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Proceeds from sales of premises and equipment</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sales of foreclosed assets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500"/>
              <w:spacing w:after="0"/>
              <w:rPr>
                <w:sz w:val="20"/>
                <w:szCs w:val="20"/>
                <w:color w:val="auto"/>
              </w:rPr>
            </w:pPr>
            <w:r>
              <w:rPr>
                <w:rFonts w:ascii="Arial" w:cs="Arial" w:eastAsia="Arial" w:hAnsi="Arial"/>
                <w:sz w:val="18"/>
                <w:szCs w:val="18"/>
                <w:color w:val="auto"/>
              </w:rPr>
              <w:t>Net cash from investing activities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(156,228)</w:t>
            </w: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(213,493)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deposits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277,494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33,227</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(10,615)</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19,460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issuance,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Proceeds from subordinated debt issuance, net</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49,070</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to tax authorities for stock-based compensation</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Proceeds from notes payable and other borrowings</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made on notes payable and other borrowings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Cash dividends on common stock</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(2,528)</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to repurchase common stock</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Net cash from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292,809</w:t>
            </w:r>
          </w:p>
        </w:tc>
        <w:tc>
          <w:tcPr>
            <w:tcW w:w="24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95,119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142,208</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(87,890)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300,307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158,099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 on deposits and borrowed funds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28,125</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13,513</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Loans transferred to foreclosed assets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 measurement period adjustment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Additions to mortgage servicing rights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900" w:h="16838" w:orient="portrait"/>
          <w:cols w:equalWidth="0" w:num="1">
            <w:col w:w="11240"/>
          </w:cols>
          <w:pgMar w:left="320" w:top="121" w:right="339" w:bottom="976"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76" w:gutter="0" w:footer="0" w:header="0"/>
          <w:type w:val="continuous"/>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(Dollar in </w:t>
      </w:r>
      <w:r>
        <w:rPr>
          <w:rFonts w:ascii="Arial" w:cs="Arial" w:eastAsia="Arial" w:hAnsi="Arial"/>
          <w:sz w:val="22"/>
          <w:szCs w:val="22"/>
          <w:i w:val="1"/>
          <w:iCs w:val="1"/>
          <w:color w:val="auto"/>
        </w:rPr>
        <w:t>thousand</w:t>
      </w:r>
      <w:r>
        <w:rPr>
          <w:rFonts w:ascii="Arial" w:cs="Arial" w:eastAsia="Arial" w:hAnsi="Arial"/>
          <w:sz w:val="22"/>
          <w:szCs w:val="22"/>
          <w:b w:val="1"/>
          <w:bCs w:val="1"/>
          <w:i w:val="1"/>
          <w:iCs w:val="1"/>
          <w:color w:val="auto"/>
        </w:rPr>
        <w:t>s except per share data)</w:t>
      </w:r>
    </w:p>
    <w:p>
      <w:pPr>
        <w:spacing w:after="0" w:line="22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u w:val="single" w:color="auto"/>
          <w:color w:val="auto"/>
        </w:rPr>
        <w:t>Nature of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 South Plains Financial, Inc. (“SPFI”) is a Texas bank holding company that conducts its principal</w:t>
      </w:r>
      <w:r>
        <w:rPr>
          <w:rFonts w:ascii="Arial" w:cs="Arial" w:eastAsia="Arial" w:hAnsi="Arial"/>
          <w:sz w:val="19"/>
          <w:szCs w:val="19"/>
          <w:i w:val="1"/>
          <w:iCs w:val="1"/>
          <w:color w:val="auto"/>
        </w:rPr>
        <w:t xml:space="preserve"> </w:t>
      </w:r>
      <w:r>
        <w:rPr>
          <w:rFonts w:ascii="Arial" w:cs="Arial" w:eastAsia="Arial" w:hAnsi="Arial"/>
          <w:sz w:val="19"/>
          <w:szCs w:val="19"/>
          <w:color w:val="auto"/>
        </w:rPr>
        <w:t>activities through its subsidiaries from offices located throughout Texas and Eastern New Mexico. Principal activities include commercial and retail banking, along with insurance, investment, trust, and mortgage services. Subsidiaries of SPFI follow: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Wholly Owned, Consolidated Subsidiaries:</w:t>
            </w:r>
          </w:p>
        </w:tc>
        <w:tc>
          <w:tcPr>
            <w:tcW w:w="6460" w:type="dxa"/>
            <w:vAlign w:val="bottom"/>
          </w:tcPr>
          <w:p>
            <w:pPr>
              <w:spacing w:after="0"/>
              <w:rPr>
                <w:sz w:val="20"/>
                <w:szCs w:val="20"/>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City Bank</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Windmark Insurance Agency, Inc.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Ruidoso Retail, Inc.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CB Provence,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Brushy Creek, LLC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CBT Properties,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Wholly Owned, Equity Method Subsidiaries:</w:t>
            </w:r>
          </w:p>
        </w:tc>
        <w:tc>
          <w:tcPr>
            <w:tcW w:w="6460" w:type="dxa"/>
            <w:vAlign w:val="bottom"/>
            <w:shd w:val="clear" w:color="auto" w:fill="CCEEFF"/>
          </w:tcPr>
          <w:p>
            <w:pPr>
              <w:spacing w:after="0"/>
              <w:rPr>
                <w:sz w:val="18"/>
                <w:szCs w:val="18"/>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subsidiaries</w:t>
            </w:r>
          </w:p>
        </w:tc>
      </w:tr>
    </w:tbl>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Basis of Presentation and Consolidation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consolidated financial statements (“CFS”) include the accounts of SPFI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wholly owned consolidated subsidiaries (collectively referred to as the “Company”) identified above. All significant intercompany balances and transactions have been eliminated in consolidation.</w:t>
      </w:r>
    </w:p>
    <w:p>
      <w:pPr>
        <w:spacing w:after="0" w:line="21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The Company’s CFS are prepared and presented in accordance with generally accepted accounting principles (“GAAP”) in the U.S. </w:t>
      </w:r>
      <w:r>
        <w:rPr>
          <w:rFonts w:ascii="Arial" w:cs="Arial" w:eastAsia="Arial" w:hAnsi="Arial"/>
          <w:sz w:val="22"/>
          <w:szCs w:val="22"/>
          <w:i w:val="1"/>
          <w:iCs w:val="1"/>
          <w:color w:val="auto"/>
        </w:rPr>
        <w:t>Financial Accounting Standards Board (“FASB”) Accounting Standards Codification (“ASC”)</w:t>
      </w:r>
      <w:r>
        <w:rPr>
          <w:rFonts w:ascii="Arial" w:cs="Arial" w:eastAsia="Arial" w:hAnsi="Arial"/>
          <w:sz w:val="22"/>
          <w:szCs w:val="22"/>
          <w:color w:val="auto"/>
        </w:rPr>
        <w:t xml:space="preserve"> constitutes U.S. GAAP for nongovernmental entities.</w:t>
      </w:r>
    </w:p>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Company evaluated subsequent events for potential recognition and/or disclosure through the date the CFS were available to be issued.</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u w:val="single" w:color="auto"/>
          <w:color w:val="auto"/>
        </w:rPr>
        <w:t>Use of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 The preparation of financial statements in conformity with GAAP requires management to make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valuation of foreclosed assets, stock-based compensation and fair values of financial instruments can also involve significant management estimates.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Change in Capital Structure</w:t>
      </w:r>
      <w:r>
        <w:rPr>
          <w:rFonts w:ascii="Arial" w:cs="Arial" w:eastAsia="Arial" w:hAnsi="Arial"/>
          <w:sz w:val="22"/>
          <w:szCs w:val="22"/>
          <w:i w:val="1"/>
          <w:iCs w:val="1"/>
          <w:color w:val="auto"/>
        </w:rPr>
        <w:t xml:space="preserve"> </w:t>
      </w:r>
      <w:r>
        <w:rPr>
          <w:rFonts w:ascii="Arial" w:cs="Arial" w:eastAsia="Arial" w:hAnsi="Arial"/>
          <w:sz w:val="22"/>
          <w:szCs w:val="22"/>
          <w:color w:val="auto"/>
        </w:rPr>
        <w:t>– On March 11, 2019, the Company amended and restated its Certificate of Formation.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and Restated Certificate of Formation increased the number of authorized shares of common stock, par value $1.00 per share, from 1,000,000 to 30,000,000.</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completed a 29-to-1 stock split of the Company’s outstanding shares of common stock for shareholders of record as of March 11, 2019. The stock split was payable in the form of a dividend on or about March 11, 2019. Shareholders received 29 additional shares for each share held as of the record date. All share and per share amounts in the CFS have been retroactively adjusted to reflect this stock split for all periods presented.</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Stock Offering</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consummated the underwritten initial public offering of its common stock in May 2019.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initial public offering, the Company issued and sold 3,207,000 shares of its common stock, including 507,000 shares of common stock pursuant to the underwriters’ full exercise of their option to purchase additional shares at a public offering price of $17.50 per share, for aggregate gross proceeds of $56.1 million before deducting underwriting discounts and offering expenses, for aggregate net proceeds of $51.4.</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Concentration of Credit Risk</w:t>
      </w:r>
      <w:r>
        <w:rPr>
          <w:rFonts w:ascii="Arial" w:cs="Arial" w:eastAsia="Arial" w:hAnsi="Arial"/>
          <w:sz w:val="22"/>
          <w:szCs w:val="22"/>
          <w:i w:val="1"/>
          <w:iCs w:val="1"/>
          <w:color w:val="auto"/>
        </w:rPr>
        <w:t xml:space="preserve"> </w:t>
      </w:r>
      <w:r>
        <w:rPr>
          <w:rFonts w:ascii="Arial" w:cs="Arial" w:eastAsia="Arial" w:hAnsi="Arial"/>
          <w:sz w:val="22"/>
          <w:szCs w:val="22"/>
          <w:color w:val="auto"/>
        </w:rPr>
        <w:t>– The bank subsidiary is primarily involved in real estate, commercial, agricultural, and consumer</w:t>
      </w:r>
      <w:r>
        <w:rPr>
          <w:rFonts w:ascii="Arial" w:cs="Arial" w:eastAsia="Arial" w:hAnsi="Arial"/>
          <w:sz w:val="22"/>
          <w:szCs w:val="22"/>
          <w:i w:val="1"/>
          <w:iCs w:val="1"/>
          <w:color w:val="auto"/>
        </w:rPr>
        <w:t xml:space="preserve"> </w:t>
      </w:r>
      <w:r>
        <w:rPr>
          <w:rFonts w:ascii="Arial" w:cs="Arial" w:eastAsia="Arial" w:hAnsi="Arial"/>
          <w:sz w:val="22"/>
          <w:szCs w:val="22"/>
          <w:color w:val="auto"/>
        </w:rPr>
        <w:t>lending activities with 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Risks and Uncertainties</w:t>
      </w:r>
      <w:r>
        <w:rPr>
          <w:rFonts w:ascii="Arial" w:cs="Arial" w:eastAsia="Arial" w:hAnsi="Arial"/>
          <w:sz w:val="22"/>
          <w:szCs w:val="22"/>
          <w:i w:val="1"/>
          <w:iCs w:val="1"/>
          <w:color w:val="auto"/>
        </w:rPr>
        <w:t xml:space="preserve"> </w:t>
      </w:r>
      <w:r>
        <w:rPr>
          <w:rFonts w:ascii="Arial" w:cs="Arial" w:eastAsia="Arial" w:hAnsi="Arial"/>
          <w:sz w:val="22"/>
          <w:szCs w:val="22"/>
          <w:color w:val="auto"/>
        </w:rPr>
        <w:t>– The full extent of the operational and financial impact the ongoing COVID-19 pandemic may have on</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is not known and is dependent on its duration and spread, any related operational restrictions and the overall economy. The Company is unable to accurately predict how COVID-19 will affect the results of its operations because the virus’s severity and the duration of the pandemic are uncertain.</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Comprehensive Income</w:t>
      </w:r>
      <w:r>
        <w:rPr>
          <w:rFonts w:ascii="Arial" w:cs="Arial" w:eastAsia="Arial" w:hAnsi="Arial"/>
          <w:sz w:val="22"/>
          <w:szCs w:val="22"/>
          <w:i w:val="1"/>
          <w:iCs w:val="1"/>
          <w:color w:val="auto"/>
        </w:rPr>
        <w:t xml:space="preserve"> </w:t>
      </w:r>
      <w:r>
        <w:rPr>
          <w:rFonts w:ascii="Arial" w:cs="Arial" w:eastAsia="Arial" w:hAnsi="Arial"/>
          <w:sz w:val="22"/>
          <w:szCs w:val="22"/>
          <w:color w:val="auto"/>
        </w:rPr>
        <w:t>– Comprehensive income is comprised of net income or loss and other comprehensive income or loss</w:t>
      </w:r>
      <w:r>
        <w:rPr>
          <w:rFonts w:ascii="Arial" w:cs="Arial" w:eastAsia="Arial" w:hAnsi="Arial"/>
          <w:sz w:val="22"/>
          <w:szCs w:val="22"/>
          <w:i w:val="1"/>
          <w:iCs w:val="1"/>
          <w:color w:val="auto"/>
        </w:rPr>
        <w:t xml:space="preserve"> </w:t>
      </w:r>
      <w:r>
        <w:rPr>
          <w:rFonts w:ascii="Arial" w:cs="Arial" w:eastAsia="Arial" w:hAnsi="Arial"/>
          <w:sz w:val="22"/>
          <w:szCs w:val="22"/>
          <w:color w:val="auto"/>
        </w:rPr>
        <w:t>(“OCI”). Relevant examples of OCI items are unrealized holding gains and losses on securities available for sale, subsequent decreases (if not an other-than-temporary impairment) or increases in the fair value of securities available for sale previously written down as impaired, and net gains and losses on cash flow hedges.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u w:val="single" w:color="auto"/>
          <w:color w:val="auto"/>
        </w:rPr>
        <w:t>Cash and Cash Equivalents</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includes all cash on hand, balances due from other banks, and federal funds sold, all</w:t>
      </w:r>
      <w:r>
        <w:rPr>
          <w:rFonts w:ascii="Arial" w:cs="Arial" w:eastAsia="Arial" w:hAnsi="Arial"/>
          <w:sz w:val="21"/>
          <w:szCs w:val="21"/>
          <w:i w:val="1"/>
          <w:iCs w:val="1"/>
          <w:color w:val="auto"/>
        </w:rPr>
        <w:t xml:space="preserve"> </w:t>
      </w:r>
      <w:r>
        <w:rPr>
          <w:rFonts w:ascii="Arial" w:cs="Arial" w:eastAsia="Arial" w:hAnsi="Arial"/>
          <w:sz w:val="21"/>
          <w:szCs w:val="21"/>
          <w:color w:val="auto"/>
        </w:rPr>
        <w:t>of which have original maturities within three months, as cash and cash equivalents in the accompanying CFS. Federal regulations require the bank subsidiary to set aside specified amounts of cash as reserves against transaction and time deposits, which fluctuate daily. These reserves may be held as cash on hand or on deposit with a district Federal Reserve Bank. Management believes that the bank subsidiary complies with these requirements.</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u w:val="single" w:color="auto"/>
          <w:color w:val="auto"/>
        </w:rPr>
        <w:t>Securities</w:t>
      </w:r>
      <w:r>
        <w:rPr>
          <w:rFonts w:ascii="Arial" w:cs="Arial" w:eastAsia="Arial" w:hAnsi="Arial"/>
          <w:sz w:val="21"/>
          <w:szCs w:val="21"/>
          <w:i w:val="1"/>
          <w:iCs w:val="1"/>
          <w:color w:val="auto"/>
        </w:rPr>
        <w:t xml:space="preserve"> </w:t>
      </w:r>
      <w:r>
        <w:rPr>
          <w:rFonts w:ascii="Arial" w:cs="Arial" w:eastAsia="Arial" w:hAnsi="Arial"/>
          <w:sz w:val="21"/>
          <w:szCs w:val="21"/>
          <w:color w:val="auto"/>
        </w:rPr>
        <w:t>– Investment securities may be classified into trading, held to maturity (“HTM”) or available for sale (“AFS”)</w:t>
      </w:r>
      <w:r>
        <w:rPr>
          <w:rFonts w:ascii="Arial" w:cs="Arial" w:eastAsia="Arial" w:hAnsi="Arial"/>
          <w:sz w:val="21"/>
          <w:szCs w:val="21"/>
          <w:i w:val="1"/>
          <w:iCs w:val="1"/>
          <w:color w:val="auto"/>
        </w:rPr>
        <w:t xml:space="preserve"> </w:t>
      </w:r>
      <w:r>
        <w:rPr>
          <w:rFonts w:ascii="Arial" w:cs="Arial" w:eastAsia="Arial" w:hAnsi="Arial"/>
          <w:sz w:val="21"/>
          <w:szCs w:val="21"/>
          <w:color w:val="auto"/>
        </w:rPr>
        <w:t>portfolios. Securities that are held principally for resale in the near term are classified as trading. 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OCI.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Nonmarketable Equity Securities</w:t>
      </w:r>
      <w:r>
        <w:rPr>
          <w:rFonts w:ascii="Arial" w:cs="Arial" w:eastAsia="Arial" w:hAnsi="Arial"/>
          <w:sz w:val="22"/>
          <w:szCs w:val="22"/>
          <w:i w:val="1"/>
          <w:iCs w:val="1"/>
          <w:color w:val="auto"/>
        </w:rPr>
        <w:t xml:space="preserve"> </w:t>
      </w:r>
      <w:r>
        <w:rPr>
          <w:rFonts w:ascii="Arial" w:cs="Arial" w:eastAsia="Arial" w:hAnsi="Arial"/>
          <w:sz w:val="22"/>
          <w:szCs w:val="22"/>
          <w:color w:val="auto"/>
        </w:rPr>
        <w:t>– Securities with limited marketability, such as stock in the Federal Home Loan Bank of Dallas</w:t>
      </w:r>
      <w:r>
        <w:rPr>
          <w:rFonts w:ascii="Arial" w:cs="Arial" w:eastAsia="Arial" w:hAnsi="Arial"/>
          <w:sz w:val="22"/>
          <w:szCs w:val="22"/>
          <w:i w:val="1"/>
          <w:iCs w:val="1"/>
          <w:color w:val="auto"/>
        </w:rPr>
        <w:t xml:space="preserve"> </w:t>
      </w:r>
      <w:r>
        <w:rPr>
          <w:rFonts w:ascii="Arial" w:cs="Arial" w:eastAsia="Arial" w:hAnsi="Arial"/>
          <w:sz w:val="22"/>
          <w:szCs w:val="22"/>
          <w:color w:val="auto"/>
        </w:rPr>
        <w:t>(“FHLB”), are carried at cost and are reported in other assets. The Company monitors its investment in FHLB stock for impairment through a review of recent financial results of the FHLB including reviewing the capital adequacy and liquidity position. The Company has not identified any indicators of impairment of FHLB stock.</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Loans</w:t>
      </w:r>
      <w:r>
        <w:rPr>
          <w:rFonts w:ascii="Arial" w:cs="Arial" w:eastAsia="Arial" w:hAnsi="Arial"/>
          <w:sz w:val="19"/>
          <w:szCs w:val="19"/>
          <w:i w:val="1"/>
          <w:iCs w:val="1"/>
          <w:color w:val="auto"/>
        </w:rPr>
        <w:t xml:space="preserve"> </w:t>
      </w:r>
      <w:r>
        <w:rPr>
          <w:rFonts w:ascii="Arial" w:cs="Arial" w:eastAsia="Arial" w:hAnsi="Arial"/>
          <w:sz w:val="19"/>
          <w:szCs w:val="19"/>
          <w:color w:val="auto"/>
        </w:rPr>
        <w:t>– Loans that management has the intent and ability to hold for the foreseeable future or until maturity or payoff are</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u w:val="single" w:color="auto"/>
          <w:color w:val="auto"/>
        </w:rPr>
        <w:t>Allowance for Loan Losses</w:t>
      </w:r>
      <w:r>
        <w:rPr>
          <w:rFonts w:ascii="Arial" w:cs="Arial" w:eastAsia="Arial" w:hAnsi="Arial"/>
          <w:sz w:val="22"/>
          <w:szCs w:val="22"/>
          <w:i w:val="1"/>
          <w:iCs w:val="1"/>
          <w:color w:val="auto"/>
        </w:rPr>
        <w:t xml:space="preserve"> </w:t>
      </w:r>
      <w:r>
        <w:rPr>
          <w:rFonts w:ascii="Arial" w:cs="Arial" w:eastAsia="Arial" w:hAnsi="Arial"/>
          <w:sz w:val="22"/>
          <w:szCs w:val="22"/>
          <w:color w:val="auto"/>
        </w:rPr>
        <w:t>– The allowance for loan losses is established by management as an estimate to cover probable credit</w:t>
      </w:r>
      <w:r>
        <w:rPr>
          <w:rFonts w:ascii="Arial" w:cs="Arial" w:eastAsia="Arial" w:hAnsi="Arial"/>
          <w:sz w:val="22"/>
          <w:szCs w:val="22"/>
          <w:i w:val="1"/>
          <w:iCs w:val="1"/>
          <w:color w:val="auto"/>
        </w:rPr>
        <w:t xml:space="preserve"> </w:t>
      </w:r>
      <w:r>
        <w:rPr>
          <w:rFonts w:ascii="Arial" w:cs="Arial" w:eastAsia="Arial" w:hAnsi="Arial"/>
          <w:sz w:val="22"/>
          <w:szCs w:val="22"/>
          <w:color w:val="auto"/>
        </w:rPr>
        <w:t>losses through a 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may modify its loan agreement with a borrower. The modification will be considered a troubled debt restructuring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Acquired Loans</w:t>
      </w:r>
      <w:r>
        <w:rPr>
          <w:rFonts w:ascii="Arial" w:cs="Arial" w:eastAsia="Arial" w:hAnsi="Arial"/>
          <w:sz w:val="22"/>
          <w:szCs w:val="22"/>
          <w:i w:val="1"/>
          <w:iCs w:val="1"/>
          <w:color w:val="auto"/>
        </w:rPr>
        <w:t xml:space="preserve"> </w:t>
      </w:r>
      <w:r>
        <w:rPr>
          <w:rFonts w:ascii="Arial" w:cs="Arial" w:eastAsia="Arial" w:hAnsi="Arial"/>
          <w:sz w:val="22"/>
          <w:szCs w:val="22"/>
          <w:color w:val="auto"/>
        </w:rPr>
        <w:t>– Loans that the Company acquires in connection with business combinations are recorded at fair value with no</w:t>
      </w:r>
      <w:r>
        <w:rPr>
          <w:rFonts w:ascii="Arial" w:cs="Arial" w:eastAsia="Arial" w:hAnsi="Arial"/>
          <w:sz w:val="22"/>
          <w:szCs w:val="22"/>
          <w:i w:val="1"/>
          <w:iCs w:val="1"/>
          <w:color w:val="auto"/>
        </w:rPr>
        <w:t xml:space="preserve"> </w:t>
      </w:r>
      <w:r>
        <w:rPr>
          <w:rFonts w:ascii="Arial" w:cs="Arial" w:eastAsia="Arial" w:hAnsi="Arial"/>
          <w:sz w:val="22"/>
          <w:szCs w:val="22"/>
          <w:color w:val="auto"/>
        </w:rPr>
        <w:t>carryover of the acquired 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ASC 310-30, </w:t>
      </w:r>
      <w:r>
        <w:rPr>
          <w:rFonts w:ascii="Arial" w:cs="Arial" w:eastAsia="Arial" w:hAnsi="Arial"/>
          <w:sz w:val="19"/>
          <w:szCs w:val="19"/>
          <w:i w:val="1"/>
          <w:iCs w:val="1"/>
          <w:color w:val="auto"/>
        </w:rPr>
        <w:t>Loans and Debt Securities Acquired with Deteriorated Credit Quality.</w:t>
      </w:r>
      <w:r>
        <w:rPr>
          <w:rFonts w:ascii="Arial" w:cs="Arial" w:eastAsia="Arial" w:hAnsi="Arial"/>
          <w:sz w:val="19"/>
          <w:szCs w:val="19"/>
          <w:color w:val="auto"/>
        </w:rPr>
        <w:t xml:space="preserve"> The nonaccretable discount includes estimated future credit losses expected to be 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Loans acquired through business combinations that meet the specific criteria of ASC 310-30 are individually evaluated each period to analyze expected cash flows. To the extent that the expected cash flows of a loan have decreased due to credit deterioration, the Company then establishes an allowance.</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Loans acquired through business combinations that do not meet the specific criteria of ASC 310-30 are accounted for under ASC 310-20. These loans are initially recorded at fair value, and include credit and interest rate marks associated with acquisition 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ectPr>
          <w:pgSz w:w="11900" w:h="16838" w:orient="portrait"/>
          <w:cols w:equalWidth="0" w:num="1">
            <w:col w:w="11240"/>
          </w:cols>
          <w:pgMar w:left="320" w:top="121" w:right="339" w:bottom="679"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9" w:gutter="0" w:footer="0" w:header="0"/>
          <w:type w:val="continuous"/>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Mortgage Servicing Rights</w:t>
      </w:r>
      <w:r>
        <w:rPr>
          <w:rFonts w:ascii="Arial" w:cs="Arial" w:eastAsia="Arial" w:hAnsi="Arial"/>
          <w:sz w:val="22"/>
          <w:szCs w:val="22"/>
          <w:i w:val="1"/>
          <w:iCs w:val="1"/>
          <w:color w:val="auto"/>
        </w:rPr>
        <w:t xml:space="preserve"> </w:t>
      </w:r>
      <w:r>
        <w:rPr>
          <w:rFonts w:ascii="Arial" w:cs="Arial" w:eastAsia="Arial" w:hAnsi="Arial"/>
          <w:sz w:val="22"/>
          <w:szCs w:val="22"/>
          <w:color w:val="auto"/>
        </w:rPr>
        <w:t>– When mortgage loans are sold with servicing retained, servicing rights are initially recorded at fair</w:t>
      </w:r>
      <w:r>
        <w:rPr>
          <w:rFonts w:ascii="Arial" w:cs="Arial" w:eastAsia="Arial" w:hAnsi="Arial"/>
          <w:sz w:val="22"/>
          <w:szCs w:val="22"/>
          <w:i w:val="1"/>
          <w:iCs w:val="1"/>
          <w:color w:val="auto"/>
        </w:rPr>
        <w:t xml:space="preserve"> </w:t>
      </w:r>
      <w:r>
        <w:rPr>
          <w:rFonts w:ascii="Arial" w:cs="Arial" w:eastAsia="Arial" w:hAnsi="Arial"/>
          <w:sz w:val="22"/>
          <w:szCs w:val="22"/>
          <w:color w:val="auto"/>
        </w:rPr>
        <w:t>value with the income 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on the CFS. The fair values of servicing rights are subject to significant fluctuations as a result of changes in estimated and actual prepayment speeds and default rates and losses.</w:t>
      </w:r>
    </w:p>
    <w:p>
      <w:pPr>
        <w:spacing w:after="0" w:line="212"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Servicing fee income, which is reported on the CFS as other noninterest income, is recorded for fees earned for servicing loans. The fees are based on a contractual percentage of the outstanding principal; or a fixed amount per loan as recorded when income is earned. Servicing income was immaterial for the years ended December 31, 2020 and 2019.</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u w:val="single" w:color="auto"/>
          <w:color w:val="auto"/>
        </w:rPr>
        <w:t>Transfers of Financial Assets</w:t>
      </w:r>
      <w:r>
        <w:rPr>
          <w:rFonts w:ascii="Arial" w:cs="Arial" w:eastAsia="Arial" w:hAnsi="Arial"/>
          <w:sz w:val="21"/>
          <w:szCs w:val="21"/>
          <w:i w:val="1"/>
          <w:iCs w:val="1"/>
          <w:color w:val="auto"/>
        </w:rPr>
        <w:t xml:space="preserve"> </w:t>
      </w:r>
      <w:r>
        <w:rPr>
          <w:rFonts w:ascii="Arial" w:cs="Arial" w:eastAsia="Arial" w:hAnsi="Arial"/>
          <w:sz w:val="21"/>
          <w:szCs w:val="21"/>
          <w:color w:val="auto"/>
        </w:rPr>
        <w:t>– Transfers of financial assets are accounted for as sales, when control over the assets has been</w:t>
      </w:r>
      <w:r>
        <w:rPr>
          <w:rFonts w:ascii="Arial" w:cs="Arial" w:eastAsia="Arial" w:hAnsi="Arial"/>
          <w:sz w:val="21"/>
          <w:szCs w:val="21"/>
          <w:i w:val="1"/>
          <w:iCs w:val="1"/>
          <w:color w:val="auto"/>
        </w:rPr>
        <w:t xml:space="preserve"> </w:t>
      </w:r>
      <w:r>
        <w:rPr>
          <w:rFonts w:ascii="Arial" w:cs="Arial" w:eastAsia="Arial" w:hAnsi="Arial"/>
          <w:sz w:val="21"/>
          <w:szCs w:val="21"/>
          <w:color w:val="auto"/>
        </w:rPr>
        <w:t>relinquished. Control over transferred 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Loans Held for Sale</w:t>
      </w:r>
      <w:r>
        <w:rPr>
          <w:rFonts w:ascii="Arial" w:cs="Arial" w:eastAsia="Arial" w:hAnsi="Arial"/>
          <w:sz w:val="22"/>
          <w:szCs w:val="22"/>
          <w:i w:val="1"/>
          <w:iCs w:val="1"/>
          <w:color w:val="auto"/>
        </w:rPr>
        <w:t xml:space="preserve"> </w:t>
      </w:r>
      <w:r>
        <w:rPr>
          <w:rFonts w:ascii="Arial" w:cs="Arial" w:eastAsia="Arial" w:hAnsi="Arial"/>
          <w:sz w:val="22"/>
          <w:szCs w:val="22"/>
          <w:color w:val="auto"/>
        </w:rPr>
        <w:t>– Loans held for sale are comprised of residential mortgage loans. Loans that are originated for best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Premises and Equipment</w:t>
      </w:r>
      <w:r>
        <w:rPr>
          <w:rFonts w:ascii="Arial" w:cs="Arial" w:eastAsia="Arial" w:hAnsi="Arial"/>
          <w:sz w:val="22"/>
          <w:szCs w:val="22"/>
          <w:i w:val="1"/>
          <w:iCs w:val="1"/>
          <w:color w:val="auto"/>
        </w:rPr>
        <w:t xml:space="preserve"> </w:t>
      </w:r>
      <w:r>
        <w:rPr>
          <w:rFonts w:ascii="Arial" w:cs="Arial" w:eastAsia="Arial" w:hAnsi="Arial"/>
          <w:sz w:val="22"/>
          <w:szCs w:val="22"/>
          <w:color w:val="auto"/>
        </w:rPr>
        <w:t>– Land is carried at cost. Buildings and equipment are carried at cost, less accumulated depreciation</w:t>
      </w:r>
      <w:r>
        <w:rPr>
          <w:rFonts w:ascii="Arial" w:cs="Arial" w:eastAsia="Arial" w:hAnsi="Arial"/>
          <w:sz w:val="22"/>
          <w:szCs w:val="22"/>
          <w:i w:val="1"/>
          <w:iCs w:val="1"/>
          <w:color w:val="auto"/>
        </w:rPr>
        <w:t xml:space="preserve"> </w:t>
      </w:r>
      <w:r>
        <w:rPr>
          <w:rFonts w:ascii="Arial" w:cs="Arial" w:eastAsia="Arial" w:hAnsi="Arial"/>
          <w:sz w:val="22"/>
          <w:szCs w:val="22"/>
          <w:color w:val="auto"/>
        </w:rPr>
        <w:t>computed on the straight-line method. Buildings and improvements are depreciated on a useful life up to 40 years. Furniture and equipment are depreciated on a useful life between 3 to 10 years.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Foreclosed Assets</w:t>
      </w:r>
      <w:r>
        <w:rPr>
          <w:rFonts w:ascii="Arial" w:cs="Arial" w:eastAsia="Arial" w:hAnsi="Arial"/>
          <w:sz w:val="22"/>
          <w:szCs w:val="22"/>
          <w:i w:val="1"/>
          <w:iCs w:val="1"/>
          <w:color w:val="auto"/>
        </w:rPr>
        <w:t xml:space="preserve"> </w:t>
      </w:r>
      <w:r>
        <w:rPr>
          <w:rFonts w:ascii="Arial" w:cs="Arial" w:eastAsia="Arial" w:hAnsi="Arial"/>
          <w:sz w:val="22"/>
          <w:szCs w:val="22"/>
          <w:color w:val="auto"/>
        </w:rPr>
        <w:t>– Assets acquired through, or in lieu of, loan foreclosure or repossession are held for sale and are initially</w:t>
      </w:r>
      <w:r>
        <w:rPr>
          <w:rFonts w:ascii="Arial" w:cs="Arial" w:eastAsia="Arial" w:hAnsi="Arial"/>
          <w:sz w:val="22"/>
          <w:szCs w:val="22"/>
          <w:i w:val="1"/>
          <w:iCs w:val="1"/>
          <w:color w:val="auto"/>
        </w:rPr>
        <w:t xml:space="preserve"> </w:t>
      </w:r>
      <w:r>
        <w:rPr>
          <w:rFonts w:ascii="Arial" w:cs="Arial" w:eastAsia="Arial" w:hAnsi="Arial"/>
          <w:sz w:val="22"/>
          <w:szCs w:val="22"/>
          <w:color w:val="auto"/>
        </w:rPr>
        <w:t>recorded at fair value less 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u w:val="single" w:color="auto"/>
          <w:color w:val="auto"/>
        </w:rPr>
        <w:t>Bank-Owned Life Insurance</w:t>
      </w:r>
      <w:r>
        <w:rPr>
          <w:rFonts w:ascii="Arial" w:cs="Arial" w:eastAsia="Arial" w:hAnsi="Arial"/>
          <w:sz w:val="21"/>
          <w:szCs w:val="21"/>
          <w:i w:val="1"/>
          <w:iCs w:val="1"/>
          <w:color w:val="auto"/>
        </w:rPr>
        <w:t xml:space="preserve"> </w:t>
      </w:r>
      <w:r>
        <w:rPr>
          <w:rFonts w:ascii="Arial" w:cs="Arial" w:eastAsia="Arial" w:hAnsi="Arial"/>
          <w:sz w:val="21"/>
          <w:szCs w:val="21"/>
          <w:color w:val="auto"/>
        </w:rPr>
        <w:t>– The bank subsidiary has purchased life insurance policies on various officers and also is the</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beneficiary. These policies are issued by third party insurance companies. Assets are carried at the cash surrender value and changes in the cash surrender values are recognized in other noninterest income in the accompanying CFS.</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Goodwill and Other Intangible Assets</w:t>
      </w:r>
      <w:r>
        <w:rPr>
          <w:rFonts w:ascii="Arial" w:cs="Arial" w:eastAsia="Arial" w:hAnsi="Arial"/>
          <w:sz w:val="22"/>
          <w:szCs w:val="22"/>
          <w:i w:val="1"/>
          <w:iCs w:val="1"/>
          <w:color w:val="auto"/>
        </w:rPr>
        <w:t xml:space="preserve"> </w:t>
      </w:r>
      <w:r>
        <w:rPr>
          <w:rFonts w:ascii="Arial" w:cs="Arial" w:eastAsia="Arial" w:hAnsi="Arial"/>
          <w:sz w:val="22"/>
          <w:szCs w:val="22"/>
          <w:color w:val="auto"/>
        </w:rPr>
        <w:t>– Goodwill resulting from business combinations is generally determined as the excess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fair value of the consideration transferred over the fair value of the net assets acquired and liabilities assumed as of the acquisition date. Goodwill is not amortized, but is tested for impairment on October 31 each year or more frequently if events and circumstances exist that indicate that an impairment test should be performed. There was no impairment recorded for the years ended December 31, 2020 and 2019, respectively.</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Significantly all CDI is amortized using the sum of the years’ digits method.</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remaining other intangible assets consist of customer relationship and employment agreement intangible assets and are amortized over their estimated useful lives of 5 years.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economic disruption and uncertainty surrounding the ongoing COVID-19 pandemic and the recent volatility in the market price of crude oil resulted in a decrease in the Company’s stock price. The Company believed this resulted in a triggering event and required an interim goodwill impairment quantitative analysis at March 31, 2020. Under the new simplified guidance, the Company’s estimated fair value as of March 31, 2020 exceeded its carrying amount, resulting in no impairment charge for the period. Management continued to evaluate the economic conditions at all subsequent reporting periods.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Mortgage Banking Derivatives</w:t>
      </w:r>
      <w:r>
        <w:rPr>
          <w:rFonts w:ascii="Arial" w:cs="Arial" w:eastAsia="Arial" w:hAnsi="Arial"/>
          <w:sz w:val="22"/>
          <w:szCs w:val="22"/>
          <w:i w:val="1"/>
          <w:iCs w:val="1"/>
          <w:color w:val="auto"/>
        </w:rPr>
        <w:t xml:space="preserve"> </w:t>
      </w:r>
      <w:r>
        <w:rPr>
          <w:rFonts w:ascii="Arial" w:cs="Arial" w:eastAsia="Arial" w:hAnsi="Arial"/>
          <w:sz w:val="22"/>
          <w:szCs w:val="22"/>
          <w:color w:val="auto"/>
        </w:rPr>
        <w:t>– Commitments to fund mortgage loans (interest rate locks) to be sold into the secondary market,</w:t>
      </w:r>
      <w:r>
        <w:rPr>
          <w:rFonts w:ascii="Arial" w:cs="Arial" w:eastAsia="Arial" w:hAnsi="Arial"/>
          <w:sz w:val="22"/>
          <w:szCs w:val="22"/>
          <w:i w:val="1"/>
          <w:iCs w:val="1"/>
          <w:color w:val="auto"/>
        </w:rPr>
        <w:t xml:space="preserve"> </w:t>
      </w:r>
      <w:r>
        <w:rPr>
          <w:rFonts w:ascii="Arial" w:cs="Arial" w:eastAsia="Arial" w:hAnsi="Arial"/>
          <w:sz w:val="22"/>
          <w:szCs w:val="22"/>
          <w:color w:val="auto"/>
        </w:rPr>
        <w:t>forward commitments for 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order to hedge the change in interest rates resulting from all other mortgage commitments to funds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CFS.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u w:val="single" w:color="auto"/>
          <w:color w:val="auto"/>
        </w:rPr>
        <w:t>Derivatives</w:t>
      </w:r>
      <w:r>
        <w:rPr>
          <w:rFonts w:ascii="Arial" w:cs="Arial" w:eastAsia="Arial" w:hAnsi="Arial"/>
          <w:sz w:val="19"/>
          <w:szCs w:val="19"/>
          <w:i w:val="1"/>
          <w:iCs w:val="1"/>
          <w:color w:val="auto"/>
        </w:rPr>
        <w:t xml:space="preserve"> </w:t>
      </w:r>
      <w:r>
        <w:rPr>
          <w:rFonts w:ascii="Arial" w:cs="Arial" w:eastAsia="Arial" w:hAnsi="Arial"/>
          <w:sz w:val="19"/>
          <w:szCs w:val="19"/>
          <w:color w:val="auto"/>
        </w:rPr>
        <w:t>– At the inception of a derivative contract, the Company designates the derivative as one of three types based on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Revenue Recognition</w:t>
      </w:r>
      <w:r>
        <w:rPr>
          <w:rFonts w:ascii="Arial" w:cs="Arial" w:eastAsia="Arial" w:hAnsi="Arial"/>
          <w:sz w:val="22"/>
          <w:szCs w:val="22"/>
          <w:i w:val="1"/>
          <w:iCs w:val="1"/>
          <w:color w:val="auto"/>
        </w:rPr>
        <w:t xml:space="preserve"> </w:t>
      </w:r>
      <w:r>
        <w:rPr>
          <w:rFonts w:ascii="Arial" w:cs="Arial" w:eastAsia="Arial" w:hAnsi="Arial"/>
          <w:sz w:val="22"/>
          <w:szCs w:val="22"/>
          <w:color w:val="auto"/>
        </w:rPr>
        <w:t>– On January 1, 2019, the Company adopted</w:t>
      </w:r>
      <w:r>
        <w:rPr>
          <w:rFonts w:ascii="Arial" w:cs="Arial" w:eastAsia="Arial" w:hAnsi="Arial"/>
          <w:sz w:val="22"/>
          <w:szCs w:val="22"/>
          <w:i w:val="1"/>
          <w:iCs w:val="1"/>
          <w:color w:val="auto"/>
        </w:rPr>
        <w:t xml:space="preserve"> ASU 2014-09 Revenue from Contracts with Customers (Topic 606)</w:t>
      </w:r>
      <w:r>
        <w:rPr>
          <w:rFonts w:ascii="Arial" w:cs="Arial" w:eastAsia="Arial" w:hAnsi="Arial"/>
          <w:sz w:val="22"/>
          <w:szCs w:val="22"/>
          <w:color w:val="auto"/>
        </w:rPr>
        <w:t>, and all subsequent ASU’s that modified Topic 606. The implementation of the new standard did not have a material impact</w:t>
      </w:r>
      <w:r>
        <w:rPr>
          <w:rFonts w:ascii="Arial" w:cs="Arial" w:eastAsia="Arial" w:hAnsi="Arial"/>
          <w:sz w:val="22"/>
          <w:szCs w:val="22"/>
          <w:i w:val="1"/>
          <w:iCs w:val="1"/>
          <w:color w:val="auto"/>
        </w:rPr>
        <w:t xml:space="preserve"> </w:t>
      </w:r>
      <w:r>
        <w:rPr>
          <w:rFonts w:ascii="Arial" w:cs="Arial" w:eastAsia="Arial" w:hAnsi="Arial"/>
          <w:sz w:val="22"/>
          <w:szCs w:val="22"/>
          <w:color w:val="auto"/>
        </w:rPr>
        <w:t>on the measurement or recognition of revenue; as such, a cumulative effect adjustment to opening retained earnings was not deemed necessary.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majority of the Company’s revenues come from interest income and other sources, including loans, securities and derivatives, that are outside the scope of ASC 606. The Company’s services that fall within the scope of Topic 606 are presented within Noninterest Income and are recognized as revenue as the Company satisfies its obligation to the customer. Services within the scope of Topic 606 include service charges on deposit accounts, bank card services and interchange fees, investment commissions, fiduciary fees, and the sale of OREO. However, the recognition of these revenue streams did not change significantly upon the adoption of Topic 606. Substantially all of the Company’s revenue is generated from contracts with customers. Noninterest income streams within the scope of Topic 606 are discussed below.</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Service Charges on Deposit Accounts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earns fees from its deposit customers for transaction-based, account maintenance, and overdraft services. Transaction-based fees, which include services such as stop payment charges, statement rendering, and ACH fees, are recognized at the time the transaction is executed as that is the point in time the Company fulfills the customer’s request. Account maintenance fees, which relate primarily to monthly maintenance, are earned over the course of a month, representing the period over which the Company satisfies the performance obligation. Overdraft fees are recognized at the point in time that the overdraft occurs. Service charges on deposits are withdrawn from the customer’s account balance.</w:t>
      </w:r>
    </w:p>
    <w:p>
      <w:pPr>
        <w:sectPr>
          <w:pgSz w:w="11900" w:h="16838" w:orient="portrait"/>
          <w:cols w:equalWidth="0" w:num="1">
            <w:col w:w="11240"/>
          </w:cols>
          <w:pgMar w:left="320" w:top="121" w:right="339" w:bottom="0" w:gutter="0" w:footer="0" w:header="0"/>
        </w:sectPr>
      </w:pPr>
    </w:p>
    <w:bookmarkStart w:id="101" w:name="page102"/>
    <w:bookmarkEnd w:id="101"/>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Bank Card Services and Interchange Fees</w:t>
      </w:r>
    </w:p>
    <w:p>
      <w:pPr>
        <w:spacing w:after="0" w:line="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earns bank card service and interchange fees from debit and credit cardholder transactions conducted through card payment networks. Interchange fees from cardholder transactions represent a percentage of the underlying transaction value and are recognized daily, concurrently with the transaction processing services provided to the cardholder. Bank card services income mainly represents fees charged to merchants to process their debit and credit card transactions, in addition to account management fees and service fees such as ATM use fees and are recognized at the time the transaction is executed.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Investment Commissions and Fiduciary Trust Fees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earns investment commissions and fiduciary trust fees from its contracts with trust customers to manage assets for investment, and/or to transact on their accounts. These fees are primarily earned over time as the Company provides the contracted monthly or quarterly services and are generally assessed based on a tiered scale of the market value of assets under management (AUM) at month-end. Fees that are transaction based, including trade execution services, are recognized at the point in time that the transaction is executed, i.e., the trade date. Other related services provided include financial planning services and the fees the Company earns, which are based on a fixed fee schedule, are recognized when the services are rendered.</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addition, certain trust customers have contracted with the Company to provide trust dissolution services, which are based on a unitary management fee treated as a single performance obligation. The Company’s performance obligation is satisfied over time based on the customer simultaneously receiving and consuming the benefits of the Company’s service. The unitary management fee is treated as variable consideration and is evaluated and included in the transaction price at the end of each reporting period (quarterly). Revenue is recognized based on a reasonable time based measure of progress towards the Company’s complete satisfaction of the performance obligation at the end of each respective reporting period, with the unearned amount based on progress measure being included in deferred contract liability. This variable consideration and the amount of revenue recognized is evaluated quarterly until the Company has entirely fulfilled its performance obligation, at which time the remaining unearned revenue is recognized.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Gains/Losses on Sales of OREO</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records a gain or loss from the sale of OREO when control of the property transfers to the buyer, which generally occurs at the time of an executed deed. When the Company finances the sale of OREO to the buyer, the Company assesses whether the buyer is committed to perform their obligations under the contract and whether collectability of the transaction price is probable. Once these criteria are met, the OREO asset is derecognized and the gain or loss on sale is recorded upon the transfer of control of the property to the buyer. In determining the gain or loss on the sale, the Company adjusts the transaction price and related gain (loss) on sale if a significant financing component is present.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 Balances</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The Company did not have any significant contract balances at December 31, 2020 and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 Acquisition Costs</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Insurance Activities</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Company’s primary source of revenues for insurance activities are commissions from underwriting enterprises, based on a percentage of premiums paid by clients. These commissions and fees revenues are substantially recognized at a point in time on the effective date of the associated policies when control of the policy transfers to the client. Commissions are fixed at the contract effective date and generally are based on a percentage of premiums for insurance coverage. Commissions depend upon a large number of factors, including the type of risk being placed, the particular underwriting enterprise’s demand, the expected loss experience of the particular risk of coverage, and historical benchmarks surrounding the level of effort necessary for us to place and service the insurance contract.</w:t>
      </w:r>
    </w:p>
    <w:p>
      <w:pPr>
        <w:sectPr>
          <w:pgSz w:w="11900" w:h="16838" w:orient="portrait"/>
          <w:cols w:equalWidth="0" w:num="1">
            <w:col w:w="11240"/>
          </w:cols>
          <w:pgMar w:left="320" w:top="121" w:right="339" w:bottom="679"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9" w:gutter="0" w:footer="0" w:header="0"/>
          <w:type w:val="continuous"/>
        </w:sectPr>
      </w:pPr>
    </w:p>
    <w:bookmarkStart w:id="103" w:name="page104"/>
    <w:bookmarkEnd w:id="10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u w:val="single" w:color="auto"/>
          <w:color w:val="auto"/>
        </w:rPr>
        <w:t>Stock-Based Compensation</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sponsors an equity incentive plan under which options to acquire shares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Company’s common stock may 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the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Advertising</w:t>
      </w:r>
      <w:r>
        <w:rPr>
          <w:rFonts w:ascii="Arial" w:cs="Arial" w:eastAsia="Arial" w:hAnsi="Arial"/>
          <w:sz w:val="22"/>
          <w:szCs w:val="22"/>
          <w:i w:val="1"/>
          <w:iCs w:val="1"/>
          <w:color w:val="auto"/>
        </w:rPr>
        <w:t xml:space="preserve"> </w:t>
      </w:r>
      <w:r>
        <w:rPr>
          <w:rFonts w:ascii="Arial" w:cs="Arial" w:eastAsia="Arial" w:hAnsi="Arial"/>
          <w:sz w:val="22"/>
          <w:szCs w:val="22"/>
          <w:color w:val="auto"/>
        </w:rPr>
        <w:t>– Advertising costs are recognized when incurred. Advertising costs during 2020 and 2019 were approximately $2.6</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and $2.2 million, respectively.</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u w:val="single" w:color="auto"/>
          <w:color w:val="auto"/>
        </w:rPr>
        <w:t>Income Taxes</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files a consolidated federal income tax return including the results of its wholly owned subsidiary,</w:t>
      </w:r>
      <w:r>
        <w:rPr>
          <w:rFonts w:ascii="Arial" w:cs="Arial" w:eastAsia="Arial" w:hAnsi="Arial"/>
          <w:sz w:val="19"/>
          <w:szCs w:val="19"/>
          <w:i w:val="1"/>
          <w:iCs w:val="1"/>
          <w:color w:val="auto"/>
        </w:rPr>
        <w:t xml:space="preserve"> </w:t>
      </w:r>
      <w:r>
        <w:rPr>
          <w:rFonts w:ascii="Arial" w:cs="Arial" w:eastAsia="Arial" w:hAnsi="Arial"/>
          <w:sz w:val="19"/>
          <w:szCs w:val="19"/>
          <w:color w:val="auto"/>
        </w:rPr>
        <w:t>the Bank. The Company estimates income taxes payable based on the amount it expects to owe. Income tax expense is the total of the current year income tax due or refundable and the change in deferred tax assets and liabilities (excluding deferred tax assets and liabilities related to components of other comprehensive income). Deferred tax assets and liabilities are the expected future tax amounts for the temporary differences 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State of Texas franchise tax is an income tax for financial reporting purposes under GAAP and the Company and its subsidiaries are subject to the modified tax as a combined group.</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u w:val="single" w:color="auto"/>
          <w:color w:val="auto"/>
        </w:rPr>
        <w:t>Earnings per Share</w:t>
      </w:r>
      <w:r>
        <w:rPr>
          <w:rFonts w:ascii="Arial" w:cs="Arial" w:eastAsia="Arial" w:hAnsi="Arial"/>
          <w:sz w:val="21"/>
          <w:szCs w:val="21"/>
          <w:i w:val="1"/>
          <w:iCs w:val="1"/>
          <w:color w:val="auto"/>
        </w:rPr>
        <w:t xml:space="preserve"> </w:t>
      </w:r>
      <w:r>
        <w:rPr>
          <w:rFonts w:ascii="Arial" w:cs="Arial" w:eastAsia="Arial" w:hAnsi="Arial"/>
          <w:sz w:val="21"/>
          <w:szCs w:val="21"/>
          <w:color w:val="auto"/>
        </w:rPr>
        <w:t>– Basic earnings per share is net income divided by the weighted average number of common shares</w:t>
      </w:r>
      <w:r>
        <w:rPr>
          <w:rFonts w:ascii="Arial" w:cs="Arial" w:eastAsia="Arial" w:hAnsi="Arial"/>
          <w:sz w:val="21"/>
          <w:szCs w:val="21"/>
          <w:i w:val="1"/>
          <w:iCs w:val="1"/>
          <w:color w:val="auto"/>
        </w:rPr>
        <w:t xml:space="preserve"> </w:t>
      </w:r>
      <w:r>
        <w:rPr>
          <w:rFonts w:ascii="Arial" w:cs="Arial" w:eastAsia="Arial" w:hAnsi="Arial"/>
          <w:sz w:val="21"/>
          <w:szCs w:val="21"/>
          <w:color w:val="auto"/>
        </w:rPr>
        <w:t>outstanding during the period. ESOP shares are considered outstanding for this calculation unless unearned. Diluted earnings per share includes the dilutive effect of unearned ESOP shares, if applicable. Diluted earnings per share includes the dilutive effect of additional potential shares issuable under stock options. Earnings and dividends per share are restated for all stock splits and stock dividends through the date of issuance of the financial statements.</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i w:val="1"/>
          <w:iCs w:val="1"/>
          <w:u w:val="single" w:color="auto"/>
          <w:color w:val="auto"/>
        </w:rPr>
        <w:t>Fair Values of Financial Instruments</w:t>
      </w:r>
      <w:r>
        <w:rPr>
          <w:rFonts w:ascii="Arial" w:cs="Arial" w:eastAsia="Arial" w:hAnsi="Arial"/>
          <w:sz w:val="21"/>
          <w:szCs w:val="21"/>
          <w:i w:val="1"/>
          <w:iCs w:val="1"/>
          <w:color w:val="auto"/>
        </w:rPr>
        <w:t xml:space="preserve"> </w:t>
      </w:r>
      <w:r>
        <w:rPr>
          <w:rFonts w:ascii="Arial" w:cs="Arial" w:eastAsia="Arial" w:hAnsi="Arial"/>
          <w:sz w:val="21"/>
          <w:szCs w:val="21"/>
          <w:color w:val="auto"/>
        </w:rPr>
        <w:t>– Fair values of financial instruments are estimated using relevant market information and</w:t>
      </w:r>
      <w:r>
        <w:rPr>
          <w:rFonts w:ascii="Arial" w:cs="Arial" w:eastAsia="Arial" w:hAnsi="Arial"/>
          <w:sz w:val="21"/>
          <w:szCs w:val="21"/>
          <w:i w:val="1"/>
          <w:iCs w:val="1"/>
          <w:color w:val="auto"/>
        </w:rPr>
        <w:t xml:space="preserve"> </w:t>
      </w:r>
      <w:r>
        <w:rPr>
          <w:rFonts w:ascii="Arial" w:cs="Arial" w:eastAsia="Arial" w:hAnsi="Arial"/>
          <w:sz w:val="21"/>
          <w:szCs w:val="21"/>
          <w:color w:val="auto"/>
        </w:rPr>
        <w:t>other assumptions, as more fully described in Note 21. Fair value estimates involve uncertainties and matters of significant judgment. Changes in assumptions or in market conditions could significantly affect estimates.</w:t>
      </w:r>
    </w:p>
    <w:p>
      <w:pPr>
        <w:spacing w:after="0" w:line="19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u w:val="single" w:color="auto"/>
          <w:color w:val="auto"/>
        </w:rPr>
        <w:t>Trust Assets</w:t>
      </w:r>
      <w:r>
        <w:rPr>
          <w:rFonts w:ascii="Arial" w:cs="Arial" w:eastAsia="Arial" w:hAnsi="Arial"/>
          <w:sz w:val="22"/>
          <w:szCs w:val="22"/>
          <w:i w:val="1"/>
          <w:iCs w:val="1"/>
          <w:color w:val="auto"/>
        </w:rPr>
        <w:t xml:space="preserve"> </w:t>
      </w:r>
      <w:r>
        <w:rPr>
          <w:rFonts w:ascii="Arial" w:cs="Arial" w:eastAsia="Arial" w:hAnsi="Arial"/>
          <w:sz w:val="22"/>
          <w:szCs w:val="22"/>
          <w:color w:val="auto"/>
        </w:rPr>
        <w:t>– Custodial assets of City Bank’s trust department, other than cash on deposit at City Bank, if any, are not included</w:t>
      </w:r>
      <w:r>
        <w:rPr>
          <w:rFonts w:ascii="Arial" w:cs="Arial" w:eastAsia="Arial" w:hAnsi="Arial"/>
          <w:sz w:val="22"/>
          <w:szCs w:val="22"/>
          <w:i w:val="1"/>
          <w:iCs w:val="1"/>
          <w:color w:val="auto"/>
        </w:rPr>
        <w:t xml:space="preserve"> </w:t>
      </w:r>
      <w:r>
        <w:rPr>
          <w:rFonts w:ascii="Arial" w:cs="Arial" w:eastAsia="Arial" w:hAnsi="Arial"/>
          <w:sz w:val="22"/>
          <w:szCs w:val="22"/>
          <w:color w:val="auto"/>
        </w:rPr>
        <w:t>in the accompanying CFS because they are not assets of City Bank.</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Segment Information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has two reportable segments: banking and insurance. The accounting policies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segments are the same as those 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Reclassification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 Certain amounts in the 2019 CFS have been reclassified to conform to the 2020 presentation.</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u w:val="single" w:color="auto"/>
          <w:color w:val="auto"/>
        </w:rPr>
        <w:t>Change in Accounting Principle</w:t>
      </w:r>
      <w:r>
        <w:rPr>
          <w:rFonts w:ascii="Arial" w:cs="Arial" w:eastAsia="Arial" w:hAnsi="Arial"/>
          <w:sz w:val="19"/>
          <w:szCs w:val="19"/>
          <w:i w:val="1"/>
          <w:iCs w:val="1"/>
          <w:color w:val="auto"/>
        </w:rPr>
        <w:t xml:space="preserve"> </w:t>
      </w:r>
      <w:r>
        <w:rPr>
          <w:rFonts w:ascii="Arial" w:cs="Arial" w:eastAsia="Arial" w:hAnsi="Arial"/>
          <w:sz w:val="19"/>
          <w:szCs w:val="19"/>
          <w:color w:val="auto"/>
        </w:rPr>
        <w:t>– Prior to January 1, 2019, the Company accounted for its cash-settled stock appreciation rights</w:t>
      </w:r>
      <w:r>
        <w:rPr>
          <w:rFonts w:ascii="Arial" w:cs="Arial" w:eastAsia="Arial" w:hAnsi="Arial"/>
          <w:sz w:val="19"/>
          <w:szCs w:val="19"/>
          <w:i w:val="1"/>
          <w:iCs w:val="1"/>
          <w:color w:val="auto"/>
        </w:rPr>
        <w:t xml:space="preserve"> </w:t>
      </w:r>
      <w:r>
        <w:rPr>
          <w:rFonts w:ascii="Arial" w:cs="Arial" w:eastAsia="Arial" w:hAnsi="Arial"/>
          <w:sz w:val="19"/>
          <w:szCs w:val="19"/>
          <w:color w:val="auto"/>
        </w:rPr>
        <w:t>(“SARs”) using the intrinsic value method, as permitted by ASC 718. As a result of the Company listing its common stock on the NASDAQ Global Select Market and becoming a reporting company with the SEC, the Company was then required to use the fair value method for those SARs. The Company’s calculation of the fair value of the SARs, as of January 1, 2019, exceeded the recorded intrinsic value by $1.6 million. ASC 250 states that an “entity shall report a change in accounting principle through retrospective application of the new accounting principle to all prior periods, unless it is impracticable to do so.” Retrospective application of the effects of a change from the intrinsic value to fair value would be impracticable due to the need to objectively determine assumptions that would be used in prior periods without using current information. Additionally, SEC Staff Accounting Bulletin Topic 14.B states that entities changing from nonpublic to public status are not permitted to apply the fair-value-based method retrospectively. Therefore, the Company recorded a cumulative-effect adjustment to retained earnings for $1.3 million ($1.6 million net of $340 thousand in tax) effective January 1, 2019 and applied this change prospectively.</w:t>
      </w:r>
    </w:p>
    <w:p>
      <w:pPr>
        <w:sectPr>
          <w:pgSz w:w="11900" w:h="16838" w:orient="portrait"/>
          <w:cols w:equalWidth="0" w:num="1">
            <w:col w:w="11240"/>
          </w:cols>
          <w:pgMar w:left="320" w:top="121" w:right="339" w:bottom="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Recent Accounting Pronouncements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 xml:space="preserve"> Financial Accounting Standards Board (“FASB”) Accounting Standards Codification (“ASC”) </w:t>
      </w:r>
      <w:r>
        <w:rPr>
          <w:rFonts w:ascii="Arial" w:cs="Arial" w:eastAsia="Arial" w:hAnsi="Arial"/>
          <w:sz w:val="22"/>
          <w:szCs w:val="22"/>
          <w:color w:val="auto"/>
        </w:rPr>
        <w:t>constitutes GAAP for nongovernmental entities. Updates to ASC are prescribed in Accounting Standards Updates</w:t>
      </w:r>
      <w:r>
        <w:rPr>
          <w:rFonts w:ascii="Arial" w:cs="Arial" w:eastAsia="Arial" w:hAnsi="Arial"/>
          <w:sz w:val="22"/>
          <w:szCs w:val="22"/>
          <w:i w:val="1"/>
          <w:iCs w:val="1"/>
          <w:color w:val="auto"/>
        </w:rPr>
        <w:t xml:space="preserve"> </w:t>
      </w:r>
      <w:r>
        <w:rPr>
          <w:rFonts w:ascii="Arial" w:cs="Arial" w:eastAsia="Arial" w:hAnsi="Arial"/>
          <w:sz w:val="22"/>
          <w:szCs w:val="22"/>
          <w:color w:val="auto"/>
        </w:rPr>
        <w:t>(“ASU”), which are not authoritative until incorporated into ASC.</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ASU 2021-01, Reference Rate Reform (Topic 848)</w:t>
      </w:r>
      <w:r>
        <w:rPr>
          <w:rFonts w:ascii="Arial" w:cs="Arial" w:eastAsia="Arial" w:hAnsi="Arial"/>
          <w:sz w:val="19"/>
          <w:szCs w:val="19"/>
          <w:color w:val="auto"/>
        </w:rPr>
        <w:t>. In January 2021, the FASB issued ASU No. 2021-01 to clarify the scope of</w:t>
      </w:r>
      <w:r>
        <w:rPr>
          <w:rFonts w:ascii="Arial" w:cs="Arial" w:eastAsia="Arial" w:hAnsi="Arial"/>
          <w:sz w:val="19"/>
          <w:szCs w:val="19"/>
          <w:i w:val="1"/>
          <w:iCs w:val="1"/>
          <w:color w:val="auto"/>
        </w:rPr>
        <w:t xml:space="preserve"> </w:t>
      </w:r>
      <w:r>
        <w:rPr>
          <w:rFonts w:ascii="Arial" w:cs="Arial" w:eastAsia="Arial" w:hAnsi="Arial"/>
          <w:sz w:val="19"/>
          <w:szCs w:val="19"/>
          <w:color w:val="auto"/>
        </w:rPr>
        <w:t>Topic 848 so that derivatives affected by the discounting transition are explicitly eligible for certain optional expedients and exceptions in Topic 848. This update additionally clarified that a receive-variable-rate, pay-variable-rate cross-currency interest rate swap may be considered an eligible hedging instrument in a net investment hedge if both legs of the swap do not have the same repricing intervals and dates as a result of reference rate reform. This update was effective upon issuance and generally can be applied through December 31, 2022. See the discussion regarding the adoption of ASU 2020-04 below.</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 xml:space="preserve">ASU 2020-04, Reference Rate Reform (Topic 848): Facilitation of the Effects of Reference Rate Reform on Financial Reporting. </w:t>
      </w:r>
      <w:r>
        <w:rPr>
          <w:rFonts w:ascii="Arial" w:cs="Arial" w:eastAsia="Arial" w:hAnsi="Arial"/>
          <w:sz w:val="19"/>
          <w:szCs w:val="19"/>
          <w:color w:val="auto"/>
        </w:rPr>
        <w:t>In March 2020, the FASB issued ASU No. 2020-04 and it provides optional expedients and exceptions for accounting related to contracts, hedging relationships and other transactions affected by reference rate reform if certain criteria are met. This update applies only to contracts, hedging relationships and other transactions that reference LIBOR or another reference rate expected to be discontinued because of reference rate reform and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expedients and exceptions in this update are available to all entities starting March 12, 2020 through December 31, 2022. The adoption of ASU 2020-04 did not significantly impact the Company’s consolidated financial statements.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 xml:space="preserve">ASU 2019-12, Income Taxes, Simplifying the Accounting for Income Taxes (Topic 740). </w:t>
      </w:r>
      <w:r>
        <w:rPr>
          <w:rFonts w:ascii="Arial" w:cs="Arial" w:eastAsia="Arial" w:hAnsi="Arial"/>
          <w:sz w:val="19"/>
          <w:szCs w:val="19"/>
          <w:color w:val="auto"/>
        </w:rPr>
        <w:t>In December 2019, the FASB issued ASU</w:t>
      </w:r>
      <w:r>
        <w:rPr>
          <w:rFonts w:ascii="Arial" w:cs="Arial" w:eastAsia="Arial" w:hAnsi="Arial"/>
          <w:sz w:val="19"/>
          <w:szCs w:val="19"/>
          <w:i w:val="1"/>
          <w:iCs w:val="1"/>
          <w:color w:val="auto"/>
        </w:rPr>
        <w:t xml:space="preserve"> </w:t>
      </w:r>
      <w:r>
        <w:rPr>
          <w:rFonts w:ascii="Arial" w:cs="Arial" w:eastAsia="Arial" w:hAnsi="Arial"/>
          <w:sz w:val="19"/>
          <w:szCs w:val="19"/>
          <w:color w:val="auto"/>
        </w:rPr>
        <w:t>2019-12 to simplify the 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Early adoption is permitted, including adoption in any interim period for which financial statements have not yet been issued. The update is not expected to have any material effect on the Company’s financial statements.</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color w:val="auto"/>
        </w:rPr>
        <w:t xml:space="preserve">ASU 2017-04, Intangibles - Goodwill and Other (Topic 350). </w:t>
      </w:r>
      <w:r>
        <w:rPr>
          <w:rFonts w:ascii="Arial" w:cs="Arial" w:eastAsia="Arial" w:hAnsi="Arial"/>
          <w:sz w:val="21"/>
          <w:szCs w:val="21"/>
          <w:color w:val="auto"/>
        </w:rPr>
        <w:t>This ASU simplifies the accounting for goodwill impairment for all</w:t>
      </w:r>
      <w:r>
        <w:rPr>
          <w:rFonts w:ascii="Arial" w:cs="Arial" w:eastAsia="Arial" w:hAnsi="Arial"/>
          <w:sz w:val="21"/>
          <w:szCs w:val="21"/>
          <w:i w:val="1"/>
          <w:iCs w:val="1"/>
          <w:color w:val="auto"/>
        </w:rPr>
        <w:t xml:space="preserve"> </w:t>
      </w:r>
      <w:r>
        <w:rPr>
          <w:rFonts w:ascii="Arial" w:cs="Arial" w:eastAsia="Arial" w:hAnsi="Arial"/>
          <w:sz w:val="21"/>
          <w:szCs w:val="21"/>
          <w:color w:val="auto"/>
        </w:rPr>
        <w:t>entities by eliminating Step 2 from the current provisions. Under the new guidance, an entity should perform the goodwill impairment test by comparing the fair value of a reporting unit with its carrying value and recognize an impairment charge for the amount by which the carrying amount exceeds the reporting unit’s fair value. The Company elected to early adopt ASU 2017-04 on January 1, 2020, and it did not have a material impact on its financial statements.</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 xml:space="preserve">ASU 2016-13 Financial Instruments - Credit Losses (Topic 326). </w:t>
      </w:r>
      <w:r>
        <w:rPr>
          <w:rFonts w:ascii="Arial" w:cs="Arial" w:eastAsia="Arial" w:hAnsi="Arial"/>
          <w:sz w:val="22"/>
          <w:szCs w:val="22"/>
          <w:color w:val="auto"/>
        </w:rPr>
        <w:t>The FASB issued guidance to replace the incurred loss model</w:t>
      </w:r>
      <w:r>
        <w:rPr>
          <w:rFonts w:ascii="Arial" w:cs="Arial" w:eastAsia="Arial" w:hAnsi="Arial"/>
          <w:sz w:val="22"/>
          <w:szCs w:val="22"/>
          <w:i w:val="1"/>
          <w:iCs w:val="1"/>
          <w:color w:val="auto"/>
        </w:rPr>
        <w:t xml:space="preserve"> </w:t>
      </w:r>
      <w:r>
        <w:rPr>
          <w:rFonts w:ascii="Arial" w:cs="Arial" w:eastAsia="Arial" w:hAnsi="Arial"/>
          <w:sz w:val="22"/>
          <w:szCs w:val="22"/>
          <w:color w:val="auto"/>
        </w:rPr>
        <w:t>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ASU 2016-02 Leases (Topic 842). </w:t>
      </w:r>
      <w:r>
        <w:rPr>
          <w:rFonts w:ascii="Arial" w:cs="Arial" w:eastAsia="Arial" w:hAnsi="Arial"/>
          <w:sz w:val="22"/>
          <w:szCs w:val="22"/>
          <w:color w:val="auto"/>
        </w:rPr>
        <w:t>The FASB amended existing guidance that requires that lessees recognize lease assets and</w:t>
      </w:r>
      <w:r>
        <w:rPr>
          <w:rFonts w:ascii="Arial" w:cs="Arial" w:eastAsia="Arial" w:hAnsi="Arial"/>
          <w:sz w:val="22"/>
          <w:szCs w:val="22"/>
          <w:i w:val="1"/>
          <w:iCs w:val="1"/>
          <w:color w:val="auto"/>
        </w:rPr>
        <w:t xml:space="preserve"> </w:t>
      </w:r>
      <w:r>
        <w:rPr>
          <w:rFonts w:ascii="Arial" w:cs="Arial" w:eastAsia="Arial" w:hAnsi="Arial"/>
          <w:sz w:val="22"/>
          <w:szCs w:val="22"/>
          <w:color w:val="auto"/>
        </w:rPr>
        <w:t>lease liabilities on the balance sheet and disclose key information about leasing arrangements. The Company is in the process of determining the effect of the standard on its consolidated operating results and financial condition. These amendments are effective for the Company for annual periods beginning after December 15, 2021 and interim periods beginning after December 15, 2022.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amortized cost and fair value of securities, with gross unrealized gains and losses, at year-end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5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11,704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272,607</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373,362</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106,715</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33,572</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775,999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5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94,512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464,516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107,289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36,346</w:t>
            </w:r>
          </w:p>
        </w:tc>
      </w:tr>
      <w:tr>
        <w:trPr>
          <w:trHeight w:val="27"/>
        </w:trPr>
        <w:tc>
          <w:tcPr>
            <w:tcW w:w="360" w:type="dxa"/>
            <w:vAlign w:val="bottom"/>
            <w:shd w:val="clear" w:color="auto" w:fill="CCEEFF"/>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706,437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707,650</w:t>
            </w:r>
          </w:p>
        </w:tc>
      </w:tr>
      <w:tr>
        <w:trPr>
          <w:trHeight w:val="21"/>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amortized cost and fair value of securities at December 31, 2020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3,585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241,565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252,133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498,226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775,999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803,087</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year-end 2020 and 2019, there were no holdings of securities of any one issuer, other than the U.S. Government and its agencies, in an amount greater than 10% of stockholders’ equity.</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Securities with a carrying value of approximately $292.2 million and $211.3 million at December 31, 2020 and 2019, respectively, were pledged to collateralize public deposits and for other purposes as required or permitted by law.</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segregates securities with unrealized losses at year-end, by the period they have been in a loss position: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29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93,482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106,715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56"/>
        </w:trPr>
        <w:tc>
          <w:tcPr>
            <w:tcW w:w="36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203,683</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69"/>
        </w:trPr>
        <w:tc>
          <w:tcPr>
            <w:tcW w:w="36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w w:val="84"/>
              </w:rPr>
              <w:t>2019</w:t>
            </w: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58,389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58,776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7"/>
        </w:trPr>
        <w:tc>
          <w:tcPr>
            <w:tcW w:w="3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21" w:right="339" w:bottom="0" w:gutter="0" w:footer="0" w:header="0"/>
        </w:sectPr>
      </w:pPr>
    </w:p>
    <w:bookmarkStart w:id="106" w:name="page107"/>
    <w:bookmarkEnd w:id="106"/>
    <w:p>
      <w:pPr>
        <w:ind w:left="2160"/>
        <w:spacing w:after="0"/>
        <w:tabs>
          <w:tab w:leader="none" w:pos="2680" w:val="left"/>
          <w:tab w:leader="none" w:pos="3520" w:val="left"/>
          <w:tab w:leader="none" w:pos="4240" w:val="left"/>
          <w:tab w:leader="none" w:pos="4880" w:val="left"/>
          <w:tab w:leader="none" w:pos="5620" w:val="left"/>
          <w:tab w:leader="none" w:pos="6240" w:val="left"/>
          <w:tab w:leader="none" w:pos="7160" w:val="left"/>
          <w:tab w:leader="none" w:pos="7560" w:val="left"/>
          <w:tab w:leader="none" w:pos="8080" w:val="left"/>
          <w:tab w:leader="none" w:pos="8880" w:val="left"/>
          <w:tab w:leader="none" w:pos="9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405,209</w:t>
        <w:tab/>
        <w:t>$</w:t>
      </w:r>
      <w:r>
        <w:rPr>
          <w:sz w:val="20"/>
          <w:szCs w:val="20"/>
          <w:color w:val="auto"/>
        </w:rPr>
        <w:tab/>
      </w:r>
      <w:r>
        <w:rPr>
          <w:rFonts w:ascii="Arial" w:cs="Arial" w:eastAsia="Arial" w:hAnsi="Arial"/>
          <w:sz w:val="18"/>
          <w:szCs w:val="18"/>
          <w:color w:val="auto"/>
        </w:rPr>
        <w:t>4,158</w:t>
        <w:tab/>
        <w:t>$</w:t>
      </w:r>
      <w:r>
        <w:rPr>
          <w:sz w:val="20"/>
          <w:szCs w:val="20"/>
          <w:color w:val="auto"/>
        </w:rPr>
        <w:tab/>
      </w:r>
      <w:r>
        <w:rPr>
          <w:rFonts w:ascii="Arial" w:cs="Arial" w:eastAsia="Arial" w:hAnsi="Arial"/>
          <w:sz w:val="18"/>
          <w:szCs w:val="18"/>
          <w:color w:val="auto"/>
        </w:rPr>
        <w:t>5,048</w:t>
        <w:tab/>
        <w:t>$</w:t>
      </w:r>
      <w:r>
        <w:rPr>
          <w:sz w:val="20"/>
          <w:szCs w:val="20"/>
          <w:color w:val="auto"/>
        </w:rPr>
        <w:tab/>
      </w:r>
      <w:r>
        <w:rPr>
          <w:rFonts w:ascii="Arial" w:cs="Arial" w:eastAsia="Arial" w:hAnsi="Arial"/>
          <w:sz w:val="18"/>
          <w:szCs w:val="18"/>
          <w:color w:val="auto"/>
        </w:rPr>
        <w:t>41</w:t>
        <w:tab/>
        <w:t>$</w:t>
      </w:r>
      <w:r>
        <w:rPr>
          <w:sz w:val="20"/>
          <w:szCs w:val="20"/>
          <w:color w:val="auto"/>
        </w:rPr>
        <w:tab/>
      </w:r>
      <w:r>
        <w:rPr>
          <w:rFonts w:ascii="Arial" w:cs="Arial" w:eastAsia="Arial" w:hAnsi="Arial"/>
          <w:sz w:val="18"/>
          <w:szCs w:val="18"/>
          <w:color w:val="auto"/>
        </w:rPr>
        <w:t>410,257</w:t>
        <w:tab/>
        <w:t>$</w:t>
      </w:r>
      <w:r>
        <w:rPr>
          <w:sz w:val="20"/>
          <w:szCs w:val="20"/>
          <w:color w:val="auto"/>
        </w:rPr>
        <w:tab/>
      </w:r>
      <w:r>
        <w:rPr>
          <w:rFonts w:ascii="Arial" w:cs="Arial" w:eastAsia="Arial" w:hAnsi="Arial"/>
          <w:sz w:val="16"/>
          <w:szCs w:val="16"/>
          <w:color w:val="auto"/>
        </w:rPr>
        <w:t>4,199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14605</wp:posOffset>
            </wp:positionV>
            <wp:extent cx="4989195"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89195" cy="34290"/>
                    </a:xfrm>
                    <a:prstGeom prst="rect">
                      <a:avLst/>
                    </a:prstGeom>
                    <a:noFill/>
                  </pic:spPr>
                </pic:pic>
              </a:graphicData>
            </a:graphic>
          </wp:anchor>
        </w:drawing>
      </w:r>
    </w:p>
    <w:p>
      <w:pPr>
        <w:sectPr>
          <w:pgSz w:w="11900" w:h="16838" w:orient="portrait"/>
          <w:cols w:equalWidth="0" w:num="1">
            <w:col w:w="10020"/>
          </w:cols>
          <w:pgMar w:left="1440" w:top="125" w:right="4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125" w:right="439" w:bottom="1440" w:gutter="0" w:footer="0" w:header="0"/>
          <w:type w:val="continuous"/>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There were 11 securities with an unrealized loss at December 31, 2020.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December 31, 2020, management believes the impairments detailed in the table above are temporary and no impairment loss has been realized in the Company’s CFS.</w:t>
      </w:r>
    </w:p>
    <w:p>
      <w:pPr>
        <w:spacing w:after="0" w:line="21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3.</w:t>
        <w:tab/>
        <w:t>LOANS HELD FOR INVESTMENT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Loans are summarized by category at year-end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311,686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205,840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94,494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2,221,583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2,143,623</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(45,553)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(24,197)</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2,176,030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u w:val="single" w:color="auto"/>
          <w:color w:val="auto"/>
        </w:rPr>
        <w:t>Commercial – General and Specialized</w:t>
      </w:r>
      <w:r>
        <w:rPr>
          <w:rFonts w:ascii="Arial" w:cs="Arial" w:eastAsia="Arial" w:hAnsi="Arial"/>
          <w:sz w:val="19"/>
          <w:szCs w:val="19"/>
          <w:i w:val="1"/>
          <w:iCs w:val="1"/>
          <w:color w:val="auto"/>
        </w:rPr>
        <w:t xml:space="preserve"> </w:t>
      </w:r>
      <w:r>
        <w:rPr>
          <w:rFonts w:ascii="Arial" w:cs="Arial" w:eastAsia="Arial" w:hAnsi="Arial"/>
          <w:sz w:val="19"/>
          <w:szCs w:val="19"/>
          <w:color w:val="auto"/>
        </w:rPr>
        <w:t>– Commercial loans are underwritten after evaluating and understanding the borrower’s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200" w:lineRule="exact"/>
        <w:rPr>
          <w:sz w:val="20"/>
          <w:szCs w:val="20"/>
          <w:color w:val="auto"/>
        </w:rPr>
      </w:pP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u w:val="single" w:color="auto"/>
          <w:color w:val="auto"/>
        </w:rPr>
        <w:t>Commercial Real Estate</w:t>
      </w:r>
      <w:r>
        <w:rPr>
          <w:rFonts w:ascii="Arial" w:cs="Arial" w:eastAsia="Arial" w:hAnsi="Arial"/>
          <w:sz w:val="21"/>
          <w:szCs w:val="21"/>
          <w:i w:val="1"/>
          <w:iCs w:val="1"/>
          <w:color w:val="auto"/>
        </w:rPr>
        <w:t xml:space="preserve"> </w:t>
      </w:r>
      <w:r>
        <w:rPr>
          <w:rFonts w:ascii="Arial" w:cs="Arial" w:eastAsia="Arial" w:hAnsi="Arial"/>
          <w:sz w:val="21"/>
          <w:szCs w:val="21"/>
          <w:color w:val="auto"/>
        </w:rPr>
        <w:t>– Commercial real estate loans are also subject to underwriting standards and processes similar to</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Construction</w:t>
      </w:r>
      <w:r>
        <w:rPr>
          <w:rFonts w:ascii="Arial" w:cs="Arial" w:eastAsia="Arial" w:hAnsi="Arial"/>
          <w:sz w:val="22"/>
          <w:szCs w:val="22"/>
          <w:i w:val="1"/>
          <w:iCs w:val="1"/>
          <w:color w:val="auto"/>
        </w:rPr>
        <w:t xml:space="preserve"> </w:t>
      </w:r>
      <w:r>
        <w:rPr>
          <w:rFonts w:ascii="Arial" w:cs="Arial" w:eastAsia="Arial" w:hAnsi="Arial"/>
          <w:sz w:val="22"/>
          <w:szCs w:val="22"/>
          <w:color w:val="auto"/>
        </w:rPr>
        <w:t>– Loans for residential construction are for single-family properties to developers, builders, or end-users. These</w:t>
      </w:r>
      <w:r>
        <w:rPr>
          <w:rFonts w:ascii="Arial" w:cs="Arial" w:eastAsia="Arial" w:hAnsi="Arial"/>
          <w:sz w:val="22"/>
          <w:szCs w:val="22"/>
          <w:i w:val="1"/>
          <w:iCs w:val="1"/>
          <w:color w:val="auto"/>
        </w:rPr>
        <w:t xml:space="preserve"> </w:t>
      </w:r>
      <w:r>
        <w:rPr>
          <w:rFonts w:ascii="Arial" w:cs="Arial" w:eastAsia="Arial" w:hAnsi="Arial"/>
          <w:sz w:val="22"/>
          <w:szCs w:val="22"/>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ectPr>
          <w:pgSz w:w="11900" w:h="16838" w:orient="portrait"/>
          <w:cols w:equalWidth="0" w:num="1">
            <w:col w:w="11240"/>
          </w:cols>
          <w:pgMar w:left="320" w:top="121" w:right="339" w:bottom="949"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49" w:gutter="0" w:footer="0" w:header="0"/>
          <w:type w:val="continuous"/>
        </w:sectPr>
      </w:pPr>
    </w:p>
    <w:bookmarkStart w:id="108" w:name="page109"/>
    <w:bookmarkEnd w:id="108"/>
    <w:p>
      <w:pPr>
        <w:spacing w:after="0" w:line="62"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u w:val="single" w:color="auto"/>
          <w:color w:val="auto"/>
        </w:rPr>
        <w:t>Consumer</w:t>
      </w:r>
      <w:r>
        <w:rPr>
          <w:rFonts w:ascii="Arial" w:cs="Arial" w:eastAsia="Arial" w:hAnsi="Arial"/>
          <w:sz w:val="21"/>
          <w:szCs w:val="21"/>
          <w:i w:val="1"/>
          <w:iCs w:val="1"/>
          <w:color w:val="auto"/>
        </w:rPr>
        <w:t xml:space="preserve"> </w:t>
      </w:r>
      <w:r>
        <w:rPr>
          <w:rFonts w:ascii="Arial" w:cs="Arial" w:eastAsia="Arial" w:hAnsi="Arial"/>
          <w:sz w:val="21"/>
          <w:szCs w:val="21"/>
          <w:color w:val="auto"/>
        </w:rPr>
        <w:t>– Loans to consumers include 1-4 family residential loans, auto loans, and other loans for recreational vehicles or</w:t>
      </w:r>
      <w:r>
        <w:rPr>
          <w:rFonts w:ascii="Arial" w:cs="Arial" w:eastAsia="Arial" w:hAnsi="Arial"/>
          <w:sz w:val="21"/>
          <w:szCs w:val="21"/>
          <w:i w:val="1"/>
          <w:iCs w:val="1"/>
          <w:color w:val="auto"/>
        </w:rPr>
        <w:t xml:space="preserve"> </w:t>
      </w:r>
      <w:r>
        <w:rPr>
          <w:rFonts w:ascii="Arial" w:cs="Arial" w:eastAsia="Arial" w:hAnsi="Arial"/>
          <w:sz w:val="21"/>
          <w:szCs w:val="21"/>
          <w:color w:val="auto"/>
        </w:rPr>
        <w:t>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allowance for loan losses was $45.6 million at December 31, 2020, compared to $24.2 million at December 31, 2019. The allowance for loan losses to loans held for investment was 2.05% at December 31, 2020 and 1.13% at December 31, 2019. The increase in the allowance for loan losses at December 31, 2020 compared to December 31, 2019 is a result of economic effects from the ongoing COVID-19 pandemic as well as the decline in oil and gas prices that started in the first quarter of 2020. The full extent of the impact of the COVID-19 pandemic on the economy and the Company’s customers is still unknown at this time. Accordingly, additional provisions for loan losses may be necessary in future periods.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details the activity in the allowance for loan losses during 2020 and 2019. Allocation of a portion of the allowance to one category of loans does not preclude its availability to absorb losses in other categories.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4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18,962</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4,514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9,227</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25,570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(5,559)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45,553</w:t>
            </w:r>
          </w:p>
        </w:tc>
      </w:tr>
      <w:tr>
        <w:trPr>
          <w:trHeight w:val="21"/>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4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2,799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24,197</w:t>
            </w: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the Company’s investment in loans disaggregated based on the method of evaluating impairment: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r>
      <w:tr>
        <w:trPr>
          <w:trHeight w:val="198"/>
        </w:trPr>
        <w:tc>
          <w:tcPr>
            <w:tcW w:w="3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Evaluated</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Evaluated</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2020</w:t>
            </w:r>
          </w:p>
        </w:tc>
        <w:tc>
          <w:tcPr>
            <w:tcW w:w="5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311,686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513,683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358,193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205,840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94,494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2,208,562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44,458</w:t>
            </w:r>
          </w:p>
        </w:tc>
      </w:tr>
      <w:tr>
        <w:trPr>
          <w:trHeight w:val="21"/>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657,896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308,932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215,209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82,520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2,139,456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23,672</w:t>
            </w:r>
          </w:p>
        </w:tc>
      </w:tr>
      <w:tr>
        <w:trPr>
          <w:trHeight w:val="20"/>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900" w:orient="portrait"/>
          <w:cols w:equalWidth="0" w:num="1">
            <w:col w:w="11240"/>
          </w:cols>
          <w:pgMar w:left="320" w:top="121" w:right="339" w:bottom="0" w:gutter="0" w:footer="0" w:header="0"/>
        </w:sectPr>
      </w:pPr>
    </w:p>
    <w:bookmarkStart w:id="109" w:name="page110"/>
    <w:bookmarkEnd w:id="109"/>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3997325</wp:posOffset>
            </wp:positionH>
            <wp:positionV relativeFrom="page">
              <wp:posOffset>97155</wp:posOffset>
            </wp:positionV>
            <wp:extent cx="32746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74695" cy="8255"/>
                    </a:xfrm>
                    <a:prstGeom prst="rect">
                      <a:avLst/>
                    </a:prstGeom>
                    <a:noFill/>
                  </pic:spPr>
                </pic:pic>
              </a:graphicData>
            </a:graphic>
          </wp:anchor>
        </w:drawing>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Impaired loan information at year-end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Allowance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29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Commercial -specialized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2019</w:t>
            </w:r>
          </w:p>
        </w:tc>
        <w:tc>
          <w:tcPr>
            <w:tcW w:w="2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2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754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299</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299</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1,059</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specialized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Commercial general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2,173</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5,484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6,764</w:t>
            </w:r>
          </w:p>
        </w:tc>
      </w:tr>
      <w:tr>
        <w:trPr>
          <w:trHeight w:val="21"/>
        </w:trPr>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impaired loans $250,000 and greater were specifically evaluated for impairment. Interest income recognized using a cash-basis method on impaired loans for 2020 and 2019 was not significant. Additional funds committed to be advanced on impaired loans are not significant.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provides an age analysis on accruing past-due loans and nonaccrual loans at year-end: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More Past 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6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2019</w:t>
            </w:r>
          </w:p>
        </w:tc>
        <w:tc>
          <w:tcPr>
            <w:tcW w:w="6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7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shd w:val="clear" w:color="auto" w:fill="CCEEFF"/>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7,179</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4,693</w:t>
            </w:r>
          </w:p>
        </w:tc>
      </w:tr>
      <w:tr>
        <w:trPr>
          <w:trHeight w:val="20"/>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internal classifications of loans at year-end: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42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61,094</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663,344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303,831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7,855</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311,686</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7,385</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360,315</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204,301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205,840</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67,595</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94,494</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94,494</w:t>
            </w: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2,135,565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86,018</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2019</w:t>
            </w:r>
          </w:p>
        </w:tc>
        <w:tc>
          <w:tcPr>
            <w:tcW w:w="4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6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632,641</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22,313</w:t>
            </w:r>
          </w:p>
        </w:tc>
        <w:tc>
          <w:tcPr>
            <w:tcW w:w="360" w:type="dxa"/>
            <w:vAlign w:val="bottom"/>
            <w:tcBorders>
              <w:top w:val="single" w:sz="8" w:color="CCEEFF"/>
            </w:tcBorders>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3,241</w:t>
            </w:r>
          </w:p>
        </w:tc>
        <w:tc>
          <w:tcPr>
            <w:tcW w:w="920" w:type="dxa"/>
            <w:vAlign w:val="bottom"/>
            <w:tcBorders>
              <w:top w:val="single" w:sz="8" w:color="CCEEFF"/>
            </w:tcBorders>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658,195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428,155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13,243</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356,422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6,374</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73,716</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74,000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82,520</w:t>
            </w:r>
          </w:p>
        </w:tc>
      </w:tr>
      <w:tr>
        <w:trPr>
          <w:trHeight w:val="27"/>
        </w:trPr>
        <w:tc>
          <w:tcPr>
            <w:tcW w:w="36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2,095,056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22,313</w:t>
            </w:r>
          </w:p>
        </w:tc>
        <w:tc>
          <w:tcPr>
            <w:tcW w:w="24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26,254</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2,143,623</w:t>
            </w:r>
          </w:p>
        </w:tc>
      </w:tr>
      <w:tr>
        <w:trPr>
          <w:trHeight w:val="21"/>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Under section 4013 of the Coronavirus Aid, Relief, and Economic Security Act (the “CARES Act”), banks may elect to deem that loan modifications do not result in a classification as a troubled debt restructuring (“TDR”) if they are (1) related to the COVID-19 pandemic; (2) executed on a loan that was not more than 30 days past due as of December 31, 2019; and (3) executed between March 1, 2020, and the earlier of (A) 60 days after the date of termination of the national emergency or (B) December 31, 2020. Under section 540 of the Consolidated Appropriations Act, 2021 (the “Act”), section 4013 of the CARES Act was amended. The period for loan modifications was extended to the earlier of (1) January 1, 2022, or (2) 60 days after the date of termination of the national emergency. The Company elected to adopt the provisions of the CARES Act and the Act.</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Additionally, other short-term modifications made on a good faith basis in response to the COVID-19 pandemic to borrowers who were current prior to any relief are not TDRs under ASC Subtopic 310-40 and the interagency statement released by the federal banking regulators on April 7, 2020 in response to the COVID-19 pandemic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response to the COVID-19 pandemic, the Company implemented a short-term deferral modification program that complies with ASC Subtopic 310-40 and the Joint Interagency Regulatory Guidance. As of December 31, 2020, the Company has an outstanding principal balance of modified loans of $3.0 million in loans that comply with ASC Subtopic 310-40 and the Joint Interagency Regulatory Guidance. These modifications include: $1.0 million in six months of interest-only payments, $300 thousand in 90 day commercial payment deferrals, and $1.7 million in consumer one to four month payment deferrals. The total of all of these short-term modifications represented 0.14% of outstanding loans held for investment at December 31, 2020.</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Beginning in April 2020, the Company began offering additional COVID-19 related deferral and modification of principal and/or interest payments to selected borrowers on a case-by-case basis that were outside the scope of the short-term deferral modification program. These additional modifications comply with the provisions of section 4013 of the CARES Act and section 501 of the Act. As of December 31, 2020 the Company had 25 loans totaling approximately $61.0 million subject to these deferral and modification agreements, representing 2.75% of outstanding loans held for investment.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There were no TDRs during 2020 and 2019.</w:t>
      </w:r>
    </w:p>
    <w:p>
      <w:pPr>
        <w:spacing w:after="0" w:line="24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4.</w:t>
        <w:tab/>
        <w:t>FORECLOSED ASSETS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Foreclosed assets activity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Current year valuation write-down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Activity in the valuation allowance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year valuation write-down</w:t>
            </w:r>
          </w:p>
        </w:tc>
        <w:tc>
          <w:tcPr>
            <w:tcW w:w="84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Reductions from sales</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r>
      <w:tr>
        <w:trPr>
          <w:trHeight w:val="27"/>
        </w:trPr>
        <w:tc>
          <w:tcPr>
            <w:tcW w:w="86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balance</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Net expenses related to foreclosed assets include: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sales</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year valuation write-down</w:t>
            </w: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7"/>
        </w:trPr>
        <w:tc>
          <w:tcPr>
            <w:tcW w:w="86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Foreclosed assets expense, net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0"/>
        </w:trPr>
        <w:tc>
          <w:tcPr>
            <w:tcW w:w="8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181"/>
        </w:trPr>
        <w:tc>
          <w:tcPr>
            <w:tcW w:w="8680" w:type="dxa"/>
            <w:vAlign w:val="bottom"/>
            <w:gridSpan w:val="2"/>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84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PREMISES AND EQUIPMENT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6"/>
        </w:trPr>
        <w:tc>
          <w:tcPr>
            <w:tcW w:w="8680" w:type="dxa"/>
            <w:vAlign w:val="bottom"/>
            <w:gridSpan w:val="2"/>
          </w:tcPr>
          <w:p>
            <w:pPr>
              <w:spacing w:after="0"/>
              <w:rPr>
                <w:sz w:val="20"/>
                <w:szCs w:val="20"/>
                <w:color w:val="auto"/>
              </w:rPr>
            </w:pPr>
            <w:r>
              <w:rPr>
                <w:rFonts w:ascii="Arial" w:cs="Arial" w:eastAsia="Arial" w:hAnsi="Arial"/>
                <w:sz w:val="22"/>
                <w:szCs w:val="22"/>
                <w:color w:val="auto"/>
              </w:rPr>
              <w:t>Detail of premises and equipment at year-end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2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63,972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Construction in process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123,137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(62,806)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(58,358)</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89"/>
        </w:trPr>
        <w:tc>
          <w:tcPr>
            <w:tcW w:w="8680" w:type="dxa"/>
            <w:vAlign w:val="bottom"/>
            <w:gridSpan w:val="2"/>
          </w:tcPr>
          <w:p>
            <w:pPr>
              <w:spacing w:after="0"/>
              <w:rPr>
                <w:sz w:val="20"/>
                <w:szCs w:val="20"/>
                <w:color w:val="auto"/>
              </w:rPr>
            </w:pPr>
            <w:r>
              <w:rPr>
                <w:rFonts w:ascii="Arial" w:cs="Arial" w:eastAsia="Arial" w:hAnsi="Arial"/>
                <w:sz w:val="22"/>
                <w:szCs w:val="22"/>
                <w:color w:val="auto"/>
              </w:rPr>
              <w:t>Depreciation expense was approximately $4.8 million in 2020 and $4.9 million in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9"/>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84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GOODWILL AND INTANGIBLES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Goodwill and other intangible assets, which consist of CDI, customer lists, and employment agreements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goodwill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Measurement period acquisition adjustment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goodwill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Amortized intangible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 intangibles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23"/>
        </w:trPr>
        <w:tc>
          <w:tcPr>
            <w:tcW w:w="86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Amortization expense for other intangibles for the years ended December 31, 2020 and December 31, 2019 totaled $1.7 million and $356 thousand, respectively. The estimated amount of amortization expense for core deposit intangible and other intangible assets to be recognized over the next five years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CDI</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Intangible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w:t>
            </w:r>
          </w:p>
        </w:tc>
      </w:tr>
      <w:tr>
        <w:trPr>
          <w:trHeight w:val="216"/>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2022</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r>
      <w:tr>
        <w:trPr>
          <w:trHeight w:val="216"/>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2024</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1,149</w:t>
            </w: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r>
    </w:tbl>
    <w:p>
      <w:pPr>
        <w:spacing w:after="0" w:line="2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MORTGAGE SERVICING RIGHTS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reflects the changes in fair value of the Company’s mortgage servicing rights asset included in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 and other information related to the serviced portfolio:</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2,054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88"/>
              </w:rPr>
              <w:t>9,829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adjustment, net of amortization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(2,834)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center"/>
              <w:ind w:left="390"/>
              <w:spacing w:after="0"/>
              <w:rPr>
                <w:sz w:val="20"/>
                <w:szCs w:val="20"/>
                <w:color w:val="auto"/>
              </w:rPr>
            </w:pPr>
            <w:r>
              <w:rPr>
                <w:rFonts w:ascii="Arial" w:cs="Arial" w:eastAsia="Arial" w:hAnsi="Arial"/>
                <w:sz w:val="18"/>
                <w:szCs w:val="18"/>
                <w:color w:val="auto"/>
                <w:w w:val="88"/>
              </w:rPr>
              <w:t>9,049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serviced for others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247,326</w:t>
            </w:r>
          </w:p>
        </w:tc>
        <w:tc>
          <w:tcPr>
            <w:tcW w:w="160" w:type="dxa"/>
            <w:vAlign w:val="bottom"/>
            <w:shd w:val="clear" w:color="auto" w:fill="CCEEFF"/>
          </w:tcPr>
          <w:p>
            <w:pPr>
              <w:spacing w:after="0"/>
              <w:rPr>
                <w:sz w:val="18"/>
                <w:szCs w:val="18"/>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Mortgage servicing right asset as a percentage of serviced mortgage loans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ectPr>
          <w:pgSz w:w="11900" w:h="16838" w:orient="portrait"/>
          <w:cols w:equalWidth="0" w:num="1">
            <w:col w:w="11240"/>
          </w:cols>
          <w:pgMar w:left="320" w:top="121" w:right="339" w:bottom="571"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71" w:gutter="0" w:footer="0" w:header="0"/>
          <w:type w:val="continuous"/>
        </w:sectPr>
      </w:pPr>
    </w:p>
    <w:bookmarkStart w:id="114" w:name="page115"/>
    <w:bookmarkEnd w:id="1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reflects the key assumptions used in measuring the fair value of the Company’s mortgage servicing rights: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constant prepayment rate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9.72%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10.78%</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life in years</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DEPOSITS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Time deposits that met or exceeded the FDIC Insurance limit of $250,000 were $147.0 million at December 31,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scheduled maturities of time deposits at December 31, 2020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187,976</w:t>
            </w:r>
          </w:p>
        </w:tc>
        <w:tc>
          <w:tcPr>
            <w:tcW w:w="8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2022</w:t>
            </w:r>
          </w:p>
        </w:tc>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83,077</w:t>
            </w: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45,218</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2024</w:t>
            </w:r>
          </w:p>
        </w:tc>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6,293</w:t>
            </w:r>
          </w:p>
        </w:tc>
        <w:tc>
          <w:tcPr>
            <w:tcW w:w="8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2,927</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57"/>
        </w:trPr>
        <w:tc>
          <w:tcPr>
            <w:tcW w:w="1980" w:type="dxa"/>
            <w:vAlign w:val="bottom"/>
            <w:shd w:val="clear" w:color="auto" w:fill="CCEEFF"/>
          </w:tcPr>
          <w:p>
            <w:pPr>
              <w:spacing w:after="0"/>
              <w:rPr>
                <w:sz w:val="22"/>
                <w:szCs w:val="22"/>
                <w:color w:val="auto"/>
              </w:rPr>
            </w:pPr>
          </w:p>
        </w:tc>
        <w:tc>
          <w:tcPr>
            <w:tcW w:w="6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325,501</w:t>
            </w:r>
          </w:p>
        </w:tc>
        <w:tc>
          <w:tcPr>
            <w:tcW w:w="80" w:type="dxa"/>
            <w:vAlign w:val="bottom"/>
            <w:shd w:val="clear" w:color="auto" w:fill="CCEEFF"/>
          </w:tcPr>
          <w:p>
            <w:pPr>
              <w:spacing w:after="0"/>
              <w:rPr>
                <w:sz w:val="22"/>
                <w:szCs w:val="22"/>
                <w:color w:val="auto"/>
              </w:rPr>
            </w:pPr>
          </w:p>
        </w:tc>
      </w:tr>
      <w:tr>
        <w:trPr>
          <w:trHeight w:val="45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9.  BORROWING ARRANGEMENTS</w:t>
            </w:r>
          </w:p>
        </w:tc>
        <w:tc>
          <w:tcPr>
            <w:tcW w:w="2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46"/>
        </w:trPr>
        <w:tc>
          <w:tcPr>
            <w:tcW w:w="8680" w:type="dxa"/>
            <w:vAlign w:val="bottom"/>
            <w:gridSpan w:val="2"/>
          </w:tcPr>
          <w:p>
            <w:pPr>
              <w:spacing w:after="0"/>
              <w:rPr>
                <w:sz w:val="20"/>
                <w:szCs w:val="20"/>
                <w:color w:val="auto"/>
              </w:rPr>
            </w:pPr>
            <w:r>
              <w:rPr>
                <w:rFonts w:ascii="Arial" w:cs="Arial" w:eastAsia="Arial" w:hAnsi="Arial"/>
                <w:sz w:val="22"/>
                <w:szCs w:val="22"/>
                <w:color w:val="auto"/>
              </w:rPr>
              <w:t>Short-term borrowings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3"/>
        </w:trPr>
        <w:tc>
          <w:tcPr>
            <w:tcW w:w="8680" w:type="dxa"/>
            <w:vAlign w:val="bottom"/>
            <w:gridSpan w:val="2"/>
          </w:tcPr>
          <w:p>
            <w:pPr>
              <w:spacing w:after="0"/>
              <w:rPr>
                <w:sz w:val="20"/>
                <w:szCs w:val="20"/>
                <w:color w:val="auto"/>
              </w:rPr>
            </w:pPr>
            <w:r>
              <w:rPr>
                <w:rFonts w:ascii="Arial" w:cs="Arial" w:eastAsia="Arial" w:hAnsi="Arial"/>
                <w:sz w:val="22"/>
                <w:szCs w:val="22"/>
                <w:color w:val="auto"/>
              </w:rPr>
              <w:t>The following table summarizes our short-term borrowings at year-end:</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56"/>
        </w:trPr>
        <w:tc>
          <w:tcPr>
            <w:tcW w:w="19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w:t>
            </w:r>
          </w:p>
        </w:tc>
        <w:tc>
          <w:tcPr>
            <w:tcW w:w="10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FHLB advances - short-term</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20,000</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37,165</w:t>
            </w:r>
          </w:p>
        </w:tc>
        <w:tc>
          <w:tcPr>
            <w:tcW w:w="100" w:type="dxa"/>
            <w:vAlign w:val="bottom"/>
            <w:tcBorders>
              <w:bottom w:val="single" w:sz="8" w:color="CCEEFF"/>
            </w:tcBorders>
            <w:gridSpan w:val="2"/>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Federal funds purchased are short-term borrowings that generally have one-day maturities.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Lines of credit</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bank subsidiary has a line of credit with FHLB. The amount of the line is determined by FHLB on a quarterly basis. The line is primarily used to purchase Federal funds or to secure letters of credit to pledge as collateral against certain public deposits. The line is collateralized by a blanket floating lien on all first mortgage loans and commercial real estate loans as well as all FHLB stock, which has a carrying amount of $2.8 million at December 31, 2020. The available capacity of the line was $512.5 million and $394.3 million at December 31, 2020 and 2019, respectively.</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$700.8 million and $547.0 million at December 31, 2020 and 2019, respectively. This line was not used at December 31, 2020 or 2019.</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bank subsidiary also has uncollateralized lines of credit with multiple banks. The total amount of the lines was $165.0 million and $135.0 million as of December 31, 2020 and 2019, respectively. These lines were not used at December 31, 2020 or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Notes payable and other borrowings</w:t>
      </w:r>
    </w:p>
    <w:p>
      <w:pPr>
        <w:spacing w:after="0" w:line="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The bank subsidiary has multiple advances from FHLB. The advances are collateralized through the line of credit with FHLB with interest payable monthly and principal due at maturity. The following table is a detail of the advances as of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Original</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41"/>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18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5"/>
              </w:rPr>
              <w:t>Amount of Advance</w:t>
            </w: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2020 Balance</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2019 Balance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Maturity Date</w:t>
            </w:r>
          </w:p>
        </w:tc>
        <w:tc>
          <w:tcPr>
            <w:tcW w:w="4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at December 31, 2020</w:t>
            </w:r>
          </w:p>
        </w:tc>
      </w:tr>
      <w:tr>
        <w:trPr>
          <w:trHeight w:val="216"/>
        </w:trPr>
        <w:tc>
          <w:tcPr>
            <w:tcW w:w="2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1.50%</w:t>
            </w:r>
          </w:p>
        </w:tc>
      </w:tr>
      <w:tr>
        <w:trPr>
          <w:trHeight w:val="216"/>
        </w:trPr>
        <w:tc>
          <w:tcPr>
            <w:tcW w:w="27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Variable; 0.19%</w:t>
            </w:r>
          </w:p>
        </w:tc>
      </w:tr>
      <w:tr>
        <w:trPr>
          <w:trHeight w:val="216"/>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Variable; 0.19%</w:t>
            </w:r>
          </w:p>
        </w:tc>
      </w:tr>
      <w:tr>
        <w:trPr>
          <w:trHeight w:val="223"/>
        </w:trPr>
        <w:tc>
          <w:tcPr>
            <w:tcW w:w="27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Variable; 0.23%</w:t>
            </w:r>
          </w:p>
        </w:tc>
      </w:tr>
      <w:tr>
        <w:trPr>
          <w:trHeight w:val="256"/>
        </w:trPr>
        <w:tc>
          <w:tcPr>
            <w:tcW w:w="2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In April 2020, City Bank borrowed $75 million from FHLB, on a term of three months, for liquidity needs. The three month advance matured in July 2020 and was repaid.</w:t>
      </w:r>
    </w:p>
    <w:p>
      <w:pPr>
        <w:sectPr>
          <w:pgSz w:w="11900" w:h="16838" w:orient="portrait"/>
          <w:cols w:equalWidth="0" w:num="1">
            <w:col w:w="11240"/>
          </w:cols>
          <w:pgMar w:left="320" w:top="121" w:right="339" w:bottom="31"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1" w:gutter="0" w:footer="0" w:header="0"/>
          <w:type w:val="continuous"/>
        </w:sectPr>
      </w:pPr>
    </w:p>
    <w:bookmarkStart w:id="115" w:name="page116"/>
    <w:bookmarkEnd w:id="1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Junior subordinated deferrable interest debentures and Trust preferred securities</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CFS.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is required by the Board of Governors of the Federal Reserve System (“Federal Reserve”)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Although the trusts are not consolidated in these CFS,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terms of the debentures and TPS allow for interest to be deferred for up to five years consecutively. During this time, shareholder dividends are not allowed to be paid.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is a detail of the debentures and TPS at December 31,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Stated Maturity</w:t>
            </w:r>
          </w:p>
        </w:tc>
        <w:tc>
          <w:tcPr>
            <w:tcW w:w="146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Interest Rate of</w:t>
            </w:r>
          </w:p>
        </w:tc>
      </w:tr>
      <w:tr>
        <w:trPr>
          <w:trHeight w:val="206"/>
        </w:trPr>
        <w:tc>
          <w:tcPr>
            <w:tcW w:w="3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of</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of TPS and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TPS and</w:t>
            </w:r>
          </w:p>
        </w:tc>
      </w:tr>
      <w:tr>
        <w:trPr>
          <w:trHeight w:val="251"/>
        </w:trPr>
        <w:tc>
          <w:tcPr>
            <w:tcW w:w="37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of TPS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Debentures</w:t>
            </w:r>
          </w:p>
        </w:tc>
        <w:tc>
          <w:tcPr>
            <w:tcW w:w="1680" w:type="dxa"/>
            <w:vAlign w:val="bottom"/>
            <w:gridSpan w:val="2"/>
          </w:tcPr>
          <w:p>
            <w:pPr>
              <w:jc w:val="center"/>
              <w:ind w:right="100"/>
              <w:spacing w:after="0" w:line="243" w:lineRule="exact"/>
              <w:rPr>
                <w:sz w:val="20"/>
                <w:szCs w:val="20"/>
                <w:color w:val="auto"/>
              </w:rPr>
            </w:pPr>
            <w:r>
              <w:rPr>
                <w:rFonts w:ascii="Arial" w:cs="Arial" w:eastAsia="Arial" w:hAnsi="Arial"/>
                <w:sz w:val="17"/>
                <w:szCs w:val="17"/>
                <w:b w:val="1"/>
                <w:bCs w:val="1"/>
                <w:color w:val="auto"/>
                <w:w w:val="91"/>
              </w:rPr>
              <w:t>Debentures</w:t>
            </w:r>
            <w:r>
              <w:rPr>
                <w:rFonts w:ascii="Arial" w:cs="Arial" w:eastAsia="Arial" w:hAnsi="Arial"/>
                <w:sz w:val="28"/>
                <w:szCs w:val="28"/>
                <w:b w:val="1"/>
                <w:bCs w:val="1"/>
                <w:color w:val="auto"/>
                <w:w w:val="91"/>
                <w:vertAlign w:val="superscript"/>
              </w:rPr>
              <w:t>(1)</w:t>
            </w:r>
          </w:p>
        </w:tc>
        <w:tc>
          <w:tcPr>
            <w:tcW w:w="146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87"/>
              </w:rPr>
              <w:t>Debentures</w:t>
            </w:r>
            <w:r>
              <w:rPr>
                <w:rFonts w:ascii="Arial" w:cs="Arial" w:eastAsia="Arial" w:hAnsi="Arial"/>
                <w:sz w:val="28"/>
                <w:szCs w:val="28"/>
                <w:b w:val="1"/>
                <w:bCs w:val="1"/>
                <w:color w:val="auto"/>
                <w:w w:val="87"/>
                <w:vertAlign w:val="superscript"/>
              </w:rPr>
              <w:t>(2)(3)</w:t>
            </w: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III</w:t>
            </w: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2004</w:t>
            </w: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10,310</w:t>
            </w:r>
          </w:p>
        </w:tc>
        <w:tc>
          <w:tcPr>
            <w:tcW w:w="200" w:type="dxa"/>
            <w:vAlign w:val="bottom"/>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3-mo. LIBOR +</w:t>
            </w:r>
          </w:p>
        </w:tc>
      </w:tr>
      <w:tr>
        <w:trPr>
          <w:trHeight w:val="230"/>
        </w:trPr>
        <w:tc>
          <w:tcPr>
            <w:tcW w:w="37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265bps; 2.86%</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South Plains Financial Capital Trust IV</w:t>
            </w:r>
          </w:p>
        </w:tc>
        <w:tc>
          <w:tcPr>
            <w:tcW w:w="1580" w:type="dxa"/>
            <w:vAlign w:val="bottom"/>
          </w:tcPr>
          <w:p>
            <w:pPr>
              <w:jc w:val="center"/>
              <w:spacing w:after="0" w:line="201" w:lineRule="exact"/>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20,000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20,619</w:t>
            </w:r>
          </w:p>
        </w:tc>
        <w:tc>
          <w:tcPr>
            <w:tcW w:w="16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2035</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3-mo. LIBOR +</w:t>
            </w:r>
          </w:p>
        </w:tc>
      </w:tr>
      <w:tr>
        <w:trPr>
          <w:trHeight w:val="230"/>
        </w:trPr>
        <w:tc>
          <w:tcPr>
            <w:tcW w:w="3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139bps; 1.61%</w:t>
            </w: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V</w:t>
            </w:r>
          </w:p>
        </w:tc>
        <w:tc>
          <w:tcPr>
            <w:tcW w:w="1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15,464</w:t>
            </w:r>
          </w:p>
        </w:tc>
        <w:tc>
          <w:tcPr>
            <w:tcW w:w="16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2037</w:t>
            </w: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3-mo. LIBOR +</w:t>
            </w:r>
          </w:p>
        </w:tc>
      </w:tr>
      <w:tr>
        <w:trPr>
          <w:trHeight w:val="237"/>
        </w:trPr>
        <w:tc>
          <w:tcPr>
            <w:tcW w:w="37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150bps; 1.72%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be redeemed five years from the issue date, the Company has no current plans to redeem; (2) Interest payable quarterly with principal due at maturity; (3) Rate as of last reset date.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Subordinated debt securities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In December 2018, the Company issued $26.5 million in subordinated debt securities. $12.4 million of the securities have a maturity date of December 2028 and a weighted average fixed rate of 5.74% for the first five years. The remaining $14.1 million of securities have a maturity date of December 2030 and a weighted average fixed rate of 6.41% for the first seven years. After the fixed rate periods, all securities will float at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September 29, 2020, the Company issued $50.0 million in subordinated debt securities. Proceeds were reduced by approximately $926 thousand in debt issuance costs. The securities have a maturity date of September 2030 with a fixed rate of 4.50% for the first five years. After the expiration of the fixed rate period, the securities will reset quarterly at a variable rate equal to the then current three-month Secured Overnight Financing Rate (“SOFR”), as published by the Federal Reserve Bank of New York, plus 438 basis points. These securities pay interest semi-annually, are unsecured, and may be called by the Company at any time after the remaining maturity is five years or less. Additionally, these securities qualify for Tier 2 capital treatment, subject to regulatory limitations.</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2020, the total amount of subordinated debt securities outstanding was $76.5 million less approximately $833,000 of remaining debt issuance costs for a total balance of $75.6 million.</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EMPLOYEE BENEFITS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sponsors the South Plains Financial, Inc. Employee Stock Ownership Plan (“ESOP”). Effective May 9, 2019, the ESOP was restated and amended. The 401(k) related assets, which consisted of participants’ elective and rollover accounts, were transferred to the newly formed City Bank 401(k) Plan. The ESOP covers all employees who have completed one month of service.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ESOP may be leveraged to purchase shares of SPFI stock. Shares are released from collateral and allocated to active employees, in proportion to annual debt service. The Company recognizes any debt of the ESOP as notes payable and the shares pledged as collateral are deducted from the stockholders’ equity as unearned ESOP shares in the accompanying consolidated balance sheets. All ESOP shares were allocated as of December 31, 2020 and 2019.</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Through 2019, the Company made contributions to the ESOP as approved by the Board of Directors on an annual basis. These contributions, plus dividends received, are used to service any ESOP debt and repurchase allocated shares from participants and terminating vested participants. There were no Company contributions made to the ESOP in 2020, contributions to the ESOP were $1.8 million in 2019.</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As of December 31, 2020 and 2019, the number of shares held by the ESOP were 2,876,419 and 2,959,826, respectively. During 2019, the Company did not repurchase any shares from ESOP participants prior to the Company’s shares being publicly traded.</w:t>
      </w:r>
    </w:p>
    <w:p>
      <w:pPr>
        <w:spacing w:after="0" w:line="13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accordance with applicable provisions of Code, the terms of the ESOP, for so long as SPFI was a privately held company, ESOP participants would have the right, for a specified period of time, to require SPFI to repurchase shares of its common stock that were distributed to such participants by the ESOP. This repurchase obligation terminated upon the consummation of our initial public offering and listing of our common stock on the NASDAQ Global Select Market in May 2019. However, because we were privately held at December 31, 2018, the value of ESOP- owned shares have been deducted from stockholders’ equity in our consolidated changes in stockholders’ equity statement as of December 31, 2018. For all periods following our initial public offering and continued listing of our common stock on the NASDAQ Global Select Market, the ESOP-owned shares are and will be included in stockholders’ equity. At December 31, 2018, the fair value of all ESOP-owned shares subject to this repurchase obligation totaled $58.2 million.</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provisions of the 401(k) Plan, participants may elect to contribute pre-tax salary deferrals and direct investment of those salary deferrals among investments offered in the 401(k) Plan. The Company may elect to contribute a safe harbor match equal to 100% of the first 5% of the participants’ compensation contributed. The expense for Company contributions to the 401(k) Plan was $1.7 million in 2020 and $0 in 2019.</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u w:val="single" w:color="auto"/>
          <w:color w:val="auto"/>
        </w:rPr>
        <w:t>Employee Health Benefits</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has a self-insured welfare benefit plan which provides health and dental benefits. For</w:t>
      </w:r>
      <w:r>
        <w:rPr>
          <w:rFonts w:ascii="Arial" w:cs="Arial" w:eastAsia="Arial" w:hAnsi="Arial"/>
          <w:sz w:val="19"/>
          <w:szCs w:val="19"/>
          <w:i w:val="1"/>
          <w:iCs w:val="1"/>
          <w:color w:val="auto"/>
        </w:rPr>
        <w:t xml:space="preserve"> </w:t>
      </w:r>
      <w:r>
        <w:rPr>
          <w:rFonts w:ascii="Arial" w:cs="Arial" w:eastAsia="Arial" w:hAnsi="Arial"/>
          <w:sz w:val="19"/>
          <w:szCs w:val="19"/>
          <w:color w:val="auto"/>
        </w:rPr>
        <w:t>officers of the Company, 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$4.4 million and $4.8 million for the years ending December 31, 2020 and 2019, respectively. In addition, benefit obligations have been accrued and include reported claims payable and claims incurred but not reported, for approximately $823 thousand and $464 thousand as of December 31, 2020 and 2019, respectively. The Company has limited its risk exposure for these benefits through a stop-loss policy with an independent third party insurer which reimburses benefits paid that exceed $100,000 per participant per year.</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u w:val="single" w:color="auto"/>
          <w:color w:val="auto"/>
        </w:rPr>
        <w:t>Non-Qualified Plans</w:t>
      </w:r>
      <w:r>
        <w:rPr>
          <w:rFonts w:ascii="Arial" w:cs="Arial" w:eastAsia="Arial" w:hAnsi="Arial"/>
          <w:sz w:val="19"/>
          <w:szCs w:val="19"/>
          <w:i w:val="1"/>
          <w:iCs w:val="1"/>
          <w:color w:val="auto"/>
        </w:rPr>
        <w:t xml:space="preserve"> </w:t>
      </w:r>
      <w:r>
        <w:rPr>
          <w:rFonts w:ascii="Arial" w:cs="Arial" w:eastAsia="Arial" w:hAnsi="Arial"/>
          <w:sz w:val="19"/>
          <w:szCs w:val="19"/>
          <w:color w:val="auto"/>
        </w:rPr>
        <w:t>- Certain Company executives, as determined by the Company’s Board from time-to-time, were granted</w:t>
      </w:r>
      <w:r>
        <w:rPr>
          <w:rFonts w:ascii="Arial" w:cs="Arial" w:eastAsia="Arial" w:hAnsi="Arial"/>
          <w:sz w:val="19"/>
          <w:szCs w:val="19"/>
          <w:i w:val="1"/>
          <w:iCs w:val="1"/>
          <w:color w:val="auto"/>
        </w:rPr>
        <w:t xml:space="preserve"> </w:t>
      </w:r>
      <w:r>
        <w:rPr>
          <w:rFonts w:ascii="Arial" w:cs="Arial" w:eastAsia="Arial" w:hAnsi="Arial"/>
          <w:sz w:val="19"/>
          <w:szCs w:val="19"/>
          <w:color w:val="auto"/>
        </w:rPr>
        <w:t>SARs based on grant date values. The rights had varying vesting provisions. Exercise and payment options for the rights varied and were governed by the program they were issued under as well as the specific award agreement. The charges to income for these rights were $610 thousand during 2019. See further discussion in Note 11 for conversion of SARs to stock options.</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Certain Company executives, as determined by the Company’s Board from time-to-time, 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$12.1 million and $11.4 million was accrued at December 31, 2020 and 2019, respectively. This plan is nonqualified, noncontributory, and unfunded. The charge to income for this plan during 2020 and 2019 was approximately $1.1 million and $1.1 million,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STOCK-BASED COMPENSATION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Equity Incentive Plan</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2,841,083</w:t>
      </w:r>
    </w:p>
    <w:p>
      <w:pPr>
        <w:sectPr>
          <w:pgSz w:w="11900" w:h="16838" w:orient="portrait"/>
          <w:cols w:equalWidth="0" w:num="1">
            <w:col w:w="11240"/>
          </w:cols>
          <w:pgMar w:left="320" w:top="121" w:right="339" w:bottom="0" w:gutter="0" w:footer="0" w:header="0"/>
        </w:sectPr>
      </w:pPr>
    </w:p>
    <w:bookmarkStart w:id="117" w:name="page118"/>
    <w:bookmarkEnd w:id="117"/>
    <w:p>
      <w:pPr>
        <w:spacing w:after="0" w:line="328" w:lineRule="auto"/>
        <w:rPr>
          <w:sz w:val="20"/>
          <w:szCs w:val="20"/>
          <w:color w:val="auto"/>
        </w:rPr>
      </w:pPr>
      <w:r>
        <w:rPr>
          <w:rFonts w:ascii="Arial" w:cs="Arial" w:eastAsia="Arial" w:hAnsi="Arial"/>
          <w:sz w:val="19"/>
          <w:szCs w:val="19"/>
          <w:color w:val="auto"/>
        </w:rPr>
        <w:t>at December 31, 2020. The maximum aggregate number of shares that may be issued under the Plan may be increased annually by up to 3% of the total issued and outstanding common shares of the Company at the beginning of each fiscal year.</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fair value of each option award is estimated on the date of grant using a closed form option valuation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Options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activity in the Plan during the year ended December 31, 2020 is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Remaining Contractual</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Aggregate</w:t>
            </w:r>
          </w:p>
        </w:tc>
      </w:tr>
      <w:tr>
        <w:trPr>
          <w:trHeight w:val="241"/>
        </w:trPr>
        <w:tc>
          <w:tcPr>
            <w:tcW w:w="2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Life in 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176"/>
        </w:trPr>
        <w:tc>
          <w:tcPr>
            <w:tcW w:w="5080" w:type="dxa"/>
            <w:vAlign w:val="bottom"/>
            <w:gridSpan w:val="2"/>
          </w:tcPr>
          <w:p>
            <w:pPr>
              <w:spacing w:after="0" w:line="176" w:lineRule="exact"/>
              <w:rPr>
                <w:sz w:val="20"/>
                <w:szCs w:val="20"/>
                <w:color w:val="auto"/>
              </w:rPr>
            </w:pPr>
            <w:r>
              <w:rPr>
                <w:rFonts w:ascii="Arial" w:cs="Arial" w:eastAsia="Arial" w:hAnsi="Arial"/>
                <w:sz w:val="18"/>
                <w:szCs w:val="18"/>
                <w:color w:val="auto"/>
              </w:rPr>
              <w:t>Year Ended December 31, 2020</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30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1,462,997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8,212</w:t>
            </w: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248,966</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20.93</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(122,207)</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w:t>
            </w: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(33,727)</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17.83</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23"/>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3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gridSpan w:val="2"/>
          </w:tcPr>
          <w:p>
            <w:pPr>
              <w:spacing w:after="0"/>
              <w:rPr>
                <w:sz w:val="18"/>
                <w:szCs w:val="18"/>
                <w:color w:val="auto"/>
              </w:rPr>
            </w:pPr>
          </w:p>
        </w:tc>
        <w:tc>
          <w:tcPr>
            <w:tcW w:w="20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1,554,894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7,107</w:t>
            </w:r>
          </w:p>
        </w:tc>
      </w:tr>
      <w:tr>
        <w:trPr>
          <w:trHeight w:val="209"/>
        </w:trPr>
        <w:tc>
          <w:tcPr>
            <w:tcW w:w="23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986,088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6,517</w:t>
            </w:r>
          </w:p>
        </w:tc>
      </w:tr>
      <w:tr>
        <w:trPr>
          <w:trHeight w:val="209"/>
        </w:trPr>
        <w:tc>
          <w:tcPr>
            <w:tcW w:w="23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986,088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6,517</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 summary of assumptions used to calculate the fair values of the awards is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5"/>
          </w:tcPr>
          <w:p>
            <w:pPr>
              <w:ind w:left="7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24.88% to 31.54%</w:t>
            </w:r>
          </w:p>
        </w:tc>
        <w:tc>
          <w:tcPr>
            <w:tcW w:w="16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w w:val="90"/>
              </w:rPr>
              <w:t>0.70%</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6.2 years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0.5 - 7.0 years</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1.46% to 2.63%</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7.98</w:t>
            </w: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total intrinsic value of options exercised during the years ended December 31, 2020 and December 31, 2019 was $1.1 million and $1.4 million, respectively.</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January 16, 2019, the Company approved the conversion of its previously issued SARs to stock options. There were 1,401,000 outstanding SARs that were converted effective as of May 6, 2019, which are included in the tables above. The fair value of the SARs was $11.5 million at the conversion date. During the modification of these awards from liabilities to equity, the Company accelerated the expiration date, between two and four years, on 750 thousand of the stock options. As a result, the fair value of the stock options after modification was $11.2 million. However, since the fair value of the new equity awards was less than the fair value of the liability awards, no adjustment was made to the Company’s income statement. The $11.5 million was reclassified from liabilities to equity.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Awards and Units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activity in the Plan during the year ended December 31, 2020 is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2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23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5"/>
        </w:trPr>
        <w:tc>
          <w:tcPr>
            <w:tcW w:w="8400" w:type="dxa"/>
            <w:vAlign w:val="bottom"/>
            <w:gridSpan w:val="2"/>
          </w:tcPr>
          <w:p>
            <w:pPr>
              <w:spacing w:after="0" w:line="176" w:lineRule="exact"/>
              <w:rPr>
                <w:sz w:val="20"/>
                <w:szCs w:val="20"/>
                <w:color w:val="auto"/>
              </w:rPr>
            </w:pPr>
            <w:r>
              <w:rPr>
                <w:rFonts w:ascii="Arial" w:cs="Arial" w:eastAsia="Arial" w:hAnsi="Arial"/>
                <w:sz w:val="18"/>
                <w:szCs w:val="18"/>
                <w:color w:val="auto"/>
              </w:rPr>
              <w:t>Year Ended December 31, 2020</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300" w:type="dxa"/>
            <w:vAlign w:val="bottom"/>
            <w:tcBorders>
              <w:top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r>
      <w:tr>
        <w:trPr>
          <w:trHeight w:val="216"/>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5,970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w:t>
            </w:r>
          </w:p>
        </w:tc>
      </w:tr>
      <w:tr>
        <w:trPr>
          <w:trHeight w:val="22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30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Balance, December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62,476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r>
      <w:tr>
        <w:trPr>
          <w:trHeight w:val="21"/>
        </w:trPr>
        <w:tc>
          <w:tcPr>
            <w:tcW w:w="2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Restricted stock units granted under the Plan typically vest over four years, but vesting periods may vary. Compensation expense for these grants will be recognized over the vesting period of the awards based on the fair value of the stock at the issue date.</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years ended December 31, 2020 and December 31, 2019 the Company recorded stock-based compensation expense related to the Plan of $1.3 million and $853 thousand, respectively.</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total unrecognized compensation cost for the awards outstanding under the Plan at December 31, 2020 was $3.0 million and will be recognized over a weighted average remaining period of 1.70 years. The total fair value of restricted stock units vested during the year ended December 31, 2020 was $489 thousand. There was no vesting of restricted stock units during the year ended December 31,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INCOME TAXES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income tax expense (benefit)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(1,588)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Effective tax rates differ from the federal statutory rate of 21% applied to income before income taxes due to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Years Ended December 31,</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 times financial statement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Effect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Tax-exempt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State taxes, net of federal benefit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from bank owned life insurance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7,481</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Year-end deferred tax assets and liabilities were due to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loan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4,669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real estate owned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Nonaccrual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15,312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10,343</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5,619</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RELATED-PARTY TRANSACTIONS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Direct and indirect loans to executive officers, directors, significant stockholders and their related affiliates as of December 31, 2020 and 2019 aggregated approximately $8.9 million and $10.3 million, respectively. There were no charge-offs related to these loans in 2020 or 2019 and advance and repayment activity was routine. Deposits from these related parties in the CFS were not significant.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OFF-BALANCE-SHEET ACTIVITIES, COMMITMENTS AND CONTINGENCIES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Financial instruments with off-balance-sheet risk</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is a party to financial instruments with off-balance-sheet risk in</w:t>
      </w:r>
      <w:r>
        <w:rPr>
          <w:rFonts w:ascii="Arial" w:cs="Arial" w:eastAsia="Arial" w:hAnsi="Arial"/>
          <w:sz w:val="22"/>
          <w:szCs w:val="22"/>
          <w:i w:val="1"/>
          <w:iCs w:val="1"/>
          <w:color w:val="auto"/>
        </w:rPr>
        <w:t xml:space="preserve"> </w:t>
      </w:r>
      <w:r>
        <w:rPr>
          <w:rFonts w:ascii="Arial" w:cs="Arial" w:eastAsia="Arial" w:hAnsi="Arial"/>
          <w:sz w:val="22"/>
          <w:szCs w:val="22"/>
          <w:color w:val="auto"/>
        </w:rPr>
        <w:t>the normal course of business to meet the financing needs of its customers. These financial instruments include commitments to extend credit and standby letters-of-credit. Such commitments involve, to varying degrees, elements of credit and interest rate risk in excess of the amount recognized in the CFS.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Company’s exposure to credit loss is represented by the contractual amount of these commitments. The Company follows the same credit policies in making commitments as it does for recorded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Financial instruments whose contract amounts represent credit risk outstanding at year-end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409,969</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letters-of-credit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10,481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10,748</w:t>
            </w:r>
          </w:p>
        </w:tc>
      </w:tr>
    </w:tbl>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Standby letters-of-credit are conditional commitments issued by the Company to guarantee the performance of a customer to a third party. Those letters-of-credit are primarily issued to support public and private borrowing arrangements. Essentially all letters-of-credit issued have expiration dates within one year. The credit risk involved in issuing letters-of-credit is essentially the same as that involved in extending loan facilities to customers. The Company requires collateral supporting those commitments if deemed necessary.</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Litigation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is a defendant in legal actions arising from time to time in the normal course of business. Management</w:t>
      </w:r>
      <w:r>
        <w:rPr>
          <w:rFonts w:ascii="Arial" w:cs="Arial" w:eastAsia="Arial" w:hAnsi="Arial"/>
          <w:sz w:val="22"/>
          <w:szCs w:val="22"/>
          <w:i w:val="1"/>
          <w:iCs w:val="1"/>
          <w:color w:val="auto"/>
        </w:rPr>
        <w:t xml:space="preserve"> </w:t>
      </w:r>
      <w:r>
        <w:rPr>
          <w:rFonts w:ascii="Arial" w:cs="Arial" w:eastAsia="Arial" w:hAnsi="Arial"/>
          <w:sz w:val="22"/>
          <w:szCs w:val="22"/>
          <w:color w:val="auto"/>
        </w:rPr>
        <w:t>believes that the ultimate liability, if any, arising from these matters will not materially affect the CFS, based on information known as of the date the CFS were available to be issued.</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FHLB Letters of Credit</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uses letters of credit to pledge to certain public deposits. The balance of these letters of</w:t>
      </w:r>
      <w:r>
        <w:rPr>
          <w:rFonts w:ascii="Arial" w:cs="Arial" w:eastAsia="Arial" w:hAnsi="Arial"/>
          <w:sz w:val="22"/>
          <w:szCs w:val="22"/>
          <w:i w:val="1"/>
          <w:iCs w:val="1"/>
          <w:color w:val="auto"/>
        </w:rPr>
        <w:t xml:space="preserve"> </w:t>
      </w:r>
      <w:r>
        <w:rPr>
          <w:rFonts w:ascii="Arial" w:cs="Arial" w:eastAsia="Arial" w:hAnsi="Arial"/>
          <w:sz w:val="22"/>
          <w:szCs w:val="22"/>
          <w:color w:val="auto"/>
        </w:rPr>
        <w:t>credit was $199.0 million and $199.0 million at December 31, 2020 and 2019, respectively.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u w:val="single" w:color="auto"/>
          <w:color w:val="auto"/>
        </w:rPr>
        <w:t>Lease Commitments</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leases certain office facilities and office equipment under operating leases. Rent expense for</w:t>
      </w:r>
      <w:r>
        <w:rPr>
          <w:rFonts w:ascii="Arial" w:cs="Arial" w:eastAsia="Arial" w:hAnsi="Arial"/>
          <w:sz w:val="21"/>
          <w:szCs w:val="21"/>
          <w:i w:val="1"/>
          <w:iCs w:val="1"/>
          <w:color w:val="auto"/>
        </w:rPr>
        <w:t xml:space="preserve"> </w:t>
      </w:r>
      <w:r>
        <w:rPr>
          <w:rFonts w:ascii="Arial" w:cs="Arial" w:eastAsia="Arial" w:hAnsi="Arial"/>
          <w:sz w:val="21"/>
          <w:szCs w:val="21"/>
          <w:color w:val="auto"/>
        </w:rPr>
        <w:t>all operating leases totaled approximately $2.4 million in 2020 and $2.0 million in 2019. Occupancy expense was reduced by approximately $856 thousand and $891 thousand for rental income during 2020 and 2019, respectively. Future minimum lease payments due under non-cancelable operating leases as of December 31, 2020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929</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CAPITAL AND REGULATORY MATTERS</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ectPr>
          <w:pgSz w:w="11900" w:h="16838" w:orient="portrait"/>
          <w:cols w:equalWidth="0" w:num="1">
            <w:col w:w="11240"/>
          </w:cols>
          <w:pgMar w:left="320" w:top="121" w:right="339"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21" w:name="page122"/>
    <w:bookmarkEnd w:id="1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July 2013, the Federal Reserve published final rules for the adoption of the Basel III regulatory capital framework (Basel III). Basel III, among other things, (i) introduces a new capital measure called Common Equity Tier 1 (“CET1”), (ii) specifies that Tier 1 capital consists of CET1 and Additional Tier 1 Capital instruments meeting specified requirements, (iii) defines Common Equity Tier 1 narrowly by requiring that most deductions/adjustments to regulatory capital measures be made to CET1 and not to the other components of capital and (iv) expands the scope of the deductions/adjustments as compared to existing regulations. Basel III became effective for the Company and its bank subsidiary on January 1, 2016 with certain transition provisions fully phased-in on January 1, 2019. The Company was in compliance with the fully phased in requirements at December 31, 2020.</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December 31, 2020 and 2019, that the Company and its bank subsidiary met all capital adequacy requirements to which they are subject.</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2020,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December 31, 2020 that management believes have changed the bank subsidiary’s category.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its bank subsidiary’s actual capital amounts and ratios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3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b w:val="1"/>
                <w:bCs w:val="1"/>
                <w:color w:val="auto"/>
              </w:rPr>
              <w:t>December 31, 2020: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473,425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260,531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404,138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260,481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248,077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210,906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210,866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198,462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Common Tier 1 (CET1):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173,688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173,654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161,250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144,347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20"/>
                <w:szCs w:val="20"/>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144,282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178,999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445"/>
        </w:trPr>
        <w:tc>
          <w:tcPr>
            <w:tcW w:w="324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373,684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263,769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263,702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251,145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213,527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213,473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Common Tier 1 (CET1):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277,835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11.06%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175,846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175,801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120,219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121,235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DERIVATIVES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utilizes interest rate swap agreements as part of its asset-liability management strategy to help manage its interest-rate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reflects the changes in fair value hedges included in the Consolidated Statements of Comprehensive Income as of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r>
              <w:rPr>
                <w:rFonts w:ascii="Arial" w:cs="Arial" w:eastAsia="Arial" w:hAnsi="Arial"/>
                <w:sz w:val="18"/>
                <w:szCs w:val="18"/>
                <w:b w:val="1"/>
                <w:bCs w:val="1"/>
                <w:color w:val="auto"/>
              </w:rPr>
              <w:t>Interest Rate Contracts</w:t>
            </w:r>
          </w:p>
        </w:tc>
        <w:tc>
          <w:tcPr>
            <w:tcW w:w="120" w:type="dxa"/>
            <w:vAlign w:val="bottom"/>
          </w:tcPr>
          <w:p>
            <w:pPr>
              <w:spacing w:after="0"/>
              <w:rPr>
                <w:sz w:val="20"/>
                <w:szCs w:val="20"/>
                <w:color w:val="auto"/>
              </w:rPr>
            </w:pPr>
          </w:p>
        </w:tc>
        <w:tc>
          <w:tcPr>
            <w:tcW w:w="2240" w:type="dxa"/>
            <w:vAlign w:val="bottom"/>
          </w:tcPr>
          <w:p>
            <w:pPr>
              <w:jc w:val="right"/>
              <w:ind w:right="690"/>
              <w:spacing w:after="0"/>
              <w:rPr>
                <w:sz w:val="20"/>
                <w:szCs w:val="20"/>
                <w:color w:val="auto"/>
              </w:rPr>
            </w:pPr>
            <w:r>
              <w:rPr>
                <w:rFonts w:ascii="Arial" w:cs="Arial" w:eastAsia="Arial" w:hAnsi="Arial"/>
                <w:sz w:val="18"/>
                <w:szCs w:val="18"/>
                <w:b w:val="1"/>
                <w:bCs w:val="1"/>
                <w:color w:val="auto"/>
              </w:rPr>
              <w:t>Location</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fair value on interest rate swaps hedging fixed rate loans</w:t>
            </w:r>
          </w:p>
        </w:tc>
        <w:tc>
          <w:tcPr>
            <w:tcW w:w="120" w:type="dxa"/>
            <w:vAlign w:val="bottom"/>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87"/>
              </w:rPr>
              <w:t>Interest income</w:t>
            </w: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(576)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Change in fair value on fixed rate loans - hedged item</w:t>
            </w:r>
          </w:p>
        </w:tc>
        <w:tc>
          <w:tcPr>
            <w:tcW w:w="2360" w:type="dxa"/>
            <w:vAlign w:val="bottom"/>
            <w:gridSpan w:val="2"/>
          </w:tcPr>
          <w:p>
            <w:pPr>
              <w:jc w:val="right"/>
              <w:ind w:right="1050"/>
              <w:spacing w:after="0"/>
              <w:rPr>
                <w:sz w:val="20"/>
                <w:szCs w:val="20"/>
                <w:color w:val="auto"/>
              </w:rPr>
            </w:pPr>
            <w:r>
              <w:rPr>
                <w:rFonts w:ascii="Arial" w:cs="Arial" w:eastAsia="Arial" w:hAnsi="Arial"/>
                <w:sz w:val="18"/>
                <w:szCs w:val="18"/>
                <w:color w:val="auto"/>
                <w:w w:val="97"/>
              </w:rPr>
              <w:t>Interest income</w:t>
            </w:r>
          </w:p>
        </w:tc>
        <w:tc>
          <w:tcPr>
            <w:tcW w:w="9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the fair value hedges included in the Consolidated Balance Sheets as of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ind w:left="60"/>
              <w:spacing w:after="0" w:line="198" w:lineRule="exact"/>
              <w:rPr>
                <w:sz w:val="20"/>
                <w:szCs w:val="20"/>
                <w:color w:val="auto"/>
              </w:rPr>
            </w:pPr>
            <w:r>
              <w:rPr>
                <w:rFonts w:ascii="Arial" w:cs="Arial" w:eastAsia="Arial" w:hAnsi="Arial"/>
                <w:sz w:val="18"/>
                <w:szCs w:val="18"/>
                <w:b w:val="1"/>
                <w:bCs w:val="1"/>
                <w:color w:val="auto"/>
              </w:rPr>
              <w:t>Notional</w:t>
            </w:r>
          </w:p>
        </w:tc>
        <w:tc>
          <w:tcPr>
            <w:tcW w:w="180" w:type="dxa"/>
            <w:vAlign w:val="bottom"/>
          </w:tcPr>
          <w:p>
            <w:pPr>
              <w:spacing w:after="0"/>
              <w:rPr>
                <w:sz w:val="17"/>
                <w:szCs w:val="17"/>
                <w:color w:val="auto"/>
              </w:rPr>
            </w:pPr>
          </w:p>
        </w:tc>
        <w:tc>
          <w:tcPr>
            <w:tcW w:w="94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Notional</w:t>
            </w:r>
          </w:p>
        </w:tc>
        <w:tc>
          <w:tcPr>
            <w:tcW w:w="300" w:type="dxa"/>
            <w:vAlign w:val="bottom"/>
          </w:tcPr>
          <w:p>
            <w:pPr>
              <w:spacing w:after="0"/>
              <w:rPr>
                <w:sz w:val="17"/>
                <w:szCs w:val="17"/>
                <w:color w:val="auto"/>
              </w:rPr>
            </w:pPr>
          </w:p>
        </w:tc>
        <w:tc>
          <w:tcPr>
            <w:tcW w:w="92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0"/>
                <w:szCs w:val="20"/>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the cash flow hedges included in the 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Pr>
          <w:p>
            <w:pPr>
              <w:spacing w:after="0"/>
              <w:rPr>
                <w:sz w:val="17"/>
                <w:szCs w:val="17"/>
                <w:color w:val="auto"/>
              </w:rPr>
            </w:pPr>
          </w:p>
        </w:tc>
        <w:tc>
          <w:tcPr>
            <w:tcW w:w="90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Pr>
          <w:p>
            <w:pPr>
              <w:spacing w:after="0"/>
              <w:rPr>
                <w:sz w:val="17"/>
                <w:szCs w:val="17"/>
                <w:color w:val="auto"/>
              </w:rPr>
            </w:pPr>
          </w:p>
        </w:tc>
        <w:tc>
          <w:tcPr>
            <w:tcW w:w="9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68,485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55,275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Mortgage banking derivatives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net gains (losses) relating to free standing derivative instruments used for risk management are summarized below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316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Forward contracts related to mortgage loans held for sale</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sales of loans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3160" w:type="dxa"/>
            <w:vAlign w:val="bottom"/>
          </w:tcPr>
          <w:p>
            <w:pPr>
              <w:spacing w:after="0"/>
              <w:rPr>
                <w:sz w:val="20"/>
                <w:szCs w:val="20"/>
                <w:color w:val="auto"/>
              </w:rPr>
            </w:pPr>
            <w:r>
              <w:rPr>
                <w:rFonts w:ascii="Arial" w:cs="Arial" w:eastAsia="Arial" w:hAnsi="Arial"/>
                <w:sz w:val="18"/>
                <w:szCs w:val="18"/>
                <w:color w:val="auto"/>
              </w:rPr>
              <w:t>Net gain (loss) on sales of loans</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reflects the amount and fair value of mortgage banking derivatives in the Consolidated Balance Sheets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Pr>
          <w:p>
            <w:pPr>
              <w:spacing w:after="0"/>
              <w:rPr>
                <w:sz w:val="17"/>
                <w:szCs w:val="17"/>
                <w:color w:val="auto"/>
              </w:rPr>
            </w:pPr>
          </w:p>
        </w:tc>
        <w:tc>
          <w:tcPr>
            <w:tcW w:w="90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Pr>
          <w:p>
            <w:pPr>
              <w:spacing w:after="0"/>
              <w:rPr>
                <w:sz w:val="17"/>
                <w:szCs w:val="17"/>
                <w:color w:val="auto"/>
              </w:rPr>
            </w:pPr>
          </w:p>
        </w:tc>
        <w:tc>
          <w:tcPr>
            <w:tcW w:w="9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210,716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5,115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52,875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included in other assets</w:t>
            </w: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210,716</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203,669</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58,948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tcPr>
          <w:p>
            <w:pPr>
              <w:ind w:left="340"/>
              <w:spacing w:after="0"/>
              <w:rPr>
                <w:sz w:val="20"/>
                <w:szCs w:val="20"/>
                <w:color w:val="auto"/>
              </w:rPr>
            </w:pPr>
            <w:r>
              <w:rPr>
                <w:rFonts w:ascii="Arial" w:cs="Arial" w:eastAsia="Arial" w:hAnsi="Arial"/>
                <w:sz w:val="18"/>
                <w:szCs w:val="18"/>
                <w:color w:val="auto"/>
              </w:rPr>
              <w:t>Total included in other liabilities</w:t>
            </w:r>
          </w:p>
        </w:tc>
        <w:tc>
          <w:tcPr>
            <w:tcW w:w="1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203,669</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58,948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60" w:type="dxa"/>
            <w:vAlign w:val="bottom"/>
            <w:vMerge w:val="restart"/>
          </w:tcPr>
          <w:p>
            <w:pPr>
              <w:jc w:val="right"/>
              <w:ind w:right="195"/>
              <w:spacing w:after="0"/>
              <w:rPr>
                <w:sz w:val="20"/>
                <w:szCs w:val="20"/>
                <w:color w:val="auto"/>
              </w:rPr>
            </w:pPr>
            <w:r>
              <w:rPr>
                <w:rFonts w:ascii="Arial" w:cs="Arial" w:eastAsia="Arial" w:hAnsi="Arial"/>
                <w:sz w:val="14"/>
                <w:szCs w:val="14"/>
                <w:color w:val="auto"/>
              </w:rPr>
              <w:t>95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9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PARENT COMPANY ONLY CONDENSED FINANCIAL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Condensed financial information of South Plains Financial, Inc.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CONDENSED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ind w:left="6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2"/>
        </w:trPr>
        <w:tc>
          <w:tcPr>
            <w:tcW w:w="6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w w:val="89"/>
              </w:rPr>
              <w:t>(In thousands</w:t>
            </w:r>
          </w:p>
        </w:tc>
        <w:tc>
          <w:tcPr>
            <w:tcW w:w="1340" w:type="dxa"/>
            <w:vAlign w:val="bottom"/>
            <w:gridSpan w:val="3"/>
          </w:tcPr>
          <w:p>
            <w:pPr>
              <w:jc w:val="right"/>
              <w:ind w:right="50"/>
              <w:spacing w:after="0" w:line="201" w:lineRule="exact"/>
              <w:rPr>
                <w:sz w:val="20"/>
                <w:szCs w:val="20"/>
                <w:color w:val="auto"/>
              </w:rPr>
            </w:pPr>
            <w:r>
              <w:rPr>
                <w:rFonts w:ascii="Arial" w:cs="Arial" w:eastAsia="Arial" w:hAnsi="Arial"/>
                <w:sz w:val="18"/>
                <w:szCs w:val="18"/>
                <w:color w:val="auto"/>
                <w:w w:val="87"/>
              </w:rPr>
              <w:t>except per share</w:t>
            </w:r>
          </w:p>
        </w:tc>
        <w:tc>
          <w:tcPr>
            <w:tcW w:w="100" w:type="dxa"/>
            <w:vAlign w:val="bottom"/>
          </w:tcPr>
          <w:p>
            <w:pPr>
              <w:spacing w:after="0"/>
              <w:rPr>
                <w:sz w:val="17"/>
                <w:szCs w:val="17"/>
                <w:color w:val="auto"/>
              </w:rPr>
            </w:pPr>
          </w:p>
        </w:tc>
      </w:tr>
      <w:tr>
        <w:trPr>
          <w:trHeight w:val="190"/>
        </w:trPr>
        <w:tc>
          <w:tcPr>
            <w:tcW w:w="8680" w:type="dxa"/>
            <w:vAlign w:val="bottom"/>
            <w:gridSpan w:val="3"/>
          </w:tcPr>
          <w:p>
            <w:pPr>
              <w:spacing w:after="0" w:line="190"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6"/>
                <w:szCs w:val="16"/>
                <w:color w:val="auto"/>
              </w:rPr>
            </w:pPr>
          </w:p>
        </w:tc>
        <w:tc>
          <w:tcPr>
            <w:tcW w:w="1480" w:type="dxa"/>
            <w:vAlign w:val="bottom"/>
            <w:gridSpan w:val="3"/>
          </w:tcPr>
          <w:p>
            <w:pPr>
              <w:jc w:val="right"/>
              <w:ind w:right="90"/>
              <w:spacing w:after="0" w:line="190" w:lineRule="exact"/>
              <w:rPr>
                <w:sz w:val="20"/>
                <w:szCs w:val="20"/>
                <w:color w:val="auto"/>
              </w:rPr>
            </w:pPr>
            <w:r>
              <w:rPr>
                <w:rFonts w:ascii="Arial" w:cs="Arial" w:eastAsia="Arial" w:hAnsi="Arial"/>
                <w:sz w:val="18"/>
                <w:szCs w:val="18"/>
                <w:color w:val="auto"/>
              </w:rPr>
              <w:t>data)</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67,890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Investment in banking subsidiary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421,355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372,292</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other subsidiary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3,906</w:t>
            </w:r>
          </w:p>
        </w:tc>
      </w:tr>
      <w:tr>
        <w:trPr>
          <w:trHeight w:val="256"/>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493,544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Debt</w:t>
            </w: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121,982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72,865</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370,048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306,182</w:t>
            </w:r>
          </w:p>
        </w:tc>
      </w:tr>
      <w:tr>
        <w:trPr>
          <w:trHeight w:val="257"/>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493,544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CONDENSED STATEMENTS OF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Years Ended December 31,</w:t>
            </w:r>
          </w:p>
        </w:tc>
      </w:tr>
      <w:tr>
        <w:trPr>
          <w:trHeight w:val="223"/>
        </w:trPr>
        <w:tc>
          <w:tcPr>
            <w:tcW w:w="50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income</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ESOP Contribution</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(3,390)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(3,562)</w:t>
            </w:r>
          </w:p>
        </w:tc>
      </w:tr>
      <w:tr>
        <w:trPr>
          <w:trHeight w:val="22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r>
      <w:tr>
        <w:trPr>
          <w:trHeight w:val="216"/>
        </w:trPr>
        <w:tc>
          <w:tcPr>
            <w:tcW w:w="5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before income tax and undistributed subsidiary income</w:t>
            </w:r>
          </w:p>
        </w:tc>
        <w:tc>
          <w:tcPr>
            <w:tcW w:w="3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Borders>
              <w:top w:val="single" w:sz="8" w:color="CCEEFF"/>
            </w:tcBorders>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(1,498)</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Equity in undistributed subsidiary income</w:t>
            </w: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25,241</w:t>
            </w: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5060" w:type="dxa"/>
            <w:vAlign w:val="bottom"/>
          </w:tcPr>
          <w:p>
            <w:pPr>
              <w:spacing w:after="0"/>
              <w:rPr>
                <w:sz w:val="24"/>
                <w:szCs w:val="24"/>
                <w:color w:val="auto"/>
              </w:rPr>
            </w:pPr>
          </w:p>
        </w:tc>
        <w:tc>
          <w:tcPr>
            <w:tcW w:w="3620" w:type="dxa"/>
            <w:vAlign w:val="bottom"/>
          </w:tcPr>
          <w:p>
            <w:pPr>
              <w:jc w:val="right"/>
              <w:ind w:right="2908"/>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0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5"/>
          </w:tcPr>
          <w:p>
            <w:pPr>
              <w:ind w:left="2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3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29,220</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undistributed subsidiary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(25,241)</w:t>
            </w: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Change in other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(1,601)</w:t>
            </w: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other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r>
      <w:tr>
        <w:trPr>
          <w:trHeight w:val="223"/>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Release of unearned ESOP shares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Cash paid in business combination</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(76,100)</w:t>
            </w:r>
          </w:p>
        </w:tc>
      </w:tr>
      <w:tr>
        <w:trPr>
          <w:trHeight w:val="216"/>
        </w:trPr>
        <w:tc>
          <w:tcPr>
            <w:tcW w:w="360" w:type="dxa"/>
            <w:vAlign w:val="bottom"/>
            <w:shd w:val="clear" w:color="auto" w:fill="CCEEFF"/>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from investing activities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(76,100)</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Proceeds from long-term borrowings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Repayments of long-term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(7,530)</w:t>
            </w: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51,392</w:t>
            </w: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to tax authorities for stock-based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Payments to repurchase common 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 based liability conversion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11,450</w:t>
            </w:r>
          </w:p>
        </w:tc>
      </w:tr>
      <w:tr>
        <w:trPr>
          <w:trHeight w:val="223"/>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Cash dividends on common stock</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r>
      <w:tr>
        <w:trPr>
          <w:trHeight w:val="223"/>
        </w:trPr>
        <w:tc>
          <w:tcPr>
            <w:tcW w:w="360" w:type="dxa"/>
            <w:vAlign w:val="bottom"/>
            <w:tcBorders>
              <w:bottom w:val="single" w:sz="8" w:color="CCEEFF"/>
            </w:tcBorders>
            <w:shd w:val="clear" w:color="auto" w:fill="CCEEFF"/>
          </w:tcPr>
          <w:p>
            <w:pPr>
              <w:spacing w:after="0"/>
              <w:rPr>
                <w:sz w:val="19"/>
                <w:szCs w:val="19"/>
                <w:color w:val="auto"/>
              </w:rPr>
            </w:pPr>
          </w:p>
        </w:tc>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cash from financing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(18,446)</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22,627</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18. EARNINGS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6"/>
        </w:trPr>
        <w:tc>
          <w:tcPr>
            <w:tcW w:w="7320" w:type="dxa"/>
            <w:vAlign w:val="bottom"/>
            <w:gridSpan w:val="2"/>
          </w:tcPr>
          <w:p>
            <w:pPr>
              <w:spacing w:after="0"/>
              <w:rPr>
                <w:sz w:val="20"/>
                <w:szCs w:val="20"/>
                <w:color w:val="auto"/>
              </w:rPr>
            </w:pPr>
            <w:r>
              <w:rPr>
                <w:rFonts w:ascii="Arial" w:cs="Arial" w:eastAsia="Arial" w:hAnsi="Arial"/>
                <w:sz w:val="22"/>
                <w:szCs w:val="22"/>
                <w:color w:val="auto"/>
              </w:rPr>
              <w:t>The factors used in the earnings per share computation follow:</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3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3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18,054,373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16,818,697</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18,339,033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17,040,550</w:t>
            </w:r>
          </w:p>
        </w:tc>
      </w:tr>
      <w:tr>
        <w:trPr>
          <w:trHeight w:val="216"/>
        </w:trPr>
        <w:tc>
          <w:tcPr>
            <w:tcW w:w="36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459"/>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19. SEGMENT INFORMATION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6"/>
        </w:trPr>
        <w:tc>
          <w:tcPr>
            <w:tcW w:w="7320" w:type="dxa"/>
            <w:vAlign w:val="bottom"/>
            <w:gridSpan w:val="2"/>
          </w:tcPr>
          <w:p>
            <w:pPr>
              <w:spacing w:after="0"/>
              <w:rPr>
                <w:sz w:val="20"/>
                <w:szCs w:val="20"/>
                <w:color w:val="auto"/>
              </w:rPr>
            </w:pPr>
            <w:r>
              <w:rPr>
                <w:rFonts w:ascii="Arial" w:cs="Arial" w:eastAsia="Arial" w:hAnsi="Arial"/>
                <w:sz w:val="22"/>
                <w:szCs w:val="22"/>
                <w:color w:val="auto"/>
              </w:rPr>
              <w:t>Financial results by reportable segment are detailed below:</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3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Banking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69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122,285</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122,285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(25,570)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(25,570)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101,603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(135,985)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(5,730)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(141,715)</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(10,804)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(11,250)</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3,584,828</w:t>
            </w:r>
          </w:p>
        </w:tc>
        <w:tc>
          <w:tcPr>
            <w:tcW w:w="22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14,332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3,599,160</w:t>
            </w: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81"/>
        </w:trPr>
        <w:tc>
          <w:tcPr>
            <w:tcW w:w="7320" w:type="dxa"/>
            <w:vAlign w:val="bottom"/>
            <w:gridSpan w:val="2"/>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3"/>
        </w:trPr>
        <w:tc>
          <w:tcPr>
            <w:tcW w:w="3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69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104,575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(2,799)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(2,799)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(117,160)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(4,548)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(121,708)</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34,450</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(7,097)</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(7,481)</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3,224,396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12,771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3,237,167</w:t>
            </w: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 ACCUMULATED OTHER COMPREHENSIVE INCOME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details the changes in accumulated other comprehensive income (loss) by component, net of tax: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Unrealized Gains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and (Losses) on</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9"/>
              </w:rPr>
              <w:t>Gains and (Losses)</w:t>
            </w:r>
          </w:p>
        </w:tc>
        <w:tc>
          <w:tcPr>
            <w:tcW w:w="17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Securities Available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20" w:type="dxa"/>
            <w:vAlign w:val="bottom"/>
            <w:gridSpan w:val="4"/>
          </w:tcPr>
          <w:p>
            <w:pPr>
              <w:ind w:left="800"/>
              <w:spacing w:after="0"/>
              <w:rPr>
                <w:sz w:val="20"/>
                <w:szCs w:val="20"/>
                <w:color w:val="auto"/>
              </w:rPr>
            </w:pPr>
            <w:r>
              <w:rPr>
                <w:rFonts w:ascii="Arial" w:cs="Arial" w:eastAsia="Arial" w:hAnsi="Arial"/>
                <w:sz w:val="18"/>
                <w:szCs w:val="18"/>
                <w:b w:val="1"/>
                <w:bCs w:val="1"/>
                <w:color w:val="auto"/>
                <w:w w:val="97"/>
              </w:rPr>
              <w:t>on Cash Flow hedges</w:t>
            </w:r>
          </w:p>
        </w:tc>
        <w:tc>
          <w:tcPr>
            <w:tcW w:w="10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 Sale</w:t>
            </w:r>
          </w:p>
        </w:tc>
        <w:tc>
          <w:tcPr>
            <w:tcW w:w="34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 reclassification</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22,272</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22,212</w:t>
            </w: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other comprehensive</w:t>
            </w:r>
          </w:p>
        </w:tc>
        <w:tc>
          <w:tcPr>
            <w:tcW w:w="8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(1,831)</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(1,831)</w:t>
            </w:r>
          </w:p>
        </w:tc>
      </w:tr>
      <w:tr>
        <w:trPr>
          <w:trHeight w:val="27"/>
        </w:trPr>
        <w:tc>
          <w:tcPr>
            <w:tcW w:w="36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820" w:type="dxa"/>
            <w:vAlign w:val="bottom"/>
            <w:tcBorders>
              <w:right w:val="single" w:sz="8" w:color="auto"/>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current period other comprehensive income</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20,441</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20,381</w:t>
            </w:r>
          </w:p>
        </w:tc>
      </w:tr>
      <w:tr>
        <w:trPr>
          <w:trHeight w:val="257"/>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CCEEFF"/>
              <w:right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2"/>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2019</w:t>
            </w:r>
          </w:p>
        </w:tc>
        <w:tc>
          <w:tcPr>
            <w:tcW w:w="4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(2,243)</w:t>
            </w: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before reclassification</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3,179</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3,179</w:t>
            </w: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other comprehensive</w:t>
            </w:r>
          </w:p>
        </w:tc>
        <w:tc>
          <w:tcPr>
            <w:tcW w:w="8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7"/>
        </w:trPr>
        <w:tc>
          <w:tcPr>
            <w:tcW w:w="36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current period other comprehensive income</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3,201</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3,201</w:t>
            </w:r>
          </w:p>
        </w:tc>
      </w:tr>
      <w:tr>
        <w:trPr>
          <w:trHeight w:val="256"/>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CCEEFF"/>
              <w:right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Amounts reclassified are shown on the Consolidated Statements of Comprehensive Income.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FAIR VALUE DISCLOSURES</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97"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Significant unobservable inputs for determining the fair values of assets or liabilities that reflect an entity’s own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assumptions that market participants would use in pricing the assets or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fair value measurements as of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56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272,607</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272,607</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373,362</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373,362</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106,715</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106,715</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33,572</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33,572</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Other securities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12,078</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80,174</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80,174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Mortgage servicing rights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9,049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9,049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6,734</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Liability derivatives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(4,357)</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11,926</w:t>
            </w: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 real estate owned</w:t>
            </w:r>
          </w:p>
        </w:tc>
        <w:tc>
          <w:tcPr>
            <w:tcW w:w="900" w:type="dxa"/>
            <w:vAlign w:val="bottom"/>
          </w:tcPr>
          <w:p>
            <w:pPr>
              <w:spacing w:after="0"/>
              <w:rPr>
                <w:sz w:val="20"/>
                <w:szCs w:val="20"/>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56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94,692</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464,516</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464,516</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107,289</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107,289</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36,346</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Loans held for sale (mandatory)</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32,809</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Asset derivatives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Liability derivatives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real estate owned</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w:t>
      </w:r>
      <w:r>
        <w:rPr>
          <w:rFonts w:ascii="Arial" w:cs="Arial" w:eastAsia="Arial" w:hAnsi="Arial"/>
          <w:sz w:val="22"/>
          <w:szCs w:val="22"/>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Loans held for sale (mandatory)</w:t>
      </w:r>
      <w:r>
        <w:rPr>
          <w:rFonts w:ascii="Arial" w:cs="Arial" w:eastAsia="Arial" w:hAnsi="Arial"/>
          <w:sz w:val="22"/>
          <w:szCs w:val="22"/>
          <w:color w:val="auto"/>
        </w:rPr>
        <w:t xml:space="preserve"> – Loans held for sale originated for mandatory delivery are reported at fair value. Fair value is determined using quoted prices for similar assets, adjusted for specific attributes of that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Mortgage servicing rights</w:t>
      </w:r>
      <w:r>
        <w:rPr>
          <w:rFonts w:ascii="Arial" w:cs="Arial" w:eastAsia="Arial" w:hAnsi="Arial"/>
          <w:sz w:val="22"/>
          <w:szCs w:val="22"/>
          <w:color w:val="auto"/>
        </w:rPr>
        <w:t xml:space="preserve"> – Mortgage servicing rights are reported at fair value. Fair value is based on market prices for comparable mortgage servicing contracts.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Derivatives</w:t>
      </w:r>
      <w:r>
        <w:rPr>
          <w:rFonts w:ascii="Arial" w:cs="Arial" w:eastAsia="Arial" w:hAnsi="Arial"/>
          <w:sz w:val="19"/>
          <w:szCs w:val="19"/>
          <w:color w:val="auto"/>
        </w:rPr>
        <w:t xml:space="preserve"> – Fair value of derivatives is based on valuation models using observable market data as of the measurement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8" w:name="page129"/>
    <w:bookmarkEnd w:id="1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Impaired loans</w:t>
      </w:r>
      <w:r>
        <w:rPr>
          <w:rFonts w:ascii="Arial" w:cs="Arial" w:eastAsia="Arial" w:hAnsi="Arial"/>
          <w:sz w:val="22"/>
          <w:szCs w:val="22"/>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Foreclosed assets</w:t>
      </w:r>
      <w:r>
        <w:rPr>
          <w:rFonts w:ascii="Arial" w:cs="Arial" w:eastAsia="Arial" w:hAnsi="Arial"/>
          <w:sz w:val="22"/>
          <w:szCs w:val="22"/>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Loans held for sale (best efforts)</w:t>
      </w:r>
      <w:r>
        <w:rPr>
          <w:rFonts w:ascii="Arial" w:cs="Arial" w:eastAsia="Arial" w:hAnsi="Arial"/>
          <w:sz w:val="22"/>
          <w:szCs w:val="22"/>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quantitative information about non-recurring Level 3 fair value measurements at December 31: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Range of</w:t>
            </w:r>
          </w:p>
        </w:tc>
      </w:tr>
      <w:tr>
        <w:trPr>
          <w:trHeight w:val="241"/>
        </w:trPr>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2820" w:type="dxa"/>
            <w:vAlign w:val="bottom"/>
          </w:tcPr>
          <w:p>
            <w:pPr>
              <w:ind w:left="580"/>
              <w:spacing w:after="0"/>
              <w:rPr>
                <w:sz w:val="20"/>
                <w:szCs w:val="20"/>
                <w:color w:val="auto"/>
              </w:rPr>
            </w:pPr>
            <w:r>
              <w:rPr>
                <w:rFonts w:ascii="Arial" w:cs="Arial" w:eastAsia="Arial" w:hAnsi="Arial"/>
                <w:sz w:val="18"/>
                <w:szCs w:val="18"/>
                <w:b w:val="1"/>
                <w:bCs w:val="1"/>
                <w:color w:val="auto"/>
              </w:rPr>
              <w:t>Valuation Techniques</w:t>
            </w:r>
          </w:p>
        </w:tc>
        <w:tc>
          <w:tcPr>
            <w:tcW w:w="100" w:type="dxa"/>
            <w:vAlign w:val="bottom"/>
          </w:tcPr>
          <w:p>
            <w:pPr>
              <w:spacing w:after="0"/>
              <w:rPr>
                <w:sz w:val="20"/>
                <w:szCs w:val="20"/>
                <w:color w:val="auto"/>
              </w:rPr>
            </w:pPr>
          </w:p>
        </w:tc>
        <w:tc>
          <w:tcPr>
            <w:tcW w:w="2820" w:type="dxa"/>
            <w:vAlign w:val="bottom"/>
          </w:tcPr>
          <w:p>
            <w:pPr>
              <w:ind w:left="60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Discounts</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2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11,926</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1,353</w:t>
            </w:r>
          </w:p>
        </w:tc>
        <w:tc>
          <w:tcPr>
            <w:tcW w:w="2820" w:type="dxa"/>
            <w:vAlign w:val="bottom"/>
          </w:tcPr>
          <w:p>
            <w:pPr>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9,049</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Conditional prepayment rate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r>
      <w:tr>
        <w:trPr>
          <w:trHeight w:val="216"/>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Discount rate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9.72%</w:t>
            </w: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3,642</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1,883</w:t>
            </w:r>
          </w:p>
        </w:tc>
        <w:tc>
          <w:tcPr>
            <w:tcW w:w="2820" w:type="dxa"/>
            <w:vAlign w:val="bottom"/>
          </w:tcPr>
          <w:p>
            <w:pPr>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Conditional prepayment rate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r>
      <w:tr>
        <w:trPr>
          <w:trHeight w:val="230"/>
        </w:trPr>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Discount rate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10.78%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carrying value measurements as of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2</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4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300,307</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2,176,030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2,179,573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2,179,573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15,233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15,233</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15,233</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70,731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70,731</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70,731</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2,974,351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2,649,830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329,609</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2,979,439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2,113</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45,690</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45,690</w:t>
            </w: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75,589</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76,889</w:t>
            </w:r>
          </w:p>
        </w:tc>
        <w:tc>
          <w:tcPr>
            <w:tcW w:w="180" w:type="dxa"/>
            <w:vAlign w:val="bottom"/>
          </w:tcPr>
          <w:p>
            <w:pPr>
              <w:spacing w:after="0"/>
              <w:rPr>
                <w:sz w:val="20"/>
                <w:szCs w:val="20"/>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76,889</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2</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4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158,099</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2,119,426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2,123,289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2,123,289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13,924</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69,397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69,397</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69,397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2,696,857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2,354,999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346,194</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2,701,193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2,283</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26,472</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tcPr>
          <w:p>
            <w:pPr>
              <w:spacing w:after="0"/>
              <w:rPr>
                <w:sz w:val="20"/>
                <w:szCs w:val="20"/>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26,472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9" w:name="page130"/>
    <w:bookmarkEnd w:id="1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BUSINESS COMBINATIONS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September 2019, Windmark acquired the operating assets of a crop insurance agency in Texas for $2.8 million. Windmark recorded $193 thousand for goodwill, which represents the excess of the cash paid compared to the fair market value of identifiable assets acquired. Fair value of the assets acquired and liabilities assumed in this transaction as of the closing date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509</w:t>
            </w: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Total assets acquired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 recorded in acquisition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gridSpan w:val="2"/>
            <w:shd w:val="clear" w:color="auto" w:fill="CCEEFF"/>
          </w:tcPr>
          <w:p>
            <w:pPr>
              <w:spacing w:after="0"/>
              <w:rPr>
                <w:sz w:val="21"/>
                <w:szCs w:val="21"/>
                <w:color w:val="auto"/>
              </w:rPr>
            </w:pPr>
          </w:p>
        </w:tc>
      </w:tr>
    </w:tbl>
    <w:p>
      <w:pPr>
        <w:spacing w:after="0" w:line="222"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In June 2020, Windmark acquired the operating assets of a crop insurance agency in Nebraska for $687 thousand. Fair value of the assets acquired in this transaction as of the closing date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ind w:left="500"/>
              <w:spacing w:after="0"/>
              <w:rPr>
                <w:sz w:val="20"/>
                <w:szCs w:val="20"/>
                <w:color w:val="auto"/>
              </w:rPr>
            </w:pPr>
            <w:r>
              <w:rPr>
                <w:rFonts w:ascii="Arial" w:cs="Arial" w:eastAsia="Arial" w:hAnsi="Arial"/>
                <w:sz w:val="18"/>
                <w:szCs w:val="18"/>
                <w:color w:val="auto"/>
              </w:rPr>
              <w:t>Goodwill recorded in acquisition</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10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 Company is still evaluating the fair values of other assets and other liabilities, additional adjustments may be recorded during the measurement period, but no later than one year from the closing date of the transaction. The Company will reflect measurement period adjustments, if any, in the period in which the adjustments are recognized, which may result in further adjustments to the values presented in the above table. The Company expects to finalize these values by June 30, 2021.</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West Texas State Bank</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November 2019, the Company completed its acquisition of West Texas State Bank (“WTSB”). This transaction resulted in six additional branches. The Company paid the shareholders of WTSB $76.1 million in cash, for all outstanding stock of WTSB and resulted in 100% ownership interest.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recognized total goodwill of $19.3 million which is calculated as the excess of both the consideration exchanged and liabilities assumed compared to the fair market value of identifiable assets acquired. None of the goodwill recognized is expected to be deductible for income tax purposes.</w:t>
      </w:r>
    </w:p>
    <w:p>
      <w:pPr>
        <w:spacing w:after="0" w:line="21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Company incurred expenses related to the acquisition of approximately $955 thousand for the year ended December 31, 2019, which are included in noninterest expense in the Consolidated Statements of Comprehensive Income.</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Non-credit impaired loans had a fair value of $196.2 million at the acquisition date and contractual balance of $198.4 million. As of the acquisition date, the Company expects that an insignificant amount of the contractual balance of these loans will be uncollectible. The difference of $2.2 million will be recognized into interest income as an adjustment to yield over the life of the loans. Purchased credit impaired loans were insignificant.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Fair values of the assets acquired and liabilities assumed in this transaction as of the closing date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77,903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Interest-bearing time deposits in banks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Federal funds purchased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26,468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195,228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Bank-owned life insurance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Core deposit intangible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446,202</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Liabilities assumed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386,176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10020" w:type="dxa"/>
            <w:vAlign w:val="bottom"/>
          </w:tcPr>
          <w:p>
            <w:pPr>
              <w:ind w:left="50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56,785</w:t>
            </w:r>
          </w:p>
        </w:tc>
        <w:tc>
          <w:tcPr>
            <w:tcW w:w="100" w:type="dxa"/>
            <w:vAlign w:val="bottom"/>
          </w:tcPr>
          <w:p>
            <w:pPr>
              <w:spacing w:after="0"/>
              <w:rPr>
                <w:sz w:val="18"/>
                <w:szCs w:val="18"/>
                <w:color w:val="auto"/>
              </w:rPr>
            </w:pPr>
          </w:p>
        </w:tc>
      </w:tr>
      <w:tr>
        <w:trPr>
          <w:trHeight w:val="257"/>
        </w:trPr>
        <w:tc>
          <w:tcPr>
            <w:tcW w:w="10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Goodwill recorded in acquisition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During 2020, the Company made measurement period adjustments to reflect facts and circumstances in existence as of the closing date of the acquisition. These adjustments primarily included a $751 thousand increase in goodwill, a $900 thousand decrease in loans, and a $460 thousand decrease in other liabilities. The amount of income recorded in current period earnings that would have been recorded in the previous reporting period had the adjustment been recognized as of the acquisition date is not significant.</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The Company’s management has carried out an evaluation, under the supervision and with the participation of the Company’s Chief Executive Officer and Chief Financial Officer, of the effectiveness of its “disclosure controls and procedures,” as such term is defined in Rule 13a-15(e) promulgated under the Exchange Act. Based on this evaluation, the Company’s Chief Executive Officer and Chief Financial Officer concluded that, as of the end of the period covered by this Report, the disclosure controls and procedures of the Company were effective.</w:t>
      </w:r>
    </w:p>
    <w:p>
      <w:pPr>
        <w:spacing w:after="0" w:line="21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There have been no significant changes in our internal control over financial reporting during the three months ended December 31, 2020 that have materially affected, or are reasonably likely to materially affect, our internal control over financial reporting.</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design of any system of controls and procedures is based in part upon certain assumptions about the likelihood of future events. There can be no assurance that any design will succeed in achieving its stated goals under all potential future conditions, regardless of how remote.</w:t>
      </w:r>
    </w:p>
    <w:p>
      <w:pPr>
        <w:spacing w:after="0" w:line="21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u w:val="single" w:color="auto"/>
          <w:color w:val="auto"/>
        </w:rPr>
        <w:t>Report of Management on Internal Control over Financial Reporting</w:t>
      </w:r>
      <w:r>
        <w:rPr>
          <w:rFonts w:ascii="Arial" w:cs="Arial" w:eastAsia="Arial" w:hAnsi="Arial"/>
          <w:sz w:val="22"/>
          <w:szCs w:val="22"/>
          <w:color w:val="auto"/>
        </w:rPr>
        <w:t>. The management of the Company is responsible for establishing and maintaining adequate internal control over financial reporting, as such term is defined in Rules 13a-15(f) and 15d-15(f) under the Exchange Act. The internal control process has been designed under our supervision to provide reasonable assurance regarding the reliability of financial reporting and the preparation of the Company’s financial statements for external reporting purposes in accordance with GAAP.</w:t>
      </w:r>
    </w:p>
    <w:p>
      <w:pPr>
        <w:spacing w:after="0" w:line="214"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Management conducted an assessment of the effectiveness of the Company’s internal control over financial reporting as of December 31, 2020, utilizing the framework established in Internal Control – Integrated Framework 2013, issued by the Committee of Sponsoring Organizations of the Treadway Commission (“COSO”).</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Based on this assessment, management has determined that the Company’s internal control over financial reporting as of December 31, 2020 was effective.</w:t>
      </w:r>
    </w:p>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9"/>
          <w:szCs w:val="19"/>
          <w:color w:val="auto"/>
        </w:rPr>
        <w:t>Our internal control over financial reporting includes policies and procedures that pertain to the maintenance of records that accurately and fairly reflect, in reasonable detail, transactions and dispositions of assets and provide reasonable assurances that: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 transactions are recorded as necessary to permit preparation of financial statements in accordance with GAAP; (2) receipts</w:t>
      </w:r>
    </w:p>
    <w:p>
      <w:pPr>
        <w:sectPr>
          <w:pgSz w:w="11900" w:h="16838" w:orient="portrait"/>
          <w:cols w:equalWidth="0" w:num="1">
            <w:col w:w="11240"/>
          </w:cols>
          <w:pgMar w:left="320" w:top="121" w:right="339" w:bottom="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and expenditures are being made only in accordance with authorizations of management and the directors of the Company; and</w:t>
      </w:r>
    </w:p>
    <w:p>
      <w:pPr>
        <w:spacing w:after="0" w:line="43" w:lineRule="exact"/>
        <w:rPr>
          <w:sz w:val="20"/>
          <w:szCs w:val="20"/>
          <w:color w:val="auto"/>
        </w:rPr>
      </w:pPr>
    </w:p>
    <w:p>
      <w:pPr>
        <w:ind w:right="20" w:firstLine="8"/>
        <w:spacing w:after="0" w:line="236" w:lineRule="auto"/>
        <w:tabs>
          <w:tab w:leader="none" w:pos="334"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unauthorized acquisition, use, or disposition of the Company’s assets that could have a material effect on the Company’s financial statements are prevented or timely detected.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This Report does not include an attestation report of the Company’s independent registered public accounting firm regarding internal control over financial reporting. As an emerging growth company, management’s report was not subject to attestation by the Company’s independent registered public accounting firm in accordance with the JOBS Act.</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The information required by this Item is incorporated herein by reference to our Definitive Proxy Statement for the </w:t>
      </w:r>
      <w:r>
        <w:rPr>
          <w:rFonts w:ascii="Arial" w:cs="Arial" w:eastAsia="Arial" w:hAnsi="Arial"/>
          <w:sz w:val="22"/>
          <w:szCs w:val="22"/>
          <w:color w:val="auto"/>
          <w:shd w:val="clear" w:color="auto" w:fill="E0E0E0"/>
        </w:rPr>
        <w:t>2021</w:t>
      </w:r>
      <w:r>
        <w:rPr>
          <w:rFonts w:ascii="Arial" w:cs="Arial" w:eastAsia="Arial" w:hAnsi="Arial"/>
          <w:sz w:val="22"/>
          <w:szCs w:val="22"/>
          <w:color w:val="auto"/>
        </w:rPr>
        <w:t xml:space="preserve"> Annual Meeting of Shareholders to be filed with the Securities and Exchange Commission within 120 days after our fiscal year end (the “Proxy Statement”).</w:t>
      </w:r>
    </w:p>
    <w:p>
      <w:pPr>
        <w:spacing w:after="0" w:line="21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 xml:space="preserve">In accordance with Item 406 of Regulation S-K, we have adopted a Code of Business Conduct and Ethics that applies to Company executives, directors and employees. The Code of Business Conduct and Ethics is posted on our website at </w:t>
      </w:r>
      <w:r>
        <w:rPr>
          <w:rFonts w:ascii="Arial" w:cs="Arial" w:eastAsia="Arial" w:hAnsi="Arial"/>
          <w:sz w:val="22"/>
          <w:szCs w:val="22"/>
          <w:u w:val="single" w:color="auto"/>
          <w:color w:val="auto"/>
        </w:rPr>
        <w:t>www.spfi.bank</w:t>
      </w:r>
      <w:r>
        <w:rPr>
          <w:rFonts w:ascii="Arial" w:cs="Arial" w:eastAsia="Arial" w:hAnsi="Arial"/>
          <w:sz w:val="22"/>
          <w:szCs w:val="22"/>
          <w:color w:val="auto"/>
        </w:rPr>
        <w:t xml:space="preserve"> under “Governance.” Within the time period required by the SEC, we will post on our website any amendment to the Code of Business Conduct and Ethics and any waiver applicable to our principal executive officer, principal financial officer, and principal accounting officer or controller.</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4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information required by this Item is incorporated herein by reference to our Proxy Statement to be filed with the Securities and Exchange Commission within 120 days after our fiscal year end.</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4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information required by this Item is incorporated herein by reference to our Proxy Statement to be filed with the Securities and Exchange Commission within 120 days after our fiscal year end.</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4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information required by this Item is incorporated herein by reference to our Proxy Statement to be filed with the Securities and Exchange Commission within 120 days after our fiscal year end.</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4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information required by this Item is incorporated herein by reference to our Proxy Statement to be filed with the Securities and Exchange Commission within 120 days after our fiscal year end.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5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consolidated financial statements, notes thereto and independent auditors’ report thereon, filed as part hereof, are listed in Item 8.</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required or applicable, or the required information is shown in the consolidated financial statements or the notes thereto.</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140" w:type="dxa"/>
            <w:vAlign w:val="bottom"/>
            <w:tcBorders>
              <w:top w:val="single" w:sz="8" w:color="auto"/>
            </w:tcBorders>
            <w:shd w:val="clear" w:color="auto" w:fill="CCEEFF"/>
          </w:tcPr>
          <w:p>
            <w:pPr>
              <w:spacing w:after="0" w:line="201" w:lineRule="exact"/>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2.1</w:t>
              </w:r>
            </w:hyperlink>
          </w:p>
        </w:tc>
        <w:tc>
          <w:tcPr>
            <w:tcW w:w="22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Agreement and Plan of Merger by and between South Plains Financial, Inc., SPFI Merger Sub, Inc., City Bank, and West Texas State</w:t>
            </w:r>
          </w:p>
        </w:tc>
      </w:tr>
      <w:tr>
        <w:trPr>
          <w:trHeight w:val="216"/>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3"/>
              </w:rPr>
              <w:t>Bank, dated as of July 25, 2019, (incorporated herein by reference to Exhibit 2.1 to Current Report on Form 8-K filed with the SEC on</w:t>
            </w:r>
          </w:p>
        </w:tc>
      </w:tr>
      <w:tr>
        <w:trPr>
          <w:trHeight w:val="216"/>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7"/>
              </w:rPr>
              <w:t>July 25, 2019 (File No. 38895)) (schedules to which have been omitted pursuant to Item 601(b)(2) of Regulation S-K and will be</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provided to the SEC upon request).</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1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3.1</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Amended and Restated Certificate of Formation of South Plains Financial, Inc. (incorporated herein by reference to Exhibit 3.1 to the</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Registration Statement on Form S-1 of South Plains Financial, Inc. (Registration No. 333-230851) filed April 29, 2019).</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1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3.2</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Amended and Restated Bylaws of South Plains Financial, Inc. (incorporated herein by reference to Exhibit 3.2 to the Registration</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Statement on Form S-1 of South Plains Financial, Inc. (Registration No. 333-230851) filed April 29, 2019).</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1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4.1</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Specimen common stock certificate of South Plains Financial, Inc. (incorporated herein by reference to Exhibit 4.1 to the Registration</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Statement on Form S-1 of South Plains Financial, Inc. (Registration No. 333-230851) filed April 29, 2019).</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1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4.2</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Indenture, dated September 29, 2020, by and between South Plains Financial, Inc. and UMB Bank, National Association, as trustee</w:t>
            </w:r>
          </w:p>
        </w:tc>
      </w:tr>
      <w:tr>
        <w:trPr>
          <w:trHeight w:val="216"/>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2"/>
              </w:rPr>
              <w:t>(incorporated herein by reference to Exhibit 4.1 to the Current Report on Form 8-K filed with the SEC on September 30, 2020 (File No.</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001-38895)).</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1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4.3</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Form of Fixed to Floating Rate Subordinated Note due September 30, 2030 (included as Exhibit A-2 to the Indenture incorporated</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herein by reference as Exhibit 4.2 hereto).</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1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10.1</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Form of Voting Agreement, dated as of July 25, 2019, by and among South Plains Financial, Inc., West Texas State Bank and the</w:t>
            </w:r>
          </w:p>
        </w:tc>
      </w:tr>
      <w:tr>
        <w:trPr>
          <w:trHeight w:val="216"/>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shareholders of West Texas State Bank party thereto (incorporated herein by reference to Exhibit 10.1 to the Current Report on Form 8-</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K filed with the SEC on July 25, 2019 (File No. 38895)).</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1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10.2</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Form of Director Support Agreement, dated as of July 25, 2019, by and among South Plains Financial, Inc. and each non-employee</w:t>
            </w:r>
          </w:p>
        </w:tc>
      </w:tr>
      <w:tr>
        <w:trPr>
          <w:trHeight w:val="216"/>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4"/>
              </w:rPr>
              <w:t>director of West Texas State Bank (incorporated herein by reference to Exhibit 10.2 to the Current Report on Form 8-K filed with the</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SEC on July 25, 2019 (File No. 38895)).</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36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10.3†</w:t>
              </w:r>
            </w:hyperlink>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Executive Employment Agreement, dated December 18, 2019, by and between South Plains Financial, Inc., City Bank, and Curtis C.</w:t>
            </w:r>
          </w:p>
        </w:tc>
      </w:tr>
      <w:tr>
        <w:trPr>
          <w:trHeight w:val="216"/>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4"/>
              </w:rPr>
              <w:t>Griffith (incorporated herein by reference to Exhibit 10.1 to the Current Report on Form 8-K filed at the SEC on December 19, 2019</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(File No. 001-38895)).</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36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10.4†</w:t>
              </w:r>
            </w:hyperlink>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Executive Employment Agreement, dated March 6, 2019, by and between South Plains Financial, Inc. and Cory T. Newsom</w:t>
            </w:r>
          </w:p>
        </w:tc>
      </w:tr>
      <w:tr>
        <w:trPr>
          <w:trHeight w:val="216"/>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(incorporated herein by reference to Exhibit 10.4 to the Registration Statement on Form S-1/A of South Plains Financial, Inc.</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(Registration No. 333-230851) filed April 29, 2019).</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36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10.7†</w:t>
              </w:r>
            </w:hyperlink>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South Plains Financial, Inc. 2019 Equity Incentive Plan (incorporated herein by reference to Exhibit 10.1 to the Registration Statement</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on Form S-1/A of South Plains Financial, Inc. (Registration No. 333-230851) filed April 29, 2019).</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36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10.12†</w:t>
              </w:r>
            </w:hyperlink>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Form of Stock Option Award Agreement under the South Plains Financial, Inc. 2019 Equity Incentive Plan (incorporated herein by</w:t>
            </w:r>
          </w:p>
        </w:tc>
      </w:tr>
      <w:tr>
        <w:trPr>
          <w:trHeight w:val="216"/>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4"/>
              </w:rPr>
              <w:t>reference to Exhibit 10.2 to the Registration Statement on Form S-1/A of South Plains Financial, Inc. (Registration No. 333-230851)</w:t>
            </w:r>
          </w:p>
        </w:tc>
      </w:tr>
      <w:tr>
        <w:trPr>
          <w:trHeight w:val="230"/>
        </w:trPr>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filed April 29, 2019).</w:t>
            </w:r>
          </w:p>
        </w:tc>
      </w:tr>
      <w:tr>
        <w:trPr>
          <w:trHeight w:val="596"/>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ind w:left="4160"/>
              <w:spacing w:after="0"/>
              <w:rPr>
                <w:sz w:val="20"/>
                <w:szCs w:val="20"/>
                <w:color w:val="auto"/>
              </w:rPr>
            </w:pPr>
            <w:r>
              <w:rPr>
                <w:rFonts w:ascii="Arial" w:cs="Arial" w:eastAsia="Arial" w:hAnsi="Arial"/>
                <w:sz w:val="14"/>
                <w:szCs w:val="14"/>
                <w:color w:val="auto"/>
              </w:rPr>
              <w:t>105</w:t>
            </w:r>
          </w:p>
        </w:tc>
      </w:tr>
      <w:tr>
        <w:trPr>
          <w:trHeight w:val="46"/>
        </w:trPr>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shd w:val="clear" w:color="auto" w:fill="CCEEFF"/>
          </w:tcPr>
          <w:p>
            <w:pPr>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10.16†</w:t>
              </w:r>
            </w:hyperlink>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Form of Restricted Stock Unit Award Agreement under the South Plains Financial, Inc. 2019 Equity Incentive Plan (incorporated herein</w:t>
            </w:r>
          </w:p>
        </w:tc>
      </w:tr>
      <w:tr>
        <w:trPr>
          <w:trHeight w:val="216"/>
        </w:trPr>
        <w:tc>
          <w:tcPr>
            <w:tcW w:w="940" w:type="dxa"/>
            <w:vAlign w:val="bottom"/>
            <w:shd w:val="clear" w:color="auto" w:fill="CCEEFF"/>
          </w:tcPr>
          <w:p>
            <w:pPr>
              <w:spacing w:after="0"/>
              <w:rPr>
                <w:sz w:val="18"/>
                <w:szCs w:val="18"/>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by reference to Exhibit 10.3 to the Registration Statement on Form S-1 of South Plains Financial, Inc. (Registration No. 333-230851)</w:t>
            </w:r>
          </w:p>
        </w:tc>
      </w:tr>
      <w:tr>
        <w:trPr>
          <w:trHeight w:val="230"/>
        </w:trPr>
        <w:tc>
          <w:tcPr>
            <w:tcW w:w="940" w:type="dxa"/>
            <w:vAlign w:val="bottom"/>
            <w:shd w:val="clear" w:color="auto" w:fill="CCEEFF"/>
          </w:tcPr>
          <w:p>
            <w:pPr>
              <w:spacing w:after="0"/>
              <w:rPr>
                <w:sz w:val="20"/>
                <w:szCs w:val="20"/>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filed April 29, 2019).</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02"/>
        </w:trPr>
        <w:tc>
          <w:tcPr>
            <w:tcW w:w="9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10.17†</w:t>
              </w:r>
            </w:hyperlink>
          </w:p>
        </w:tc>
        <w:tc>
          <w:tcPr>
            <w:tcW w:w="103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3"/>
              </w:rPr>
              <w:t>Form of Indemnification Agreement (incorporated herein by reference to Exhibit 10.9 to the Registration Statement on Form S-1/A of</w:t>
            </w:r>
          </w:p>
        </w:tc>
      </w:tr>
      <w:tr>
        <w:trPr>
          <w:trHeight w:val="230"/>
        </w:trPr>
        <w:tc>
          <w:tcPr>
            <w:tcW w:w="940" w:type="dxa"/>
            <w:vAlign w:val="bottom"/>
            <w:shd w:val="clear" w:color="auto" w:fill="CCEEFF"/>
          </w:tcPr>
          <w:p>
            <w:pPr>
              <w:spacing w:after="0"/>
              <w:rPr>
                <w:sz w:val="20"/>
                <w:szCs w:val="20"/>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 Plains Financial, Inc. (Registration No. 333-230851) filed April 29, 2019).</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02"/>
        </w:trPr>
        <w:tc>
          <w:tcPr>
            <w:tcW w:w="9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10.18†</w:t>
              </w:r>
            </w:hyperlink>
          </w:p>
        </w:tc>
        <w:tc>
          <w:tcPr>
            <w:tcW w:w="103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8"/>
              </w:rPr>
              <w:t>Deferred Compensation Plan Adoption Agreement of Cory T. Newsom (incorporated herein by reference to Exhibit 10.5 to the</w:t>
            </w:r>
          </w:p>
        </w:tc>
      </w:tr>
      <w:tr>
        <w:trPr>
          <w:trHeight w:val="230"/>
        </w:trPr>
        <w:tc>
          <w:tcPr>
            <w:tcW w:w="940" w:type="dxa"/>
            <w:vAlign w:val="bottom"/>
            <w:shd w:val="clear" w:color="auto" w:fill="CCEEFF"/>
          </w:tcPr>
          <w:p>
            <w:pPr>
              <w:spacing w:after="0"/>
              <w:rPr>
                <w:sz w:val="20"/>
                <w:szCs w:val="20"/>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Registration Statement on Form S-1/A of South Plains Financial, Inc. (Registration No. 333-230851) filed April 29, 2019).</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02"/>
        </w:trPr>
        <w:tc>
          <w:tcPr>
            <w:tcW w:w="9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10.19†</w:t>
              </w:r>
            </w:hyperlink>
          </w:p>
        </w:tc>
        <w:tc>
          <w:tcPr>
            <w:tcW w:w="103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2"/>
              </w:rPr>
              <w:t>Joint Beneficiary Designation Agreement of Cory Newsom, effective January 1, 2008 (incorporated herein by reference to Exhibit 10.6</w:t>
            </w:r>
          </w:p>
        </w:tc>
      </w:tr>
      <w:tr>
        <w:trPr>
          <w:trHeight w:val="230"/>
        </w:trPr>
        <w:tc>
          <w:tcPr>
            <w:tcW w:w="940" w:type="dxa"/>
            <w:vAlign w:val="bottom"/>
            <w:shd w:val="clear" w:color="auto" w:fill="CCEEFF"/>
          </w:tcPr>
          <w:p>
            <w:pPr>
              <w:spacing w:after="0"/>
              <w:rPr>
                <w:sz w:val="20"/>
                <w:szCs w:val="20"/>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to the Registration Statement on Form S-1/A of South Plains Financial, Inc. (Registration No. 333-230851) filed April 29, 2019).</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02"/>
        </w:trPr>
        <w:tc>
          <w:tcPr>
            <w:tcW w:w="9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10.20†</w:t>
              </w:r>
            </w:hyperlink>
          </w:p>
        </w:tc>
        <w:tc>
          <w:tcPr>
            <w:tcW w:w="103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3"/>
              </w:rPr>
              <w:t>Joint Beneficiary Designation Agreement of Cory Newsom, effective April 1, 2014 (incorporated herein by reference to Exhibit 10.7 to</w:t>
            </w:r>
          </w:p>
        </w:tc>
      </w:tr>
      <w:tr>
        <w:trPr>
          <w:trHeight w:val="230"/>
        </w:trPr>
        <w:tc>
          <w:tcPr>
            <w:tcW w:w="940" w:type="dxa"/>
            <w:vAlign w:val="bottom"/>
            <w:shd w:val="clear" w:color="auto" w:fill="CCEEFF"/>
          </w:tcPr>
          <w:p>
            <w:pPr>
              <w:spacing w:after="0"/>
              <w:rPr>
                <w:sz w:val="20"/>
                <w:szCs w:val="20"/>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the Registration Statement on Form S-1/A of South Plains Financial, Inc. (Registration No. 333-230851) filed April 29, 2019).</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02"/>
        </w:trPr>
        <w:tc>
          <w:tcPr>
            <w:tcW w:w="9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10.21</w:t>
              </w:r>
            </w:hyperlink>
          </w:p>
        </w:tc>
        <w:tc>
          <w:tcPr>
            <w:tcW w:w="103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1"/>
              </w:rPr>
              <w:t>Board Representation Agreement between South Plains Financial, Inc. and James C. Henry (incorporated herein by reference to Exhibit</w:t>
            </w:r>
          </w:p>
        </w:tc>
      </w:tr>
      <w:tr>
        <w:trPr>
          <w:trHeight w:val="230"/>
        </w:trPr>
        <w:tc>
          <w:tcPr>
            <w:tcW w:w="940" w:type="dxa"/>
            <w:vAlign w:val="bottom"/>
            <w:shd w:val="clear" w:color="auto" w:fill="CCEEFF"/>
          </w:tcPr>
          <w:p>
            <w:pPr>
              <w:spacing w:after="0"/>
              <w:rPr>
                <w:sz w:val="20"/>
                <w:szCs w:val="20"/>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10.8 to the Registration Statement on Form S-1/A of South Plains Financial, Inc. (Registration No. 333-230851) filed April 29, 2019).</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02"/>
        </w:trPr>
        <w:tc>
          <w:tcPr>
            <w:tcW w:w="9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10.22</w:t>
              </w:r>
            </w:hyperlink>
          </w:p>
        </w:tc>
        <w:tc>
          <w:tcPr>
            <w:tcW w:w="103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3"/>
              </w:rPr>
              <w:t>Form of Note Purchase Agreement, dated as of September 29, 2020, by and among South Plains Financial, Inc. and the Purchasers</w:t>
            </w:r>
          </w:p>
        </w:tc>
      </w:tr>
      <w:tr>
        <w:trPr>
          <w:trHeight w:val="230"/>
        </w:trPr>
        <w:tc>
          <w:tcPr>
            <w:tcW w:w="940" w:type="dxa"/>
            <w:vAlign w:val="bottom"/>
            <w:shd w:val="clear" w:color="auto" w:fill="CCEEFF"/>
          </w:tcPr>
          <w:p>
            <w:pPr>
              <w:spacing w:after="0"/>
              <w:rPr>
                <w:sz w:val="20"/>
                <w:szCs w:val="20"/>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(incorporated herein by reference to Exhibit 10.1 of the Current Report on Form 8-K filed on September 30, 2020 (File No. 001-38895)).</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02"/>
        </w:trPr>
        <w:tc>
          <w:tcPr>
            <w:tcW w:w="940" w:type="dxa"/>
            <w:vAlign w:val="bottom"/>
            <w:shd w:val="clear" w:color="auto" w:fill="CCEEFF"/>
          </w:tcPr>
          <w:p>
            <w:pPr>
              <w:spacing w:after="0" w:line="201" w:lineRule="exact"/>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10.23</w:t>
              </w:r>
            </w:hyperlink>
          </w:p>
        </w:tc>
        <w:tc>
          <w:tcPr>
            <w:tcW w:w="103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0"/>
              </w:rPr>
              <w:t>Form of Registration Rights Agreement, dated as of September 29, 2020, by and among South Plains Financial, Inc. and the Purchasers</w:t>
            </w:r>
          </w:p>
        </w:tc>
      </w:tr>
      <w:tr>
        <w:trPr>
          <w:trHeight w:val="230"/>
        </w:trPr>
        <w:tc>
          <w:tcPr>
            <w:tcW w:w="940" w:type="dxa"/>
            <w:vAlign w:val="bottom"/>
            <w:shd w:val="clear" w:color="auto" w:fill="CCEEFF"/>
          </w:tcPr>
          <w:p>
            <w:pPr>
              <w:spacing w:after="0"/>
              <w:rPr>
                <w:sz w:val="20"/>
                <w:szCs w:val="20"/>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(incorporated herein by reference to Exhibit 10.2 of the Current Report on Form 8-K filed on September 30, 2020 (File No. 001-38895)).</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rFonts w:ascii="Arial" w:cs="Arial" w:eastAsia="Arial" w:hAnsi="Arial"/>
                <w:sz w:val="18"/>
                <w:szCs w:val="18"/>
                <w:color w:val="0000EE"/>
              </w:rPr>
            </w:pPr>
            <w:hyperlink w:anchor="page138">
              <w:r>
                <w:rPr>
                  <w:rFonts w:ascii="Arial" w:cs="Arial" w:eastAsia="Arial" w:hAnsi="Arial"/>
                  <w:sz w:val="18"/>
                  <w:szCs w:val="18"/>
                  <w:u w:val="single" w:color="auto"/>
                  <w:color w:val="0000EE"/>
                </w:rPr>
                <w:t>21.1</w:t>
              </w:r>
            </w:hyperlink>
            <w:r>
              <w:rPr>
                <w:rFonts w:ascii="Arial" w:cs="Arial" w:eastAsia="Arial" w:hAnsi="Arial"/>
                <w:sz w:val="18"/>
                <w:szCs w:val="18"/>
                <w:color w:val="000000"/>
              </w:rPr>
              <w:t>*</w:t>
            </w: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Subsidiaries of South Plains Financial, Inc.</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rFonts w:ascii="Arial" w:cs="Arial" w:eastAsia="Arial" w:hAnsi="Arial"/>
                <w:sz w:val="18"/>
                <w:szCs w:val="18"/>
                <w:color w:val="0000EE"/>
              </w:rPr>
            </w:pPr>
            <w:hyperlink w:anchor="page139">
              <w:r>
                <w:rPr>
                  <w:rFonts w:ascii="Arial" w:cs="Arial" w:eastAsia="Arial" w:hAnsi="Arial"/>
                  <w:sz w:val="18"/>
                  <w:szCs w:val="18"/>
                  <w:u w:val="single" w:color="auto"/>
                  <w:color w:val="0000EE"/>
                </w:rPr>
                <w:t>23.1</w:t>
              </w:r>
            </w:hyperlink>
            <w:r>
              <w:rPr>
                <w:rFonts w:ascii="Arial" w:cs="Arial" w:eastAsia="Arial" w:hAnsi="Arial"/>
                <w:sz w:val="18"/>
                <w:szCs w:val="18"/>
                <w:color w:val="000000"/>
              </w:rPr>
              <w:t>*</w:t>
            </w: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Consent of Weaver and Tidwell, LLP.</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rFonts w:ascii="Arial" w:cs="Arial" w:eastAsia="Arial" w:hAnsi="Arial"/>
                <w:sz w:val="18"/>
                <w:szCs w:val="18"/>
                <w:color w:val="0000EE"/>
              </w:rPr>
            </w:pPr>
            <w:hyperlink w:anchor="page140">
              <w:r>
                <w:rPr>
                  <w:rFonts w:ascii="Arial" w:cs="Arial" w:eastAsia="Arial" w:hAnsi="Arial"/>
                  <w:sz w:val="18"/>
                  <w:szCs w:val="18"/>
                  <w:u w:val="single" w:color="auto"/>
                  <w:color w:val="0000EE"/>
                </w:rPr>
                <w:t>31.1</w:t>
              </w:r>
            </w:hyperlink>
            <w:r>
              <w:rPr>
                <w:rFonts w:ascii="Arial" w:cs="Arial" w:eastAsia="Arial" w:hAnsi="Arial"/>
                <w:sz w:val="18"/>
                <w:szCs w:val="18"/>
                <w:color w:val="000000"/>
              </w:rPr>
              <w:t>*</w:t>
            </w: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Certification by Chief Executive Officer pursuant to Rule 13a-14(a) under the Securities Exchange Act of 1934, as amended.</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u w:val="single" w:color="auto"/>
                  <w:color w:val="0000EE"/>
                </w:rPr>
                <w:t>31.2</w:t>
              </w:r>
            </w:hyperlink>
            <w:r>
              <w:rPr>
                <w:rFonts w:ascii="Arial" w:cs="Arial" w:eastAsia="Arial" w:hAnsi="Arial"/>
                <w:sz w:val="18"/>
                <w:szCs w:val="18"/>
                <w:color w:val="000000"/>
              </w:rPr>
              <w:t>*</w:t>
            </w: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Certification by Chief Financial Officer pursuant to Rule 13a-14(a) under the Securities Exchange Act of 1934, as amended.</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rFonts w:ascii="Arial" w:cs="Arial" w:eastAsia="Arial" w:hAnsi="Arial"/>
                <w:sz w:val="18"/>
                <w:szCs w:val="18"/>
                <w:color w:val="0000EE"/>
              </w:rPr>
            </w:pPr>
            <w:hyperlink w:anchor="page142">
              <w:r>
                <w:rPr>
                  <w:rFonts w:ascii="Arial" w:cs="Arial" w:eastAsia="Arial" w:hAnsi="Arial"/>
                  <w:sz w:val="18"/>
                  <w:szCs w:val="18"/>
                  <w:u w:val="single" w:color="auto"/>
                  <w:color w:val="0000EE"/>
                </w:rPr>
                <w:t>32.1</w:t>
              </w:r>
            </w:hyperlink>
            <w:r>
              <w:rPr>
                <w:rFonts w:ascii="Arial" w:cs="Arial" w:eastAsia="Arial" w:hAnsi="Arial"/>
                <w:sz w:val="18"/>
                <w:szCs w:val="18"/>
                <w:color w:val="000000"/>
              </w:rPr>
              <w:t>**</w:t>
            </w: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1350 Certification of Chief Executive Officer.</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rFonts w:ascii="Arial" w:cs="Arial" w:eastAsia="Arial" w:hAnsi="Arial"/>
                <w:sz w:val="18"/>
                <w:szCs w:val="18"/>
                <w:color w:val="0000EE"/>
              </w:rPr>
            </w:pPr>
            <w:hyperlink w:anchor="page143">
              <w:r>
                <w:rPr>
                  <w:rFonts w:ascii="Arial" w:cs="Arial" w:eastAsia="Arial" w:hAnsi="Arial"/>
                  <w:sz w:val="18"/>
                  <w:szCs w:val="18"/>
                  <w:u w:val="single" w:color="auto"/>
                  <w:color w:val="0000EE"/>
                </w:rPr>
                <w:t>32.2</w:t>
              </w:r>
            </w:hyperlink>
            <w:r>
              <w:rPr>
                <w:rFonts w:ascii="Arial" w:cs="Arial" w:eastAsia="Arial" w:hAnsi="Arial"/>
                <w:sz w:val="18"/>
                <w:szCs w:val="18"/>
                <w:color w:val="000000"/>
              </w:rPr>
              <w:t>**</w:t>
            </w: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1350 Certification of Chief Financial Officer.</w:t>
            </w:r>
          </w:p>
        </w:tc>
      </w:tr>
      <w:tr>
        <w:trPr>
          <w:trHeight w:val="216"/>
        </w:trPr>
        <w:tc>
          <w:tcPr>
            <w:tcW w:w="94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02"/>
        </w:trPr>
        <w:tc>
          <w:tcPr>
            <w:tcW w:w="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103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7"/>
              </w:rPr>
              <w:t>The following material from South Plains Financial, Inc.’s Form 10-K for the year ended December 31, 2020, formatted in XBRL</w:t>
            </w:r>
          </w:p>
        </w:tc>
      </w:tr>
      <w:tr>
        <w:trPr>
          <w:trHeight w:val="216"/>
        </w:trPr>
        <w:tc>
          <w:tcPr>
            <w:tcW w:w="940" w:type="dxa"/>
            <w:vAlign w:val="bottom"/>
            <w:shd w:val="clear" w:color="auto" w:fill="CCEEFF"/>
          </w:tcPr>
          <w:p>
            <w:pPr>
              <w:spacing w:after="0"/>
              <w:rPr>
                <w:sz w:val="18"/>
                <w:szCs w:val="18"/>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(eXtensible  Business  Reporting  Language),  filed  herewith:  (i)  Consolidated  Balance  Sheets,  (ii)  Consolidated  Statements  of</w:t>
            </w:r>
          </w:p>
        </w:tc>
      </w:tr>
      <w:tr>
        <w:trPr>
          <w:trHeight w:val="216"/>
        </w:trPr>
        <w:tc>
          <w:tcPr>
            <w:tcW w:w="940" w:type="dxa"/>
            <w:vAlign w:val="bottom"/>
            <w:shd w:val="clear" w:color="auto" w:fill="CCEEFF"/>
          </w:tcPr>
          <w:p>
            <w:pPr>
              <w:spacing w:after="0"/>
              <w:rPr>
                <w:sz w:val="18"/>
                <w:szCs w:val="18"/>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Comprehensive Income, (iii) Consolidated Statements of Changes in Stockholders’ Equity, (iv) Consolidated Statements of Cash Flows,</w:t>
            </w:r>
          </w:p>
        </w:tc>
      </w:tr>
      <w:tr>
        <w:trPr>
          <w:trHeight w:val="230"/>
        </w:trPr>
        <w:tc>
          <w:tcPr>
            <w:tcW w:w="940" w:type="dxa"/>
            <w:vAlign w:val="bottom"/>
            <w:shd w:val="clear" w:color="auto" w:fill="CCEEFF"/>
          </w:tcPr>
          <w:p>
            <w:pPr>
              <w:spacing w:after="0"/>
              <w:rPr>
                <w:sz w:val="20"/>
                <w:szCs w:val="20"/>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(v) Notes to Unaudited Consolidated Financial Statements.</w:t>
            </w:r>
          </w:p>
        </w:tc>
      </w:tr>
    </w:tbl>
    <w:p>
      <w:pPr>
        <w:spacing w:after="0" w:line="22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this Annual Report on Form 10-K.</w:t>
      </w:r>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Annual Report on Form 10-K.</w:t>
      </w:r>
    </w:p>
    <w:p>
      <w:pPr>
        <w:spacing w:after="0" w:line="25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22"/>
          <w:szCs w:val="22"/>
          <w:b w:val="1"/>
          <w:bCs w:val="1"/>
          <w:color w:val="auto"/>
        </w:rPr>
        <w:t>.</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10, 2021</w:t>
      </w:r>
      <w:r>
        <w:rPr>
          <w:sz w:val="20"/>
          <w:szCs w:val="20"/>
          <w:color w:val="auto"/>
        </w:rPr>
        <w:tab/>
      </w:r>
      <w:r>
        <w:rPr>
          <w:rFonts w:ascii="Arial" w:cs="Arial" w:eastAsia="Arial" w:hAnsi="Arial"/>
          <w:sz w:val="17"/>
          <w:szCs w:val="17"/>
          <w:color w:val="auto"/>
        </w:rPr>
        <w:t>By: /s/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231" w:lineRule="exact"/>
        <w:rPr>
          <w:sz w:val="20"/>
          <w:szCs w:val="20"/>
          <w:color w:val="auto"/>
        </w:rPr>
      </w:pPr>
    </w:p>
    <w:p>
      <w:pPr>
        <w:ind w:right="5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913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Curtis C. Griffith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Cory T. Newsom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B. Crockett</w:t>
      </w:r>
    </w:p>
    <w:p>
      <w:pPr>
        <w:spacing w:after="0" w:line="225" w:lineRule="exact"/>
        <w:rPr>
          <w:sz w:val="20"/>
          <w:szCs w:val="20"/>
          <w:color w:val="auto"/>
        </w:rPr>
      </w:pPr>
    </w:p>
    <w:p>
      <w:pPr>
        <w:ind w:right="720"/>
        <w:spacing w:after="0" w:line="377" w:lineRule="auto"/>
        <w:rPr>
          <w:sz w:val="20"/>
          <w:szCs w:val="20"/>
          <w:color w:val="auto"/>
        </w:rPr>
      </w:pPr>
      <w:r>
        <w:rPr>
          <w:rFonts w:ascii="Arial" w:cs="Arial" w:eastAsia="Arial" w:hAnsi="Arial"/>
          <w:sz w:val="16"/>
          <w:szCs w:val="16"/>
          <w:color w:val="auto"/>
        </w:rPr>
        <w:t>/s/ Richard D. Campbell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9133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Cynthia B.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Cynthia B. Keith</w:t>
      </w:r>
    </w:p>
    <w:p>
      <w:pPr>
        <w:spacing w:after="0" w:line="225" w:lineRule="exact"/>
        <w:rPr>
          <w:sz w:val="20"/>
          <w:szCs w:val="20"/>
          <w:color w:val="auto"/>
        </w:rPr>
      </w:pPr>
    </w:p>
    <w:p>
      <w:pPr>
        <w:ind w:right="780"/>
        <w:spacing w:after="0" w:line="377" w:lineRule="auto"/>
        <w:rPr>
          <w:sz w:val="20"/>
          <w:szCs w:val="20"/>
          <w:color w:val="auto"/>
        </w:rPr>
      </w:pPr>
      <w:r>
        <w:rPr>
          <w:rFonts w:ascii="Arial" w:cs="Arial" w:eastAsia="Arial" w:hAnsi="Arial"/>
          <w:sz w:val="16"/>
          <w:szCs w:val="16"/>
          <w:color w:val="auto"/>
        </w:rPr>
        <w:t>/s/ Allison S. Navitskas Allison S. Navitskas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9133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Noe G.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Noe G. Valles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Kyle R. Wargo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Kyle R. Wargo</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Borders>
              <w:bottom w:val="single" w:sz="8" w:color="auto"/>
            </w:tcBorders>
          </w:tcPr>
          <w:p>
            <w:pPr>
              <w:ind w:left="2800"/>
              <w:spacing w:after="0"/>
              <w:rPr>
                <w:sz w:val="20"/>
                <w:szCs w:val="20"/>
                <w:color w:val="auto"/>
              </w:rPr>
            </w:pPr>
            <w:r>
              <w:rPr>
                <w:rFonts w:ascii="Arial" w:cs="Arial" w:eastAsia="Arial" w:hAnsi="Arial"/>
                <w:sz w:val="18"/>
                <w:szCs w:val="18"/>
                <w:b w:val="1"/>
                <w:bCs w:val="1"/>
                <w:color w:val="auto"/>
              </w:rPr>
              <w:t>Title</w:t>
            </w:r>
          </w:p>
        </w:tc>
        <w:tc>
          <w:tcPr>
            <w:tcW w:w="2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62"/>
        </w:trPr>
        <w:tc>
          <w:tcPr>
            <w:tcW w:w="6240" w:type="dxa"/>
            <w:vAlign w:val="bottom"/>
            <w:gridSpan w:val="2"/>
          </w:tcPr>
          <w:p>
            <w:pPr>
              <w:spacing w:after="0"/>
              <w:rPr>
                <w:sz w:val="20"/>
                <w:szCs w:val="20"/>
                <w:color w:val="auto"/>
              </w:rPr>
            </w:pPr>
            <w:r>
              <w:rPr>
                <w:rFonts w:ascii="Arial" w:cs="Arial" w:eastAsia="Arial" w:hAnsi="Arial"/>
                <w:sz w:val="18"/>
                <w:szCs w:val="18"/>
                <w:color w:val="auto"/>
              </w:rPr>
              <w:t>Director (Chairman); Chief Executive Officer (principal executive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675"/>
        </w:trPr>
        <w:tc>
          <w:tcPr>
            <w:tcW w:w="6240" w:type="dxa"/>
            <w:vAlign w:val="bottom"/>
            <w:gridSpan w:val="2"/>
          </w:tcPr>
          <w:p>
            <w:pPr>
              <w:spacing w:after="0"/>
              <w:rPr>
                <w:sz w:val="20"/>
                <w:szCs w:val="20"/>
                <w:color w:val="auto"/>
              </w:rPr>
            </w:pPr>
            <w:r>
              <w:rPr>
                <w:rFonts w:ascii="Arial" w:cs="Arial" w:eastAsia="Arial" w:hAnsi="Arial"/>
                <w:sz w:val="18"/>
                <w:szCs w:val="18"/>
                <w:color w:val="auto"/>
              </w:rPr>
              <w:t>Director and President</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675"/>
        </w:trPr>
        <w:tc>
          <w:tcPr>
            <w:tcW w:w="6240" w:type="dxa"/>
            <w:vAlign w:val="bottom"/>
            <w:gridSpan w:val="2"/>
          </w:tcPr>
          <w:p>
            <w:pPr>
              <w:spacing w:after="0"/>
              <w:rPr>
                <w:sz w:val="20"/>
                <w:szCs w:val="20"/>
                <w:color w:val="auto"/>
              </w:rPr>
            </w:pPr>
            <w:r>
              <w:rPr>
                <w:rFonts w:ascii="Arial" w:cs="Arial" w:eastAsia="Arial" w:hAnsi="Arial"/>
                <w:sz w:val="18"/>
                <w:szCs w:val="18"/>
                <w:color w:val="auto"/>
                <w:w w:val="98"/>
              </w:rPr>
              <w:t>Chief Financial Officer and Treasurer (principal financial and accounting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675"/>
        </w:trPr>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675"/>
        </w:trPr>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675"/>
        </w:trPr>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675"/>
        </w:trPr>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675"/>
        </w:trPr>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bl>
    <w:p>
      <w:pPr>
        <w:spacing w:after="0" w:line="200" w:lineRule="exact"/>
        <w:rPr>
          <w:sz w:val="20"/>
          <w:szCs w:val="20"/>
          <w:color w:val="auto"/>
        </w:rPr>
      </w:pPr>
    </w:p>
    <w:p>
      <w:pPr>
        <w:sectPr>
          <w:pgSz w:w="11900" w:h="16838" w:orient="portrait"/>
          <w:cols w:equalWidth="0" w:num="2">
            <w:col w:w="2480" w:space="720"/>
            <w:col w:w="8040"/>
          </w:cols>
          <w:pgMar w:left="320" w:top="121" w:right="339" w:bottom="1440" w:gutter="0" w:footer="0" w:header="0"/>
          <w:type w:val="continuous"/>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South Plains Financial,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State of Incorporation</w:t>
            </w:r>
          </w:p>
        </w:tc>
      </w:tr>
      <w:tr>
        <w:trPr>
          <w:trHeight w:val="237"/>
        </w:trPr>
        <w:tc>
          <w:tcPr>
            <w:tcW w:w="980" w:type="dxa"/>
            <w:vAlign w:val="bottom"/>
            <w:tcBorders>
              <w:top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3900" w:type="dxa"/>
            <w:vAlign w:val="bottom"/>
          </w:tcPr>
          <w:p>
            <w:pPr>
              <w:spacing w:after="0"/>
              <w:rPr>
                <w:sz w:val="20"/>
                <w:szCs w:val="20"/>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 Provence, LLC</w:t>
            </w: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CBT Brushy Creek, LLC</w:t>
            </w:r>
          </w:p>
        </w:tc>
        <w:tc>
          <w:tcPr>
            <w:tcW w:w="562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CBT Properties, LLC</w:t>
            </w: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562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Ruidoso Retail, Inc.</w:t>
            </w: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III</w:t>
            </w:r>
          </w:p>
        </w:tc>
        <w:tc>
          <w:tcPr>
            <w:tcW w:w="56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IV</w:t>
            </w: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V</w:t>
            </w:r>
          </w:p>
        </w:tc>
        <w:tc>
          <w:tcPr>
            <w:tcW w:w="56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Windmark Insurance Agency, Inc.</w:t>
            </w: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601"/>
        </w:trPr>
        <w:tc>
          <w:tcPr>
            <w:tcW w:w="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Board of Directors and Audit Committee</w:t>
      </w:r>
    </w:p>
    <w:p>
      <w:pPr>
        <w:spacing w:after="0" w:line="238" w:lineRule="auto"/>
        <w:rPr>
          <w:sz w:val="20"/>
          <w:szCs w:val="20"/>
          <w:color w:val="auto"/>
        </w:rPr>
      </w:pPr>
      <w:r>
        <w:rPr>
          <w:rFonts w:ascii="Arial" w:cs="Arial" w:eastAsia="Arial" w:hAnsi="Arial"/>
          <w:sz w:val="22"/>
          <w:szCs w:val="22"/>
          <w:color w:val="auto"/>
        </w:rPr>
        <w:t>South Plains Financial, Inc.</w:t>
      </w:r>
    </w:p>
    <w:p>
      <w:pPr>
        <w:spacing w:after="0"/>
        <w:rPr>
          <w:sz w:val="20"/>
          <w:szCs w:val="20"/>
          <w:color w:val="auto"/>
        </w:rPr>
      </w:pPr>
      <w:r>
        <w:rPr>
          <w:rFonts w:ascii="Arial" w:cs="Arial" w:eastAsia="Arial" w:hAnsi="Arial"/>
          <w:sz w:val="22"/>
          <w:szCs w:val="22"/>
          <w:color w:val="auto"/>
        </w:rPr>
        <w:t>Lubbock, Texas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consent to the incorporation by reference in South Plains Financial, Inc.’s Registration Statement (No. 333-231667) on Form S-8 (the Registration Statement) of our report dated March 10, 2021, on our audits of the consolidated financial statements of South Plains Financial, Inc. as of and for the years ended December 31, 2020 and 2019 appearing in this Annual Report on Form 10-K dated March 10,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b w:val="1"/>
          <w:bCs w:val="1"/>
          <w:color w:val="auto"/>
        </w:rPr>
        <w:t>Weaver and Tidwell, L.L.P.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Fort Worth,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 Plains Financial, Inc. (the “registrant”) for the year ended December 31, 2020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840" w:val="left"/>
        </w:tabs>
        <w:rPr>
          <w:sz w:val="20"/>
          <w:szCs w:val="20"/>
          <w:color w:val="auto"/>
        </w:rPr>
      </w:pPr>
      <w:r>
        <w:rPr>
          <w:rFonts w:ascii="Arial" w:cs="Arial" w:eastAsia="Arial" w:hAnsi="Arial"/>
          <w:sz w:val="18"/>
          <w:szCs w:val="18"/>
          <w:color w:val="auto"/>
        </w:rPr>
        <w:t>Date: March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6"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 Plains Financial, Inc. (the “registrant”) for the year ended December 31, 2020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800" w:val="left"/>
        </w:tabs>
        <w:rPr>
          <w:sz w:val="20"/>
          <w:szCs w:val="20"/>
          <w:color w:val="auto"/>
        </w:rPr>
      </w:pPr>
      <w:r>
        <w:rPr>
          <w:rFonts w:ascii="Arial" w:cs="Arial" w:eastAsia="Arial" w:hAnsi="Arial"/>
          <w:sz w:val="18"/>
          <w:szCs w:val="18"/>
          <w:color w:val="auto"/>
        </w:rPr>
        <w:t>Date: March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Annual Report on Form 10-K of South Plains Financial, Inc. (the “Company”) for the year ended December 31, 2020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Date: March 10, 2021</w:t>
            </w:r>
          </w:p>
        </w:tc>
        <w:tc>
          <w:tcPr>
            <w:tcW w:w="2380" w:type="dxa"/>
            <w:vAlign w:val="bottom"/>
          </w:tcPr>
          <w:p>
            <w:pPr>
              <w:ind w:left="20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6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6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Annual Report on Form 10-K of South Plains Financial, Inc. (the “Company”) for the year ended December 31, 2020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Date: March 10, 2021</w:t>
            </w:r>
          </w:p>
        </w:tc>
        <w:tc>
          <w:tcPr>
            <w:tcW w:w="2320" w:type="dxa"/>
            <w:vAlign w:val="bottom"/>
          </w:tcPr>
          <w:p>
            <w:pPr>
              <w:ind w:left="202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30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6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upperLetter"/>
      <w:start w:val="68"/>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lowerRoman"/>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decimal"/>
      <w:start w:val="7"/>
    </w:lvl>
  </w:abstractNum>
  <w:abstractNum w:abstractNumId="21">
    <w:nsid w:val="54E49EB4"/>
    <w:multiLevelType w:val="hybridMultilevel"/>
    <w:lvl w:ilvl="0">
      <w:lvlJc w:val="left"/>
      <w:lvlText w:val="%1."/>
      <w:numFmt w:val="decimal"/>
      <w:start w:val="8"/>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3"/>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19" Type="http://schemas.openxmlformats.org/officeDocument/2006/relationships/hyperlink" Target="https://www.sec.gov/Archives/edgar/data/1163668/000114036119013399/ex2_1.htm" TargetMode="External"/><Relationship Id="rId120" Type="http://schemas.openxmlformats.org/officeDocument/2006/relationships/hyperlink" Target="https://www.sec.gov/Archives/edgar/data/1163668/000114036119007042/s002614x4_ex3-1.htm" TargetMode="External"/><Relationship Id="rId121" Type="http://schemas.openxmlformats.org/officeDocument/2006/relationships/hyperlink" Target="https://www.sec.gov/Archives/edgar/data/1163668/000114036119007042/s002614x4_ex3-2.htm" TargetMode="External"/><Relationship Id="rId122" Type="http://schemas.openxmlformats.org/officeDocument/2006/relationships/hyperlink" Target="https://www.sec.gov/Archives/edgar/data/1163668/000114036119007758/s002614x6_ex4-1.htm" TargetMode="External"/><Relationship Id="rId123" Type="http://schemas.openxmlformats.org/officeDocument/2006/relationships/hyperlink" Target="https://www.sec.gov/Archives/edgar/data/1163668/000114036120021876/brhc10015606_ex4-1.htm" TargetMode="External"/><Relationship Id="rId124" Type="http://schemas.openxmlformats.org/officeDocument/2006/relationships/hyperlink" Target="https://www.sec.gov/Archives/edgar/data/1163668/000114036120021876/brhc10015606_ex4-1.htm#EXHIBITA-l" TargetMode="External"/><Relationship Id="rId125" Type="http://schemas.openxmlformats.org/officeDocument/2006/relationships/hyperlink" Target="https://www.sec.gov/Archives/edgar/data/1163668/000114036119013399/ex10_1.htm" TargetMode="External"/><Relationship Id="rId126" Type="http://schemas.openxmlformats.org/officeDocument/2006/relationships/hyperlink" Target="https://www.sec.gov/Archives/edgar/data/1163668/000114036119013399/ex10_2.htm" TargetMode="External"/><Relationship Id="rId127" Type="http://schemas.openxmlformats.org/officeDocument/2006/relationships/hyperlink" Target="https://www.sec.gov/Archives/edgar/data/1163668/000114036119022915/ex10_1.htm" TargetMode="External"/><Relationship Id="rId128" Type="http://schemas.openxmlformats.org/officeDocument/2006/relationships/hyperlink" Target="https://www.sec.gov/Archives/edgar/data/1163668/000114036119007758/s002614x6_ex10-4.htm" TargetMode="External"/><Relationship Id="rId129" Type="http://schemas.openxmlformats.org/officeDocument/2006/relationships/hyperlink" Target="https://www.sec.gov/Archives/edgar/data/1163668/000114036119007758/s002614x6_ex10-1.htm" TargetMode="External"/><Relationship Id="rId130" Type="http://schemas.openxmlformats.org/officeDocument/2006/relationships/hyperlink" Target="https://www.sec.gov/Archives/edgar/data/1163668/000114036119007758/s002614x6_ex10-2.htm" TargetMode="External"/><Relationship Id="rId131" Type="http://schemas.openxmlformats.org/officeDocument/2006/relationships/hyperlink" Target="https://www.sec.gov/Archives/edgar/data/1163668/000114036119007758/s002614x6_ex10-3.htm" TargetMode="External"/><Relationship Id="rId132" Type="http://schemas.openxmlformats.org/officeDocument/2006/relationships/hyperlink" Target="https://www.sec.gov/Archives/edgar/data/1163668/000114036119007758/s002614x6_ex10-9.htm" TargetMode="External"/><Relationship Id="rId133" Type="http://schemas.openxmlformats.org/officeDocument/2006/relationships/hyperlink" Target="https://www.sec.gov/Archives/edgar/data/1163668/000114036119007758/s002614x6_ex10-5.htm" TargetMode="External"/><Relationship Id="rId134" Type="http://schemas.openxmlformats.org/officeDocument/2006/relationships/hyperlink" Target="https://www.sec.gov/Archives/edgar/data/1163668/000114036119007758/s002614x6_ex10-6.htm" TargetMode="External"/><Relationship Id="rId135" Type="http://schemas.openxmlformats.org/officeDocument/2006/relationships/hyperlink" Target="https://www.sec.gov/Archives/edgar/data/1163668/000114036119007758/s002614x6_ex10-7.htm" TargetMode="External"/><Relationship Id="rId136" Type="http://schemas.openxmlformats.org/officeDocument/2006/relationships/hyperlink" Target="https://www.sec.gov/Archives/edgar/data/1163668/000114036119007758/s002614x6_ex10-8.htm" TargetMode="External"/><Relationship Id="rId137" Type="http://schemas.openxmlformats.org/officeDocument/2006/relationships/hyperlink" Target="https://www.sec.gov/Archives/edgar/data/1163668/000114036120021876/brhc10015606_ex10-1.htm" TargetMode="External"/><Relationship Id="rId138" Type="http://schemas.openxmlformats.org/officeDocument/2006/relationships/hyperlink" Target="https://www.sec.gov/Archives/edgar/data/1163668/000114036120021876/bhrc10015606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2021-03-11T16:32:56Z</dcterms:created>
  <dcterms:modified xsi:type="dcterms:W3CDTF">2021-03-11T16:32:56Z</dcterms:modified>
</cp:coreProperties>
</file>