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t>Filed by South Plains Financial, Inc.</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pursuant to Rule 425 under the Securities Act of 1933</w:t>
      </w:r>
    </w:p>
    <w:p>
      <w:pPr>
        <w:spacing w:after="0" w:line="1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and deemed filed pursuant to Rule 14a-12</w:t>
      </w:r>
    </w:p>
    <w:p>
      <w:pPr>
        <w:spacing w:after="0" w:line="1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under the Securities Exchange Act of 1934</w:t>
      </w:r>
    </w:p>
    <w:p>
      <w:pPr>
        <w:spacing w:after="0" w:line="17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Subject Company: South Plains Financial, Inc.</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SEC File No.: 001-38895</w:t>
      </w:r>
    </w:p>
    <w:p>
      <w:pPr>
        <w:spacing w:after="0" w:line="1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Date: January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-719455</wp:posOffset>
            </wp:positionH>
            <wp:positionV relativeFrom="paragraph">
              <wp:posOffset>205740</wp:posOffset>
            </wp:positionV>
            <wp:extent cx="7160260"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140"/>
          </w:cols>
          <w:pgMar w:left="1440" w:top="329"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136525</wp:posOffset>
            </wp:positionV>
            <wp:extent cx="7160260" cy="27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232410</wp:posOffset>
            </wp:positionV>
            <wp:extent cx="71602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26, 2026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South Plains Financial,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419" w:right="319" w:bottom="1440" w:gutter="0" w:footer="0" w:header="0"/>
        </w:sectPr>
      </w:pPr>
    </w:p>
    <w:p>
      <w:pPr>
        <w:spacing w:after="0" w:line="16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Texas</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001-38895</w:t>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75-2453320</w:t>
      </w:r>
    </w:p>
    <w:p>
      <w:pPr>
        <w:spacing w:after="0" w:line="2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8" w:lineRule="exact"/>
        <w:rPr>
          <w:sz w:val="20"/>
          <w:szCs w:val="20"/>
          <w:color w:val="auto"/>
        </w:rPr>
      </w:pPr>
    </w:p>
    <w:p>
      <w:pPr>
        <w:sectPr>
          <w:pgSz w:w="11900" w:h="16838" w:orient="portrait"/>
          <w:cols w:equalWidth="0" w:num="3">
            <w:col w:w="4140" w:space="720"/>
            <w:col w:w="2860" w:space="720"/>
            <w:col w:w="2840"/>
          </w:cols>
          <w:pgMar w:left="300" w:top="419" w:right="319" w:bottom="1440" w:gutter="0" w:footer="0" w:header="0"/>
          <w:type w:val="continuous"/>
        </w:sect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5219 City Bank Parkway</w:t>
      </w:r>
    </w:p>
    <w:p>
      <w:pPr>
        <w:spacing w:after="0" w:line="27"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Lubbock, Texas</w:t>
      </w:r>
    </w:p>
    <w:p>
      <w:pPr>
        <w:spacing w:after="0" w:line="11"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79407</w:t>
      </w:r>
    </w:p>
    <w:p>
      <w:pPr>
        <w:spacing w:after="0" w:line="27"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0"/>
          <w:szCs w:val="20"/>
          <w:color w:val="auto"/>
        </w:rPr>
      </w:pPr>
    </w:p>
    <w:p>
      <w:pPr>
        <w:sectPr>
          <w:pgSz w:w="11900" w:h="16838" w:orient="portrait"/>
          <w:cols w:equalWidth="0" w:num="2">
            <w:col w:w="7500" w:space="720"/>
            <w:col w:w="3060"/>
          </w:cols>
          <w:pgMar w:left="300" w:top="419"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(806) 792-7101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0"/>
          <w:szCs w:val="20"/>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3" w:lineRule="exact"/>
        <w:rPr>
          <w:sz w:val="20"/>
          <w:szCs w:val="20"/>
          <w:color w:val="auto"/>
        </w:rPr>
      </w:pPr>
    </w:p>
    <w:p>
      <w:pPr>
        <w:ind w:left="260" w:hanging="254"/>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right="4600" w:firstLine="6"/>
        <w:spacing w:after="0" w:line="524" w:lineRule="auto"/>
        <w:tabs>
          <w:tab w:leader="none" w:pos="258"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7" w:lineRule="exact"/>
        <w:rPr>
          <w:sz w:val="20"/>
          <w:szCs w:val="20"/>
          <w:color w:val="auto"/>
        </w:rPr>
      </w:pPr>
    </w:p>
    <w:p>
      <w:pPr>
        <w:ind w:right="42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0"/>
          <w:szCs w:val="20"/>
          <w:color w:val="auto"/>
        </w:rPr>
      </w:pPr>
    </w:p>
    <w:p>
      <w:pPr>
        <w:ind w:left="9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5" w:lineRule="exact"/>
        <w:rPr>
          <w:sz w:val="20"/>
          <w:szCs w:val="20"/>
          <w:color w:val="auto"/>
        </w:rPr>
      </w:pPr>
    </w:p>
    <w:p>
      <w:pPr>
        <w:ind w:right="60"/>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602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218440</wp:posOffset>
            </wp:positionV>
            <wp:extent cx="716026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334645</wp:posOffset>
            </wp:positionV>
            <wp:extent cx="716026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type w:val="continuous"/>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January 26, 2026, South Plains Financial, Inc. (the “Company”) issued a press release announcing its financial results for the fourth quarter and year ended December 31, 2025. A copy of the Company’s press release covering such announcement and certain other matters is furnished as Exhibit 99.1 to this Current Report on Form 8-K.</w:t>
      </w:r>
    </w:p>
    <w:p>
      <w:pPr>
        <w:spacing w:after="0" w:line="1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January 26, 2026, officers of the Company will conduct a conference call at 5:00 p.m., Eastern Time, with respect to the Company’s financial results for the fourth quarter and year ended December 31, 2025. An earnings release slide presentation highlighting the Company’s financial results for the fourth quarter and year ended December 31, 2025 is furnished as Exhibit 99.2 to this Current Report on Form 8-K. This earnings release slide presentation will also be available on the Company’s website, www.spfi.bank, under the “News &amp; Events” section.</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spacing w:after="0" w:line="14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85" w:lineRule="exact"/>
        <w:rPr>
          <w:sz w:val="20"/>
          <w:szCs w:val="20"/>
          <w:color w:val="auto"/>
        </w:rPr>
      </w:pPr>
    </w:p>
    <w:p>
      <w:pPr>
        <w:ind w:left="900" w:hanging="377"/>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3" w:lineRule="exact"/>
        <w:rPr>
          <w:sz w:val="20"/>
          <w:szCs w:val="20"/>
          <w:color w:val="auto"/>
        </w:rPr>
      </w:pPr>
    </w:p>
    <w:p>
      <w:pPr>
        <w:ind w:left="520"/>
        <w:spacing w:after="0"/>
        <w:tabs>
          <w:tab w:leader="none" w:pos="880" w:val="left"/>
        </w:tabs>
        <w:rPr>
          <w:sz w:val="20"/>
          <w:szCs w:val="20"/>
          <w:color w:val="auto"/>
        </w:rPr>
      </w:pPr>
      <w:r>
        <w:rPr>
          <w:rFonts w:ascii="Times New Roman" w:cs="Times New Roman" w:eastAsia="Times New Roman" w:hAnsi="Times New Roman"/>
          <w:sz w:val="14"/>
          <w:szCs w:val="14"/>
          <w:u w:val="single" w:color="auto"/>
          <w:color w:val="0000EE"/>
        </w:rPr>
        <w:t>99.1</w:t>
      </w:r>
      <w:r>
        <w:rPr>
          <w:sz w:val="20"/>
          <w:szCs w:val="20"/>
          <w:color w:val="auto"/>
        </w:rPr>
        <w:tab/>
      </w:r>
      <w:r>
        <w:rPr>
          <w:rFonts w:ascii="Times New Roman" w:cs="Times New Roman" w:eastAsia="Times New Roman" w:hAnsi="Times New Roman"/>
          <w:sz w:val="14"/>
          <w:szCs w:val="14"/>
          <w:color w:val="auto"/>
        </w:rPr>
        <w:t>Press release, dated January 26, 2026, announcing fourth quarter and year-end 2025 financial results of South Plains Financial, Inc.</w:t>
      </w:r>
    </w:p>
    <w:p>
      <w:pPr>
        <w:spacing w:after="0" w:line="183" w:lineRule="exact"/>
        <w:rPr>
          <w:sz w:val="20"/>
          <w:szCs w:val="20"/>
          <w:color w:val="auto"/>
        </w:rPr>
      </w:pPr>
    </w:p>
    <w:p>
      <w:pPr>
        <w:ind w:left="520"/>
        <w:spacing w:after="0"/>
        <w:tabs>
          <w:tab w:leader="none" w:pos="880" w:val="left"/>
        </w:tabs>
        <w:rPr>
          <w:sz w:val="20"/>
          <w:szCs w:val="20"/>
          <w:color w:val="auto"/>
        </w:rPr>
      </w:pPr>
      <w:r>
        <w:rPr>
          <w:rFonts w:ascii="Times New Roman" w:cs="Times New Roman" w:eastAsia="Times New Roman" w:hAnsi="Times New Roman"/>
          <w:sz w:val="14"/>
          <w:szCs w:val="14"/>
          <w:u w:val="single" w:color="auto"/>
          <w:color w:val="0000EE"/>
        </w:rPr>
        <w:t>99.2</w:t>
      </w:r>
      <w:r>
        <w:rPr>
          <w:sz w:val="20"/>
          <w:szCs w:val="20"/>
          <w:color w:val="auto"/>
        </w:rPr>
        <w:tab/>
      </w:r>
      <w:r>
        <w:rPr>
          <w:rFonts w:ascii="Times New Roman" w:cs="Times New Roman" w:eastAsia="Times New Roman" w:hAnsi="Times New Roman"/>
          <w:sz w:val="14"/>
          <w:szCs w:val="14"/>
          <w:color w:val="auto"/>
        </w:rPr>
        <w:t>Earnings release slide presentation, dated January 26, 2026.</w:t>
      </w:r>
    </w:p>
    <w:p>
      <w:pPr>
        <w:spacing w:after="0" w:line="183" w:lineRule="exact"/>
        <w:rPr>
          <w:sz w:val="20"/>
          <w:szCs w:val="20"/>
          <w:color w:val="auto"/>
        </w:rPr>
      </w:pPr>
    </w:p>
    <w:p>
      <w:pPr>
        <w:ind w:left="520"/>
        <w:spacing w:after="0"/>
        <w:tabs>
          <w:tab w:leader="none" w:pos="880" w:val="left"/>
        </w:tabs>
        <w:rPr>
          <w:sz w:val="20"/>
          <w:szCs w:val="20"/>
          <w:color w:val="auto"/>
        </w:rPr>
      </w:pPr>
      <w:r>
        <w:rPr>
          <w:rFonts w:ascii="Times New Roman" w:cs="Times New Roman" w:eastAsia="Times New Roman" w:hAnsi="Times New Roman"/>
          <w:sz w:val="14"/>
          <w:szCs w:val="14"/>
          <w:color w:val="auto"/>
        </w:rPr>
        <w:t>104</w:t>
        <w:tab/>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4"/>
          <w:szCs w:val="14"/>
          <w:color w:val="auto"/>
        </w:rPr>
        <w:t>Date: January 26, 2026</w:t>
      </w:r>
      <w:r>
        <w:rPr>
          <w:sz w:val="20"/>
          <w:szCs w:val="20"/>
          <w:color w:val="auto"/>
        </w:rPr>
        <w:tab/>
      </w:r>
      <w:r>
        <w:rPr>
          <w:rFonts w:ascii="Times New Roman" w:cs="Times New Roman" w:eastAsia="Times New Roman" w:hAnsi="Times New Roman"/>
          <w:sz w:val="14"/>
          <w:szCs w:val="14"/>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16510</wp:posOffset>
            </wp:positionV>
            <wp:extent cx="3375025"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75025" cy="1397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Steven B. Crockett</w:t>
      </w:r>
    </w:p>
    <w:p>
      <w:pPr>
        <w:spacing w:after="0" w:line="2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60"/>
          </w:cols>
          <w:pgMar w:left="300" w:top="123" w:right="6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136525</wp:posOffset>
            </wp:positionV>
            <wp:extent cx="716026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2657475" cy="382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747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Plains Financial, Inc. Reports Fourth Quarter and Year-End 2025 Financial Results</w:t>
      </w:r>
    </w:p>
    <w:p>
      <w:pPr>
        <w:spacing w:after="0" w:line="18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LUBBOCK, Texas, January 26, 2026 (GLOBE NEWSWIRE) – South Plains Financial, Inc. (NASDAQ:SPFI) (“South Plains” or the “Company”), the parent company of City Bank (“City Bank” or the “Bank”), today reported its financial results for the quarter and year ended December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Fourth Quarter 2025 Highlights</w:t>
      </w:r>
    </w:p>
    <w:p>
      <w:pPr>
        <w:spacing w:after="0" w:line="185" w:lineRule="exact"/>
        <w:rPr>
          <w:sz w:val="20"/>
          <w:szCs w:val="20"/>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fourth quarter of 2025 was $15.3 million, compared to $16.3 million for the third quarter of 2025 and $16.5 million for the fourth quarter of 2024.</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for the fourth quarter of 2025 was $0.90, compared to $0.96 for the third quarter of 2025 and $0.96 for the fourth quarter of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deposits for the fourth quarter of 2025 was 201 basis points, compared to 210 basis points for the third quarter of 2025 and 229 basis points for the fourth quarter of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on a tax-equivalent basis, was 4.00% for the fourth quarter of 2025, compared to 4.05% for the third quarter of 2025 and 3.75% for the fourth quarter of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assets for the fourth quarter of 2025 was 1.36%, compared to 1.47% for the third quarter of 2025 and 1.53% for the fourth quarter of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(non-GAAP) per share was $29.05 as of December 31, 2025, compared to $28.14 as of September 30, 2025 and $25.40 as of December 31, 2024.</w:t>
      </w:r>
    </w:p>
    <w:p>
      <w:pPr>
        <w:spacing w:after="0" w:line="11" w:lineRule="exact"/>
        <w:rPr>
          <w:rFonts w:ascii="Times New Roman" w:cs="Times New Roman" w:eastAsia="Times New Roman" w:hAnsi="Times New Roman"/>
          <w:sz w:val="14"/>
          <w:szCs w:val="14"/>
          <w:color w:val="auto"/>
        </w:rPr>
      </w:pPr>
    </w:p>
    <w:p>
      <w:pPr>
        <w:ind w:left="520" w:hanging="256"/>
        <w:spacing w:after="0" w:line="256"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total risk-based capital ratio, common equity tier 1 risk-based capital ratio, and tier 1 leverage ratio at December 31, 2025 were 17.26%, 14.45%, and 12.53%, respectively.</w:t>
      </w:r>
    </w:p>
    <w:p>
      <w:pPr>
        <w:spacing w:after="0" w:line="172" w:lineRule="exact"/>
        <w:rPr>
          <w:rFonts w:ascii="Times New Roman" w:cs="Times New Roman" w:eastAsia="Times New Roman" w:hAnsi="Times New Roman"/>
          <w:sz w:val="14"/>
          <w:szCs w:val="14"/>
          <w:color w:val="auto"/>
        </w:rPr>
      </w:pPr>
    </w:p>
    <w:p>
      <w:pPr>
        <w:ind w:left="520" w:hanging="256"/>
        <w:spacing w:after="0" w:line="273"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previously reported, entered into a definitive agreement to acquire BOH Holdings, Inc. (“BOH”) and its banking subsidiary Bank of Houston on December 1, 2025. At September 30, 2025, BOH had approximately $772 million in assets, $633 million in loans, and $629 million in deposits.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Full Year 2025 Highlights</w:t>
      </w:r>
    </w:p>
    <w:p>
      <w:pPr>
        <w:spacing w:after="0" w:line="185" w:lineRule="exact"/>
        <w:rPr>
          <w:sz w:val="20"/>
          <w:szCs w:val="20"/>
          <w:color w:val="auto"/>
        </w:rPr>
      </w:pPr>
    </w:p>
    <w:p>
      <w:pPr>
        <w:ind w:left="520" w:hanging="256"/>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 year net income of $58.5 million in 2025, compared to $49.7 million in 2024.</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of $3.44 in 2025, compared to $2.92 in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held for investment grew $89.4 million, or 2.9%, during 2025.</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were $4.48 billion at December 31, 2025, compared to $4.23 billion at December 31,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assets of 1.33% for the full year 2025, compared to 1.17% for 2024.</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Curtis Griffith, South Plains’ Chairman and Chief Executive Officer, commented, “We delivered strong results for the full year 2025 highlighted by 17.8% diluted earnings per share growth, loan growth in line with our guidance, year-over-year net interest margin expansion of 33 basis points as we continue to closely manage our cost of funds, and grew our tangible book value per share over 14% to $29.05 at the end of 2025. We also made great strides executing our growth strategy having recruited outstanding lenders across our markets who we believe will bring new relationships to City Bank while also entering into the definitive agreement in December to acquire BOH and Bank of Houston which we believe will provide important scale in the fast-growing Houston market upon consummation of the acquisition. Taken together, we expect our loan growth to accelerate to a mid-to-high single digit rate in 2026 as we work to increase the earnings power of South Plains. We have laid the foundation to be a larger community bank which includes making the necessary investments in our technology, systems, and processes so that we can grow efficiently. While we have accomplished much, we are not standing still. We continue to look for attractive franchises, like BOH, as we believe we have the capacity to acquire another bank in a similar size range while also selectively recruiting high-quality lenders in our markets. I am very excited for what lies ahead for our employees, our customers, and our shareholders.”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Quarter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interest income was $43.0 million for the fourth quarter of 2025, compared to $43.0 million for the third quarter of 2025 and $38.5 million for the fourth quarter of 2024. Net interest margin, calculated on a tax-equivalent basis, was 4.00% for the fourth quarter of 2025, compared to 4.05% for the third quarter of 2025 and 3.75% for the fourth quarter of 2024. The average yield on loans was 6.79% for the fourth quarter of 2025, compared to 6.92% for the third quarter of 2025 and 6.69% for the fourth quarter of 2024. The average cost of deposits was 201 basis points for the fourth quarter of 2025, which is 9 basis points lower than the third quarter of 2025 and 28 basis points lower than the fourth quarter of 2024. Loan interest income for the third quarter of 2025 included $640 thousand in interest and fees recognized related to the resolution of credit workouts. This amount positively impacted the net interest margin by 6 basis points and the loan yield by 8 basis points during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195580</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5" w:name="page6"/>
    <w:bookmarkEnd w:id="5"/>
    <w:p>
      <w:pPr>
        <w:jc w:val="both"/>
        <w:spacing w:after="0" w:line="265" w:lineRule="auto"/>
        <w:rPr>
          <w:sz w:val="20"/>
          <w:szCs w:val="20"/>
          <w:color w:val="auto"/>
        </w:rPr>
      </w:pPr>
      <w:r>
        <w:rPr>
          <w:rFonts w:ascii="Times New Roman" w:cs="Times New Roman" w:eastAsia="Times New Roman" w:hAnsi="Times New Roman"/>
          <w:sz w:val="14"/>
          <w:szCs w:val="14"/>
          <w:color w:val="auto"/>
        </w:rPr>
        <w:t>Interest income was $63.4 million for the fourth quarter of 2025, compared to $64.5 million for the third quarter of 2025 and $61.3 million for the fourth quarter of 2024. Interest income decreased $1.1 million in the fourth quarter of 2025 from the third quarter of 2025, which was primarily attributable to a decrease of $1.1 million in interest income on loans. The decrease in interest income on loans was mainly due to the $640 thousand of loan interest and fees noted above and the decrease in short-term interest rates that occurred during the last 4 months of 2025. Interest income increased $2.1 million in the fourth quarter of 2025 compared to the fourth quarter of 2024. This increase was primarily due to an increase of average loans of $38.2 million and an increase of 10 basis points in loan yield during the period, resulting in growth of $1.6 million in loan interest income.</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Interest expense was $20.5 million for the fourth quarter of 2025, compared to $21.5 million for the third quarter of 2025 and $22.8 million for the fourth quarter of 2024. Interest expense decreased $1.0 million compared to the third quarter of 2025 and decreased $2.3 million compared to the fourth quarter of 2024. The $1.0 million decrease was primarily a result of a 12 basis point decline in the cost of interest-bearing deposits in the fourth quarter of 2025 as compared to the third quarter of 2025 and the reduction in interest expense of $610 thousand as a result of the $50 million subordinated debt redemption in September 2025. The $2.3 million decrease was primarily a result of a 37 basis point decline in the cost of interest-bearing deposits, partially offset by an increase of $129.4 million in average interest-bearing deposits in the fourth quarter of 2025 as compared to the fourth quarter of 2024, and the reduction in interest expense of $610 thousand as a result of the $50 million subordinated debt redemption in September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Noninterest income was $10.9 million for the fourth quarter of 2025, compared to $11.2 million for the third quarter of 2025 and $13.3 million for the fourth quarter of 2024. The decrease from the third quarter of 2025 was primarily due to a decrease of $185 thousand in mortgage banking revenues, mainly as a result of a decline in mortgage loans originated for sale during the fourth quarter. The decrease in noninterest income for the fourth quarter of 2025 as compared to the fourth quarter of 2024 was primarily due to a decrease of $2.6 million in mortgage banking revenues, mainly as a result of the change in the fair value adjustment of the mortgage servicing rights assets – a write-down of $665 thousand in the fourth quarter of 2025 compared to a write-up of $1.5 million in the fourth quarter of 2024 – based on interest rate changes during the respective quarters.</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Noninterest expense was $33.0 million for the fourth quarter of 2025, compared to $33.0 million for the third quarter of 2025 and $29.9 million for the fourth quarter of 2024. Changes from the third quarter of 2025 included a decrease of $1.0 million in personnel expense, based on lower incentive-based compensation expense, and an increase of $1.1 million in professional service expenses related primarily to approximately $500 thousand in acquisition related expenses and consulting on technology projects and other initiatives. The $3.1 million increase in noninterest expense for the fourth quarter of 2025 as compared to the fourth quarter of 2024 was largely the result of an increase of $1.0 million in personnel expenses mainly the result of annual salary adjustments, an increase in professional service expenses of $858 thousand primarily related to approximately $500 thousand in acquisition related expenses and consulting on technology projects and other initiatives, and an increase of $993 thousand in other noninterest expenses, mainly from the ineffectiveness related to fair value hedges on municipal securities.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Portfolio and Composition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Loans held for investment were $3.14 billion as of December 31, 2025, compared to $3.05 billion as of September 30, 2025 and $3.06 billion as of December 31, 2024. The increase of $91.0 million, or 3.0%, during the fourth quarter of 2025 as compared to the third quarter of 2025 occurred primarily as a result of organic loan growth in multi-family property loans, direct energy loans, and other commercial loans. As of December 31, 2025, loans held for investment increased $89.5 million as of December 31, 2025 as compared to December 31, 2024, primarily as a result of organic growth broadly across the loan portfolio, partially offset by a decrease of $86.2 million in multi-family property loans.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 and Borrowings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Deposits totaled $3.87 billion as of December 31, 2025, compared to $3.88 billion as of September 30, 2025 and $3.62 billion as of December 31, 2024. Deposits were essentially unchanged in the fourth quarter of 2025 from September 30, 2025. Deposits increased by $253.2 million, or 7.0%, at December 31, 2025 as compared to December 31, 2024. Noninterest-bearing deposits were $1.02 billion as of December 31, 2025, compared to $1.0 billion as of September 30, 2025 and $935.5 million as of December 31, 2024. Noninterest-bearing deposits represented 26.4% of total deposits as of December 31, 2025. The year-over-year change in total deposits was due to organic growth in both retail and commercial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recorded a provision for credit losses in the fourth quarter of 2025 of $1.8 million, compared to $500 thousand in the third quarter of 2025 and $1.2 million in the fourth quarter of 2024. The increase in provision for the fourth quarter of 2025 as compared to the third quarter of 2025 was largely attributable to the increase in loan balance noted above.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allowance for credit losses to loans held for investment was 1.44% as of December 31, 2025, compared to 1.45% as of September 30, 2025 and 1.42% as of December 31, 2024.</w:t>
      </w:r>
    </w:p>
    <w:p>
      <w:pPr>
        <w:spacing w:after="0" w:line="18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ratio of nonperforming assets to total assets was 0.26% as of December 31, 2025, compared to 0.26% as of September 30, 2025 and 0.58% as of December 31, 2024. Annualized net charge-offs were 0.10% for the fourth quarter of 2025, compared to 0.16% for the third quarter of 2025 and 0.11% for the fourth quarter of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Book value per share increased to $30.31 at December 31, 2025, compared to $29.41 at September 30, 2025. The change was primarily driven by $12.7 million of net income after dividends paid and by an increase in accumulated other comprehensive income of $3.4 million. The ratio of tangible common equity to tangible assets (non-GAAP) increased 36 basis points to 10.61% at December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South Plains will host a conference call to discuss its fourth quarter and year-end 2025 financial results today, January 26, 2026,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cs="Times New Roman" w:eastAsia="Times New Roman" w:hAnsi="Times New Roman"/>
          <w:sz w:val="14"/>
          <w:szCs w:val="14"/>
          <w:u w:val="single" w:color="auto"/>
          <w:color w:val="auto"/>
        </w:rPr>
        <w:t>https://www.spfi.bank/news-events/events</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13757840. The replay will be available until February 9,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South Plains Financial, Inc.</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4"/>
          <w:szCs w:val="14"/>
          <w:u w:val="single" w:color="auto"/>
          <w:color w:val="auto"/>
        </w:rPr>
        <w:t>https://www.spfi.bank</w:t>
      </w:r>
      <w:r>
        <w:rPr>
          <w:rFonts w:ascii="Times New Roman" w:cs="Times New Roman" w:eastAsia="Times New Roman" w:hAnsi="Times New Roman"/>
          <w:sz w:val="14"/>
          <w:szCs w:val="14"/>
          <w:color w:val="auto"/>
        </w:rPr>
        <w:t xml:space="preserve"> for more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non-GAAP financial measures to GAAP financial measures is provided at the end of this press release.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Company routinely posts important information for investors on its web site (under </w:t>
      </w:r>
      <w:r>
        <w:rPr>
          <w:rFonts w:ascii="Times New Roman" w:cs="Times New Roman" w:eastAsia="Times New Roman" w:hAnsi="Times New Roman"/>
          <w:sz w:val="14"/>
          <w:szCs w:val="14"/>
          <w:u w:val="single" w:color="auto"/>
          <w:color w:val="auto"/>
        </w:rPr>
        <w:t>www.spfi.bank</w:t>
      </w:r>
      <w:r>
        <w:rPr>
          <w:rFonts w:ascii="Times New Roman" w:cs="Times New Roman" w:eastAsia="Times New Roman" w:hAnsi="Times New Roman"/>
          <w:sz w:val="14"/>
          <w:szCs w:val="14"/>
          <w:color w:val="auto"/>
        </w:rPr>
        <w:t xml:space="preserve"> and, more specifically, under the News &amp; Events tab at </w:t>
      </w:r>
      <w:r>
        <w:rPr>
          <w:rFonts w:ascii="Times New Roman" w:cs="Times New Roman" w:eastAsia="Times New Roman" w:hAnsi="Times New Roman"/>
          <w:sz w:val="14"/>
          <w:szCs w:val="14"/>
          <w:u w:val="single" w:color="auto"/>
          <w:color w:val="auto"/>
        </w:rPr>
        <w:t>www.spfi.bank/news-events/press-releases</w:t>
      </w:r>
      <w:r>
        <w:rPr>
          <w:rFonts w:ascii="Times New Roman" w:cs="Times New Roman" w:eastAsia="Times New Roman" w:hAnsi="Times New Roman"/>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auto"/>
        </w:rPr>
        <w:t>The information contained on, or that may be accessed through, the Company’s web site is not incorporated by reference into, and is not a part of, this document.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expected impact of the proposed transaction between South Plains and BOH and on the combined entities’ operations, financial condition, and financial results; the businesses of South Plains and BOH may not be combined successfully, or such combination may take longer to accomplish than expected; the cost savings from the proposed transaction may not be fully realized or may take longer to realize than expected; operating costs, customer loss and business disruption following the proposed transaction, including adverse effects on relationships with employees, may be greater than expected; regulatory approvals of the proposed transaction may not be obtained, or adverse conditions may be imposed in connection with regulatory approvals of the proposed transaction; the BOH shareholders may not approve the proposed transaction; the impact on us and our customers of a decline in general economic conditions and any regulatory responses thereto; slower economic growth rates or potential recession in the United States and our market areas uncertainty or perceived instability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our market areas; the uncertain impacts of ongoing quantitative tightening and current and future monetary policies of the Board of Governors of the Federal Reserve System; changes in unemployment rates in the United States and our market areas; adverse changes in customer spending, borrowing and savings habits; declines in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acts of war or terrorism, geopolitical instability, domestic civil unrest or other external events, including as a result of the impact of the policies of the current U.S. presidential administration or Congress; the impacts of tariffs, sanctions, and other trade policies of the United States and its global trading counterparts and the resulting impact on the Company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costs related to the impacts of climate change; current or future litigation, regulatory examinations or other legal and/or regulatory actions; changes in accounting principles and standards, including those related to loan loss recognition under the current expected credit loss, or CECL, methodology; and changes in applicable laws regulations, or policies in the United States.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spacing w:after="0" w:line="33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color w:val="auto"/>
        </w:rPr>
        <w:t>Contact:</w:t>
      </w:r>
      <w:r>
        <w:rPr>
          <w:sz w:val="20"/>
          <w:szCs w:val="20"/>
          <w:color w:val="auto"/>
        </w:rPr>
        <w:tab/>
      </w:r>
      <w:r>
        <w:rPr>
          <w:rFonts w:ascii="Times New Roman" w:cs="Times New Roman" w:eastAsia="Times New Roman" w:hAnsi="Times New Roman"/>
          <w:sz w:val="14"/>
          <w:szCs w:val="14"/>
          <w:color w:val="auto"/>
        </w:rPr>
        <w:t>Mikella Newsom, Chief Risk Officer and Secretary</w:t>
      </w:r>
    </w:p>
    <w:p>
      <w:pPr>
        <w:spacing w:after="0" w:line="25" w:lineRule="exact"/>
        <w:rPr>
          <w:sz w:val="20"/>
          <w:szCs w:val="20"/>
          <w:color w:val="auto"/>
        </w:rPr>
      </w:pPr>
    </w:p>
    <w:p>
      <w:pPr>
        <w:ind w:left="1360" w:right="8740" w:firstLine="2"/>
        <w:spacing w:after="0" w:line="273" w:lineRule="auto"/>
        <w:tabs>
          <w:tab w:leader="none" w:pos="170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771-3347 </w:t>
      </w:r>
      <w:r>
        <w:rPr>
          <w:rFonts w:ascii="Times New Roman" w:cs="Times New Roman" w:eastAsia="Times New Roman" w:hAnsi="Times New Roman"/>
          <w:sz w:val="14"/>
          <w:szCs w:val="14"/>
          <w:u w:val="single" w:color="auto"/>
          <w:color w:val="auto"/>
        </w:rPr>
        <w:t>investors@city.bank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4"/>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4"/>
                <w:szCs w:val="14"/>
                <w:color w:val="auto"/>
              </w:rPr>
            </w:pPr>
          </w:p>
        </w:tc>
        <w:tc>
          <w:tcPr>
            <w:tcW w:w="110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4"/>
                <w:szCs w:val="14"/>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Income Statement Data: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63,421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64,520</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64,135</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59,922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61,324</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20,471</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21,501</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21,632</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21,395</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22,776</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42,950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43,019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42,503</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38,527</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38,548</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1,775</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2,500</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420</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10,934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11,165</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12,165</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10,625</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13,319</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33,023</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33,024</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33,543</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33,030</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29,948</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3,832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4,342</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4,020</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3,408</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15,254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16,318</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14,605</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12,294</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16,497</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Share Data (Common Stock):</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basic</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0.94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0.90</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diluted</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0.90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0.96</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0.86</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0.96</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declared and paid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0.16</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0.15</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 value</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30.31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29.41</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27.98</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27.33</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Tangible book value (non-GAAP)</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29.05</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28.14</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26.70</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26.05</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16,248,336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16,241,695</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16,231,627</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16,415,862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16,400,361</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dilutive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16,996,517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16,990,546</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16,886,993</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17,065,599</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17,161,646</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16,293,577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16,247,839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16,230,475</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16,235,647</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16,455,826</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Period End Balance Sheet Data: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552,439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635,046</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470,496</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536,300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359,082</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567,540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571,138</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570,000</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571,527</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577,240</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3,144,502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3,053,503</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3,098,978</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3,075,860</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3,055,054</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45,131</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44,125</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45,010</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42,968</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43,237</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4,480,500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4,479,437</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4,363,674</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4,405,209</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4,232,239</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2,850,560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2,831,642</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2,740,179</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2,826,055</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2,685,366</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1,023,517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1,049,501</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998,759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966,464</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935,510</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3,874,077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3,881,143</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3,738,938</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3,792,519</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3,620,876</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60,493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60,493</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111,799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110,400</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110,354</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493,837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477,802</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454,074</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443,743</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438,949</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Summary Performance Ratios: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 (annualized)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average equity (annualized)</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172"/>
        </w:trPr>
        <w:tc>
          <w:tcPr>
            <w:tcW w:w="4060" w:type="dxa"/>
            <w:vAlign w:val="bottom"/>
          </w:tcPr>
          <w:p>
            <w:pPr>
              <w:spacing w:after="0" w:line="173" w:lineRule="exact"/>
              <w:rPr>
                <w:sz w:val="20"/>
                <w:szCs w:val="20"/>
                <w:color w:val="auto"/>
              </w:rPr>
            </w:pPr>
            <w:r>
              <w:rPr>
                <w:rFonts w:ascii="Times New Roman" w:cs="Times New Roman" w:eastAsia="Times New Roman" w:hAnsi="Times New Roman"/>
                <w:sz w:val="12"/>
                <w:szCs w:val="12"/>
                <w:color w:val="auto"/>
              </w:rPr>
              <w:t xml:space="preserve">Net interest margin </w:t>
            </w:r>
            <w:r>
              <w:rPr>
                <w:rFonts w:ascii="Times New Roman" w:cs="Times New Roman" w:eastAsia="Times New Roman" w:hAnsi="Times New Roman"/>
                <w:sz w:val="19"/>
                <w:szCs w:val="19"/>
                <w:color w:val="auto"/>
                <w:vertAlign w:val="superscript"/>
              </w:rPr>
              <w:t>(1)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Yield on loans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Cost of interest-bearing deposits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61.11%</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66.90%</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Summary Credit Quality Data: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loans</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9,805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9,709</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10,463</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24,023</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loans to total loans held for investment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0.79%</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1,749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1,827</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535</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530</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0.58%</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total loans held for investment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6"/>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charge-offs to average loans outstanding (annualized)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w:t>
            </w:r>
          </w:p>
        </w:tc>
      </w:tr>
      <w:tr>
        <w:trPr>
          <w:trHeight w:val="300"/>
        </w:trPr>
        <w:tc>
          <w:tcPr>
            <w:tcW w:w="4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20" w:type="dxa"/>
            <w:vAlign w:val="bottom"/>
            <w:gridSpan w:val="2"/>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620" w:type="dxa"/>
            <w:vAlign w:val="bottom"/>
          </w:tcPr>
          <w:p>
            <w:pPr>
              <w:spacing w:after="0"/>
              <w:rPr>
                <w:sz w:val="16"/>
                <w:szCs w:val="16"/>
                <w:color w:val="auto"/>
              </w:rPr>
            </w:pPr>
          </w:p>
        </w:tc>
        <w:tc>
          <w:tcPr>
            <w:tcW w:w="13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tcBorders>
              <w:bottom w:val="single" w:sz="8" w:color="auto"/>
            </w:tcBorders>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1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11.02%</w:t>
            </w:r>
          </w:p>
        </w:tc>
        <w:tc>
          <w:tcPr>
            <w:tcW w:w="14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10.67%</w:t>
            </w:r>
          </w:p>
        </w:tc>
        <w:tc>
          <w:tcPr>
            <w:tcW w:w="14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10.41%</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Tangible common equity to tangible assets (non-GAAP)</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10.61%</w:t>
            </w:r>
          </w:p>
        </w:tc>
        <w:tc>
          <w:tcPr>
            <w:tcW w:w="14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10.25%</w:t>
            </w:r>
          </w:p>
        </w:tc>
        <w:tc>
          <w:tcPr>
            <w:tcW w:w="14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9.98%</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17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14.45%</w:t>
            </w:r>
          </w:p>
        </w:tc>
        <w:tc>
          <w:tcPr>
            <w:tcW w:w="14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14.41%</w:t>
            </w:r>
          </w:p>
        </w:tc>
        <w:tc>
          <w:tcPr>
            <w:tcW w:w="14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13.86%</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w:t>
            </w: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12.53%</w:t>
            </w:r>
          </w:p>
        </w:tc>
        <w:tc>
          <w:tcPr>
            <w:tcW w:w="14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12.37%</w:t>
            </w:r>
          </w:p>
        </w:tc>
        <w:tc>
          <w:tcPr>
            <w:tcW w:w="14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12.12%</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12.04%</w:t>
            </w:r>
          </w:p>
        </w:tc>
      </w:tr>
      <w:tr>
        <w:trPr>
          <w:trHeight w:val="17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17.26%</w:t>
            </w:r>
          </w:p>
        </w:tc>
        <w:tc>
          <w:tcPr>
            <w:tcW w:w="14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17.34%</w:t>
            </w:r>
          </w:p>
        </w:tc>
        <w:tc>
          <w:tcPr>
            <w:tcW w:w="14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18.17%</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 xml:space="preserve">Loans </w:t>
            </w:r>
            <w:r>
              <w:rPr>
                <w:rFonts w:ascii="Times New Roman" w:cs="Times New Roman" w:eastAsia="Times New Roman" w:hAnsi="Times New Roman"/>
                <w:sz w:val="20"/>
                <w:szCs w:val="20"/>
                <w:color w:val="auto"/>
                <w:vertAlign w:val="superscript"/>
              </w:rPr>
              <w:t>(1)</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3,087,949</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52,825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6.79%</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3,049,718</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51,270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502,249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4,604</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3.64%</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518,646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2.79%</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154,203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5,140</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3.77%</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390,090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4,285,706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63,656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5.89%</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4,112,657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61,545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189,422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4,464,793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4,302,079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2,394,006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15,654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2.59%</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2,249,062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16,570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3.59%</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445,173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14,100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6.33%</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63,938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6.03%</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2,884,162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20,471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2.82%</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2,804,569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22,776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1,032,323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978,742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62,488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77,732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441,036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4,464,793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4,302,079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43,185</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38,769</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 xml:space="preserve">Loans </w:t>
            </w:r>
            <w:r>
              <w:rPr>
                <w:rFonts w:ascii="Times New Roman" w:cs="Times New Roman" w:eastAsia="Times New Roman" w:hAnsi="Times New Roman"/>
                <w:sz w:val="20"/>
                <w:szCs w:val="20"/>
                <w:color w:val="auto"/>
                <w:vertAlign w:val="superscript"/>
              </w:rPr>
              <w:t>(1)</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3,087,635</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211,231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3,054,189</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202,301</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18,634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3.69%</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532,730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21,090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2.73%</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155,168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468,655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18,847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4.02%</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312,917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14,319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4,214,834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252,908</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6.00%</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4,055,004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241,786</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179,527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4,234,531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2,337,103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63,062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2,250,942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70,362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16,293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3.76%</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411,028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16,719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51,412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5.31%</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63,868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6.28%</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2,868,676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84,999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2.96%</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2,772,234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93,801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991,899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968,307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65,476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70,777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423,213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4,386,554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4,234,531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167,909</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147,985</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3.98%</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58,318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54,114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494,121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304,968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567,540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577,240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sale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20,542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3,144,502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3,055,054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(45,131)</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(43,237)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loans held for investment</w:t>
            </w: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3,099,371</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3,011,817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51,563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52,951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19,315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servicing rights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24,041</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163,280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4,480,500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4,232,239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8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1,023,517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935,510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2,850,560</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2,685,366</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3,874,077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3,620,876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14,100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63,961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52,093</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62,060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3,986,663</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3,793,290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16,294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91,065</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97,287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434,197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385,827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(47,719)</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(60,621)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493,837</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438,949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4,480,500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4,232,239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including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52,818</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51,262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211,202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202,270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10,062</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40,796</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38,629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income</w:t>
            </w: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63,421</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61,324</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251,998</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240,899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21,136</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79,355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87,081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2,730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3,339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3,381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expense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20,471</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22,776</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84,999</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93,801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38,548</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166,999</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147,098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5,195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4,300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37,348</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161,804</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142,798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Service charges on deposits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8,823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banking activities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4,955</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10,684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14,187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Bank card services and interchange fees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3,225</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13,912</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13,640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2,898</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11,470</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12,219</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Total noninterest income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13,319</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44,889</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48,072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17,384</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76,947</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74,338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occupancy expense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3,901</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16,051</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16,105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1,555</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7,310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Marketing and development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4,023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5,955</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28,289</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26,770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33,023</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29,948</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132,620</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127,578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20,719</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74,073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63,292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4,222</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15,602</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13,575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16,497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58,471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Composition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1,064,625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1,119,063</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Commercial - Specialized</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409,351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388,955</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 General</w:t>
            </w:r>
          </w:p>
        </w:tc>
        <w:tc>
          <w:tcPr>
            <w:tcW w:w="3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659,323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557,371</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Consumer:</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1-4 Family Residential</w:t>
            </w:r>
          </w:p>
        </w:tc>
        <w:tc>
          <w:tcPr>
            <w:tcW w:w="3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589,851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566,400</w:t>
            </w:r>
          </w:p>
        </w:tc>
      </w:tr>
      <w:tr>
        <w:trPr>
          <w:trHeight w:val="172"/>
        </w:trPr>
        <w:tc>
          <w:tcPr>
            <w:tcW w:w="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Auto Loans</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259,157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254,474</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Consumer</w:t>
            </w:r>
          </w:p>
        </w:tc>
        <w:tc>
          <w:tcPr>
            <w:tcW w:w="3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62,092</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64,936</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Construction</w:t>
            </w:r>
          </w:p>
        </w:tc>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103,855</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loans held for investment</w:t>
            </w:r>
          </w:p>
        </w:tc>
        <w:tc>
          <w:tcPr>
            <w:tcW w:w="3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3,144,502</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3,055,054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11"/>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 Composition</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1,023,517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935,510</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NOW &amp; other transaction accounts</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1,307,596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498,718</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MMDA &amp; other savings</w:t>
            </w:r>
          </w:p>
        </w:tc>
        <w:tc>
          <w:tcPr>
            <w:tcW w:w="3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1,111,529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1,741,988</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431,435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444,660</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deposits</w:t>
            </w:r>
          </w:p>
        </w:tc>
        <w:tc>
          <w:tcPr>
            <w:tcW w:w="3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3,874,077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3,620,876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97"/>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Pre-tax, pre-provision income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15,254</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16,318</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14,605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4,020</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Pre-tax, pre-provision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20,861</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21,160</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21,125</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16,122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2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4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common stockholders’ equity</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493,837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477,802</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$ 454,074</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$ 443,743</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$ 438,949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(20,448)</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(20,580)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(20,732)</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(20,884)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(21,035)</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gridSpan w:val="2"/>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473,389</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457,222</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$ 433,342</w:t>
            </w:r>
          </w:p>
        </w:tc>
        <w:tc>
          <w:tcPr>
            <w:tcW w:w="24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$ 422,859</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$ 417,914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4,480,500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4,479,437</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$ 4,363,674</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$ 4,405,209</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$ 4,232,239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(20,448)</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(20,580)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(20,732)</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(20,884)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(21,035)</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4,460,052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4,458,857</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$ 4,342,942</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$ 4,384,325</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$ 4,211,204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Shares outstanding</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16,293,577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16,247,839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16,230,475</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16,235,647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16,455,826</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11.02%</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10.67%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10.41%</w:t>
            </w: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10.25%</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9.98%</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Book value per share</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30.31</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29.41</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24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27.33</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book value per share</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29.05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28.14</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26.05</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6" w:name="page17"/>
    <w:bookmarkEnd w:id="16"/>
    <w:p>
      <w:pPr>
        <w:ind w:left="94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127000</wp:posOffset>
            </wp:positionV>
            <wp:extent cx="7209790" cy="5793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0" w:num="1">
            <w:col w:w="10140"/>
          </w:cols>
          <w:pgMar w:left="1440" w:top="241" w:right="31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14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581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75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9790" cy="58756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866"/>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2026-01-26T16:14:10Z</dcterms:created>
  <dcterms:modified xsi:type="dcterms:W3CDTF">2026-01-26T16:14:10Z</dcterms:modified>
</cp:coreProperties>
</file>