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684530</wp:posOffset>
            </wp:positionV>
            <wp:extent cx="7662545" cy="8249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62545" cy="8249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40"/>
        <w:spacing w:after="0"/>
        <w:rPr>
          <w:sz w:val="20"/>
          <w:szCs w:val="20"/>
          <w:color w:val="auto"/>
        </w:rPr>
      </w:pPr>
      <w:r>
        <w:rPr>
          <w:rFonts w:ascii="Arial" w:cs="Arial" w:eastAsia="Arial" w:hAnsi="Arial"/>
          <w:sz w:val="16"/>
          <w:szCs w:val="16"/>
          <w:color w:val="0C0002"/>
        </w:rPr>
        <w:t>2022 ANNUAL REPORT</w:t>
      </w:r>
    </w:p>
    <w:p>
      <w:pPr>
        <w:spacing w:after="0" w:line="21" w:lineRule="exact"/>
        <w:rPr>
          <w:sz w:val="24"/>
          <w:szCs w:val="24"/>
          <w:color w:val="auto"/>
        </w:rPr>
      </w:pPr>
    </w:p>
    <w:p>
      <w:pPr>
        <w:ind w:left="40" w:right="3627"/>
        <w:spacing w:after="0" w:line="446" w:lineRule="auto"/>
        <w:rPr>
          <w:sz w:val="20"/>
          <w:szCs w:val="20"/>
          <w:color w:val="auto"/>
        </w:rPr>
      </w:pPr>
      <w:r>
        <w:rPr>
          <w:rFonts w:ascii="Times New Roman" w:cs="Times New Roman" w:eastAsia="Times New Roman" w:hAnsi="Times New Roman"/>
          <w:sz w:val="110"/>
          <w:szCs w:val="110"/>
          <w:color w:val="EE0410"/>
        </w:rPr>
        <w:t>the power of relationships</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11"/>
          <w:szCs w:val="111"/>
          <w:color w:val="EE0410"/>
        </w:rPr>
        <w:t xml:space="preserve">SPFI </w:t>
      </w:r>
      <w:r>
        <w:rPr>
          <w:rFonts w:ascii="Arial" w:cs="Arial" w:eastAsia="Arial" w:hAnsi="Arial"/>
          <w:sz w:val="20"/>
          <w:szCs w:val="20"/>
          <w:b w:val="1"/>
          <w:bCs w:val="1"/>
          <w:color w:val="0C0002"/>
        </w:rPr>
        <w:t>South Plains Financial, Inc.</w:t>
      </w:r>
    </w:p>
    <w:p>
      <w:pPr>
        <w:sectPr>
          <w:pgSz w:w="12060" w:h="15667" w:orient="portrait"/>
          <w:cols w:equalWidth="0" w:num="1">
            <w:col w:w="9347"/>
          </w:cols>
          <w:pgMar w:left="128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274320</wp:posOffset>
            </wp:positionH>
            <wp:positionV relativeFrom="page">
              <wp:posOffset>274320</wp:posOffset>
            </wp:positionV>
            <wp:extent cx="7383780" cy="939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3780" cy="93954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7658100</wp:posOffset>
                </wp:positionH>
                <wp:positionV relativeFrom="page">
                  <wp:posOffset>274320</wp:posOffset>
                </wp:positionV>
                <wp:extent cx="0" cy="322516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25165"/>
                        </a:xfrm>
                        <a:prstGeom prst="line">
                          <a:avLst/>
                        </a:prstGeom>
                        <a:solidFill>
                          <a:srgbClr val="FFFFFF"/>
                        </a:solidFill>
                        <a:ln w="0">
                          <a:solidFill>
                            <a:srgbClr val="0C0002"/>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03pt,21.6pt" to="603pt,275.55pt" o:allowincell="f" strokecolor="#0C0002" strokeweight="0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0"/>
        <w:spacing w:after="0"/>
        <w:rPr>
          <w:sz w:val="20"/>
          <w:szCs w:val="20"/>
          <w:color w:val="auto"/>
        </w:rPr>
      </w:pPr>
      <w:r>
        <w:rPr>
          <w:rFonts w:ascii="Arial" w:cs="Arial" w:eastAsia="Arial" w:hAnsi="Arial"/>
          <w:sz w:val="16"/>
          <w:szCs w:val="16"/>
          <w:color w:val="0C0002"/>
        </w:rPr>
        <w:t xml:space="preserve">CUSTOMERS </w:t>
      </w:r>
      <w:r>
        <w:rPr>
          <w:rFonts w:ascii="Arial" w:cs="Arial" w:eastAsia="Arial" w:hAnsi="Arial"/>
          <w:sz w:val="16"/>
          <w:szCs w:val="16"/>
          <w:color w:val="EE0410"/>
        </w:rPr>
        <w:t>+</w:t>
      </w:r>
      <w:r>
        <w:rPr>
          <w:rFonts w:ascii="Arial" w:cs="Arial" w:eastAsia="Arial" w:hAnsi="Arial"/>
          <w:sz w:val="16"/>
          <w:szCs w:val="16"/>
          <w:color w:val="0C0002"/>
        </w:rPr>
        <w:t xml:space="preserve"> EMPLOYEES </w:t>
      </w:r>
      <w:r>
        <w:rPr>
          <w:rFonts w:ascii="Arial" w:cs="Arial" w:eastAsia="Arial" w:hAnsi="Arial"/>
          <w:sz w:val="16"/>
          <w:szCs w:val="16"/>
          <w:color w:val="EE0410"/>
        </w:rPr>
        <w:t>+</w:t>
      </w:r>
      <w:r>
        <w:rPr>
          <w:rFonts w:ascii="Arial" w:cs="Arial" w:eastAsia="Arial" w:hAnsi="Arial"/>
          <w:sz w:val="16"/>
          <w:szCs w:val="16"/>
          <w:color w:val="0C0002"/>
        </w:rPr>
        <w:t xml:space="preserve"> COMMUNITIES</w:t>
      </w:r>
    </w:p>
    <w:p>
      <w:pPr>
        <w:spacing w:after="0" w:line="155" w:lineRule="exact"/>
        <w:rPr>
          <w:sz w:val="20"/>
          <w:szCs w:val="20"/>
          <w:color w:val="auto"/>
        </w:rPr>
      </w:pPr>
    </w:p>
    <w:p>
      <w:pPr>
        <w:ind w:left="260" w:right="2027"/>
        <w:spacing w:after="0" w:line="409" w:lineRule="auto"/>
        <w:rPr>
          <w:sz w:val="20"/>
          <w:szCs w:val="20"/>
          <w:color w:val="auto"/>
        </w:rPr>
      </w:pPr>
      <w:r>
        <w:rPr>
          <w:rFonts w:ascii="Times New Roman" w:cs="Times New Roman" w:eastAsia="Times New Roman" w:hAnsi="Times New Roman"/>
          <w:sz w:val="75"/>
          <w:szCs w:val="75"/>
          <w:color w:val="EE0410"/>
        </w:rPr>
        <w:t>helping people succeed and live better</w:t>
      </w:r>
    </w:p>
    <w:p>
      <w:pPr>
        <w:spacing w:after="0" w:line="2" w:lineRule="exact"/>
        <w:rPr>
          <w:sz w:val="20"/>
          <w:szCs w:val="20"/>
          <w:color w:val="auto"/>
        </w:rPr>
      </w:pPr>
    </w:p>
    <w:p>
      <w:pPr>
        <w:ind w:left="260" w:right="1167"/>
        <w:spacing w:after="0" w:line="258" w:lineRule="auto"/>
        <w:rPr>
          <w:sz w:val="20"/>
          <w:szCs w:val="20"/>
          <w:color w:val="auto"/>
        </w:rPr>
      </w:pPr>
      <w:r>
        <w:rPr>
          <w:rFonts w:ascii="Arial" w:cs="Arial" w:eastAsia="Arial" w:hAnsi="Arial"/>
          <w:sz w:val="20"/>
          <w:szCs w:val="20"/>
          <w:b w:val="1"/>
          <w:bCs w:val="1"/>
          <w:color w:val="0C0002"/>
        </w:rPr>
        <w:t xml:space="preserve">South Plains Financial, Inc. </w:t>
      </w:r>
      <w:r>
        <w:rPr>
          <w:rFonts w:ascii="Arial" w:cs="Arial" w:eastAsia="Arial" w:hAnsi="Arial"/>
          <w:sz w:val="20"/>
          <w:szCs w:val="20"/>
          <w:color w:val="0C0002"/>
        </w:rPr>
        <w:t>(NASDAQ: SPFI) is the parent company of City Bank, a Texas-based community bank recognized for its corporate culture, innovation, and distinctive banking solutions. City Bank has locations across Texas and New Mexico. South Plains Financial, Inc. is headquartered in Lubbock, Texas.</w:t>
      </w:r>
    </w:p>
    <w:p>
      <w:pPr>
        <w:sectPr>
          <w:pgSz w:w="12060" w:h="15667" w:orient="portrait"/>
          <w:cols w:equalWidth="0" w:num="1">
            <w:col w:w="9187"/>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274320</wp:posOffset>
            </wp:positionV>
            <wp:extent cx="7063740" cy="939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7063740" cy="939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740"/>
        <w:spacing w:after="0"/>
        <w:tabs>
          <w:tab w:leader="none" w:pos="8340" w:val="left"/>
          <w:tab w:leader="none" w:pos="9620" w:val="left"/>
        </w:tabs>
        <w:rPr>
          <w:sz w:val="20"/>
          <w:szCs w:val="20"/>
          <w:color w:val="auto"/>
        </w:rPr>
      </w:pPr>
      <w:r>
        <w:rPr>
          <w:rFonts w:ascii="Arial" w:cs="Arial" w:eastAsia="Arial" w:hAnsi="Arial"/>
          <w:sz w:val="13"/>
          <w:szCs w:val="13"/>
          <w:color w:val="0C0002"/>
        </w:rPr>
        <w:t>South Plains Financial, Inc.</w:t>
      </w:r>
      <w:r>
        <w:rPr>
          <w:sz w:val="20"/>
          <w:szCs w:val="20"/>
          <w:color w:val="auto"/>
        </w:rPr>
        <w:tab/>
      </w:r>
      <w:r>
        <w:rPr>
          <w:rFonts w:ascii="Arial" w:cs="Arial" w:eastAsia="Arial" w:hAnsi="Arial"/>
          <w:sz w:val="13"/>
          <w:szCs w:val="13"/>
          <w:b w:val="1"/>
          <w:bCs w:val="1"/>
          <w:color w:val="0C0002"/>
        </w:rPr>
        <w:t>2022 Annual Report</w:t>
      </w:r>
      <w:r>
        <w:rPr>
          <w:sz w:val="20"/>
          <w:szCs w:val="20"/>
          <w:color w:val="auto"/>
        </w:rPr>
        <w:tab/>
      </w:r>
      <w:r>
        <w:rPr>
          <w:rFonts w:ascii="Arial" w:cs="Arial" w:eastAsia="Arial" w:hAnsi="Arial"/>
          <w:sz w:val="7"/>
          <w:szCs w:val="7"/>
          <w:color w:val="0C0002"/>
        </w:rPr>
        <w:t>1</w:t>
      </w:r>
    </w:p>
    <w:p>
      <w:pPr>
        <w:sectPr>
          <w:pgSz w:w="12060" w:h="15667" w:orient="portrait"/>
          <w:cols w:equalWidth="0" w:num="1">
            <w:col w:w="9680"/>
          </w:cols>
          <w:pgMar w:left="1440" w:top="1440" w:right="947" w:bottom="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274320</wp:posOffset>
            </wp:positionH>
            <wp:positionV relativeFrom="page">
              <wp:posOffset>274320</wp:posOffset>
            </wp:positionV>
            <wp:extent cx="7383780" cy="3806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738378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44"/>
          <w:szCs w:val="44"/>
          <w:color w:val="EE0410"/>
        </w:rPr>
        <w:t>to our shareholders</w:t>
      </w:r>
    </w:p>
    <w:p>
      <w:pPr>
        <w:spacing w:after="0" w:line="32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0C0002"/>
        </w:rPr>
        <w:t xml:space="preserve">Curtis Griffith </w:t>
      </w:r>
      <w:r>
        <w:rPr>
          <w:rFonts w:ascii="Arial" w:cs="Arial" w:eastAsia="Arial" w:hAnsi="Arial"/>
          <w:sz w:val="14"/>
          <w:szCs w:val="14"/>
          <w:color w:val="0C0002"/>
        </w:rPr>
        <w:t>Chairman and Chief Executive Officer</w:t>
      </w:r>
    </w:p>
    <w:p>
      <w:pPr>
        <w:sectPr>
          <w:pgSz w:w="12060" w:h="15667" w:orient="portrait"/>
          <w:cols w:equalWidth="0" w:num="1">
            <w:col w:w="10160"/>
          </w:cols>
          <w:pgMar w:left="940" w:top="1440" w:right="967"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2" w:lineRule="auto"/>
        <w:rPr>
          <w:sz w:val="20"/>
          <w:szCs w:val="20"/>
          <w:color w:val="auto"/>
        </w:rPr>
      </w:pPr>
      <w:r>
        <w:rPr>
          <w:rFonts w:ascii="Arial" w:cs="Arial" w:eastAsia="Arial" w:hAnsi="Arial"/>
          <w:sz w:val="36"/>
          <w:szCs w:val="36"/>
          <w:color w:val="0C0002"/>
        </w:rPr>
        <w:t>In 2022, we successfully navigated a challenging economic environment and delivered results ahead of our expectations. The expansion of our commercial lending team has driven an acceleration in our organic loan growth and contributed to an improvement in our net interest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color w:val="0C0002"/>
        </w:rPr>
        <w:t>As our net interest income improved through the year, it began to offset the expected decline in our mortgage banking revenues as the Federal Reserve aggressively raised their benchmark interest rate to combat inflation. While the economic outlook remains uncertain, we believe the significant steps that we have taken to expand our commercial lending, while improving cost controls and operational efficiency, has positioned South Plains for continued success in the future.</w:t>
      </w:r>
    </w:p>
    <w:p>
      <w:pPr>
        <w:spacing w:after="0" w:line="142" w:lineRule="exact"/>
        <w:rPr>
          <w:sz w:val="20"/>
          <w:szCs w:val="20"/>
          <w:color w:val="auto"/>
        </w:rPr>
      </w:pPr>
    </w:p>
    <w:p>
      <w:pPr>
        <w:ind w:right="40"/>
        <w:spacing w:after="0" w:line="344" w:lineRule="auto"/>
        <w:rPr>
          <w:sz w:val="20"/>
          <w:szCs w:val="20"/>
          <w:color w:val="auto"/>
        </w:rPr>
      </w:pPr>
      <w:r>
        <w:rPr>
          <w:rFonts w:ascii="Arial" w:cs="Arial" w:eastAsia="Arial" w:hAnsi="Arial"/>
          <w:sz w:val="16"/>
          <w:szCs w:val="16"/>
          <w:color w:val="0C0002"/>
        </w:rPr>
        <w:t>Over the last two years, we have added experienced commercial lenders who share our lending and credit philosophy as well as our culture. Those hires have been in our major metropolitan markets of Dallas, Houston, and El Paso, and in our smaller metro markets of Lubbock, Midland, and Odessa. We believe we have a competitive advantage in all of these markets over our larger competitors given that we can close deals more quickly while not sacrificing on underwriting or credit quality. We can make rapid decisions and our processes are less onerous for our customers, but we are not cutting corners or taking unwarranted credit risk. This has provided the foundation to move profitable relationships from other banks as we have added to our lending team.</w:t>
      </w:r>
    </w:p>
    <w:p>
      <w:pPr>
        <w:spacing w:after="0" w:line="135" w:lineRule="exact"/>
        <w:rPr>
          <w:sz w:val="20"/>
          <w:szCs w:val="20"/>
          <w:color w:val="auto"/>
        </w:rPr>
      </w:pPr>
    </w:p>
    <w:p>
      <w:pPr>
        <w:spacing w:after="0" w:line="340" w:lineRule="auto"/>
        <w:rPr>
          <w:sz w:val="20"/>
          <w:szCs w:val="20"/>
          <w:color w:val="auto"/>
        </w:rPr>
      </w:pPr>
      <w:r>
        <w:rPr>
          <w:rFonts w:ascii="Arial" w:cs="Arial" w:eastAsia="Arial" w:hAnsi="Arial"/>
          <w:sz w:val="17"/>
          <w:szCs w:val="17"/>
          <w:color w:val="0C0002"/>
        </w:rPr>
        <w:t>Our expansion and growing scale in our metropolitan markets is a key factor to the accelerating loan growth that we delivered in 2022, combined with the market share gains that our community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-3910965</wp:posOffset>
                </wp:positionH>
                <wp:positionV relativeFrom="paragraph">
                  <wp:posOffset>629920</wp:posOffset>
                </wp:positionV>
                <wp:extent cx="7657465" cy="59436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7465" cy="594360"/>
                        </a:xfrm>
                        <a:prstGeom prst="rect">
                          <a:avLst/>
                        </a:prstGeom>
                        <a:solidFill>
                          <a:srgbClr val="0C0002"/>
                        </a:solidFill>
                      </wps:spPr>
                      <wps:bodyPr/>
                    </wps:wsp>
                  </a:graphicData>
                </a:graphic>
              </wp:anchor>
            </w:drawing>
          </mc:Choice>
          <mc:Fallback>
            <w:pict>
              <v:rect id="Shape 6" o:spid="_x0000_s1031" style="position:absolute;margin-left:-307.9499pt;margin-top:49.6pt;width:602.95pt;height:4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0002" stroked="f"/>
            </w:pict>
          </mc:Fallback>
        </mc:AlternateContent>
      </w:r>
    </w:p>
    <w:p>
      <w:pPr>
        <w:spacing w:after="0" w:line="200" w:lineRule="exact"/>
        <w:rPr>
          <w:sz w:val="20"/>
          <w:szCs w:val="20"/>
          <w:color w:val="auto"/>
        </w:rPr>
      </w:pPr>
    </w:p>
    <w:p>
      <w:pPr>
        <w:sectPr>
          <w:pgSz w:w="12060" w:h="15667" w:orient="portrait"/>
          <w:cols w:equalWidth="0" w:num="2">
            <w:col w:w="4640" w:space="580"/>
            <w:col w:w="4940"/>
          </w:cols>
          <w:pgMar w:left="940" w:top="1440" w:right="967"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0"/>
          <w:szCs w:val="10"/>
          <w:color w:val="FFFFFF"/>
        </w:rPr>
        <w:t>2</w:t>
      </w:r>
    </w:p>
    <w:p>
      <w:pPr>
        <w:sectPr>
          <w:pgSz w:w="12060" w:h="15667" w:orient="portrait"/>
          <w:cols w:equalWidth="0" w:num="1">
            <w:col w:w="10160"/>
          </w:cols>
          <w:pgMar w:left="940" w:top="1440" w:right="967" w:bottom="0" w:gutter="0" w:footer="0" w:header="0"/>
          <w:type w:val="continuous"/>
        </w:sectPr>
      </w:pPr>
    </w:p>
    <w:bookmarkStart w:id="4" w:name="page5"/>
    <w:bookmarkEnd w:id="4"/>
    <w:p>
      <w:pPr>
        <w:spacing w:after="0" w:line="82" w:lineRule="exact"/>
        <w:rPr>
          <w:sz w:val="20"/>
          <w:szCs w:val="20"/>
          <w:color w:val="auto"/>
        </w:rPr>
      </w:pPr>
    </w:p>
    <w:p>
      <w:pPr>
        <w:ind w:right="1080"/>
        <w:spacing w:after="0" w:line="306" w:lineRule="auto"/>
        <w:rPr>
          <w:sz w:val="20"/>
          <w:szCs w:val="20"/>
          <w:color w:val="auto"/>
        </w:rPr>
      </w:pPr>
      <w:r>
        <w:rPr>
          <w:rFonts w:ascii="Arial" w:cs="Arial" w:eastAsia="Arial" w:hAnsi="Arial"/>
          <w:sz w:val="18"/>
          <w:szCs w:val="18"/>
          <w:color w:val="0C0002"/>
        </w:rPr>
        <w:t>bankers continued to deliver. For the full year, we grew our loan portfolio 12.7% to $2.75 billion which exceeded our mid to high single digit expectations. This acceleration was driven by loan growth of 19.2% in our major metropolitan markets of Dallas, Houston, and El Paso, and which collectively now represents 32% of our total loan portfolio at year-end 2022.</w:t>
      </w:r>
    </w:p>
    <w:p>
      <w:pPr>
        <w:spacing w:after="0" w:line="157" w:lineRule="exact"/>
        <w:rPr>
          <w:sz w:val="20"/>
          <w:szCs w:val="20"/>
          <w:color w:val="auto"/>
        </w:rPr>
      </w:pPr>
    </w:p>
    <w:p>
      <w:pPr>
        <w:ind w:right="1080"/>
        <w:spacing w:after="0" w:line="322" w:lineRule="auto"/>
        <w:rPr>
          <w:sz w:val="20"/>
          <w:szCs w:val="20"/>
          <w:color w:val="auto"/>
        </w:rPr>
      </w:pPr>
      <w:r>
        <w:rPr>
          <w:rFonts w:ascii="Arial" w:cs="Arial" w:eastAsia="Arial" w:hAnsi="Arial"/>
          <w:sz w:val="17"/>
          <w:szCs w:val="17"/>
          <w:color w:val="0C0002"/>
        </w:rPr>
        <w:t>Our strong loan growth contributed to our net interest income growth during 2022 of 13.7%, as compared to 2021. As our net interest income improved through the year, it helped to offset the 47.5% decline in our mortgage banking income that we experienced given the sharp rise in mortgage interest rates. As a result, we were able to modestly grow diluted earnings per share to $3.23 in 2022 as compared to $3.17 per share in 2021, which was quite an achievement. We will still provide outstanding service to our mortgage customers but expect that the impact of our mortgage business on our overall results will now be significantly less compared to the past three years. Our growing loan portfolio and improving interest income will be the main drivers of our profitability in 2023.</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0C0002"/>
        </w:rPr>
        <w:t>The downward pressure on financial stocks in 2022 caused our</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C0002"/>
        </w:rPr>
        <w:t>shares to trade below intrinsic value through much of the year. As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C0002"/>
        </w:rPr>
        <w:t>a result, we remained active with our share repurchase program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C0002"/>
        </w:rPr>
        <w:t>through 2022, having repurchased 860 thousand shares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C0002"/>
        </w:rPr>
        <w:t>representing approximately 4.8% of our shares outstanding at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C0002"/>
        </w:rPr>
        <w:t>December 31, 2021. We also returned a steady stream of capital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C0002"/>
        </w:rPr>
        <w:t>to our shareholders through our dividend where we distributed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C0002"/>
        </w:rPr>
        <w:t>$0.46 per share in quarterly cash dividends in 2022, representing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C0002"/>
        </w:rPr>
        <w:t>a 53% increase as compared to 2021.</w:t>
      </w:r>
    </w:p>
    <w:p>
      <w:pPr>
        <w:spacing w:after="0" w:line="233" w:lineRule="exact"/>
        <w:rPr>
          <w:sz w:val="20"/>
          <w:szCs w:val="20"/>
          <w:color w:val="auto"/>
        </w:rPr>
      </w:pPr>
    </w:p>
    <w:p>
      <w:pPr>
        <w:ind w:right="1060"/>
        <w:spacing w:after="0" w:line="323" w:lineRule="auto"/>
        <w:rPr>
          <w:sz w:val="20"/>
          <w:szCs w:val="20"/>
          <w:color w:val="auto"/>
        </w:rPr>
      </w:pPr>
      <w:r>
        <w:rPr>
          <w:rFonts w:ascii="Arial" w:cs="Arial" w:eastAsia="Arial" w:hAnsi="Arial"/>
          <w:sz w:val="17"/>
          <w:szCs w:val="17"/>
          <w:color w:val="0C0002"/>
        </w:rPr>
        <w:t>Overall, I am very proud of our accomplishments as we grew our lending team, gained market share, and delivered results above our expectations. Central to this and a reason for my optimism for the future is our brand and culture. We have a built a strong brand over our more than 80-year history which is well recognized for the best-in-class service that we provide, the high-quality products that we deliver, and the relationships that we develop. Underpinning our brand is our culture, which is centered on our core values of Faith, Family, and Fun which we live every day. Our brand and culture differentiate South Plains from the competition and empowers our team.</w:t>
      </w:r>
    </w:p>
    <w:p>
      <w:pPr>
        <w:spacing w:after="0" w:line="146" w:lineRule="exact"/>
        <w:rPr>
          <w:sz w:val="20"/>
          <w:szCs w:val="20"/>
          <w:color w:val="auto"/>
        </w:rPr>
      </w:pPr>
    </w:p>
    <w:p>
      <w:pPr>
        <w:ind w:right="1180"/>
        <w:spacing w:after="0" w:line="354" w:lineRule="auto"/>
        <w:rPr>
          <w:sz w:val="20"/>
          <w:szCs w:val="20"/>
          <w:color w:val="auto"/>
        </w:rPr>
      </w:pPr>
      <w:r>
        <w:rPr>
          <w:rFonts w:ascii="Arial" w:cs="Arial" w:eastAsia="Arial" w:hAnsi="Arial"/>
          <w:sz w:val="16"/>
          <w:szCs w:val="16"/>
          <w:color w:val="0C0002"/>
        </w:rPr>
        <w:t>We also believe in using the power of relationships to help people succeed and live better in many ways. That is our purpose and how we create value and help all of our stakeholders prosper. For our employees, that means providing a great place to work, generous benefits, and the opportunity to grow professionally while making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-596265</wp:posOffset>
                </wp:positionH>
                <wp:positionV relativeFrom="paragraph">
                  <wp:posOffset>626110</wp:posOffset>
                </wp:positionV>
                <wp:extent cx="7657465" cy="59436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7465" cy="594360"/>
                        </a:xfrm>
                        <a:prstGeom prst="rect">
                          <a:avLst/>
                        </a:prstGeom>
                        <a:solidFill>
                          <a:srgbClr val="0C0002"/>
                        </a:solidFill>
                      </wps:spPr>
                      <wps:bodyPr/>
                    </wps:wsp>
                  </a:graphicData>
                </a:graphic>
              </wp:anchor>
            </w:drawing>
          </mc:Choice>
          <mc:Fallback>
            <w:pict>
              <v:rect id="Shape 7" o:spid="_x0000_s1032" style="position:absolute;margin-left:-46.9499pt;margin-top:49.3pt;width:602.95pt;height:4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0002" stroked="f"/>
            </w:pict>
          </mc:Fallback>
        </mc:AlternateConten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4"/>
          <w:szCs w:val="24"/>
          <w:color w:val="EE0410"/>
        </w:rPr>
        <w:t>2022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1858645</wp:posOffset>
                </wp:positionH>
                <wp:positionV relativeFrom="paragraph">
                  <wp:posOffset>340995</wp:posOffset>
                </wp:positionV>
                <wp:extent cx="0" cy="15113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35pt,26.85pt" to="146.35pt,145.8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344170</wp:posOffset>
                </wp:positionV>
                <wp:extent cx="20605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27.1pt" to="146.6pt,27.1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-195580</wp:posOffset>
                </wp:positionH>
                <wp:positionV relativeFrom="paragraph">
                  <wp:posOffset>340995</wp:posOffset>
                </wp:positionV>
                <wp:extent cx="0" cy="15113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999pt,26.85pt" to="-15.3999pt,145.8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1849120</wp:posOffset>
                </wp:positionV>
                <wp:extent cx="20605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145.6pt" to="146.6pt,145.6pt" o:allowincell="f" strokecolor="#EE041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88"/>
          <w:szCs w:val="88"/>
          <w:color w:val="0C0002"/>
        </w:rPr>
        <w:t>12.7</w:t>
      </w:r>
      <w:r>
        <w:rPr>
          <w:sz w:val="1"/>
          <w:szCs w:val="1"/>
          <w:color w:val="auto"/>
        </w:rPr>
        <w:drawing>
          <wp:inline distT="0" distB="0" distL="0" distR="0">
            <wp:extent cx="334010" cy="356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334010" cy="356870"/>
                    </a:xfrm>
                    <a:prstGeom prst="rect">
                      <a:avLst/>
                    </a:prstGeom>
                    <a:noFill/>
                    <a:ln>
                      <a:noFill/>
                    </a:ln>
                  </pic:spPr>
                </pic:pic>
              </a:graphicData>
            </a:graphic>
          </wp:inline>
        </w:drawing>
      </w:r>
    </w:p>
    <w:p>
      <w:pPr>
        <w:spacing w:after="0" w:line="200" w:lineRule="exact"/>
        <w:rPr>
          <w:sz w:val="20"/>
          <w:szCs w:val="20"/>
          <w:color w:val="auto"/>
        </w:rPr>
      </w:pPr>
    </w:p>
    <w:p>
      <w:pPr>
        <w:spacing w:after="0" w:line="289"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0C0002"/>
        </w:rPr>
        <w:t>Increase in Loans Held</w:t>
      </w:r>
    </w:p>
    <w:p>
      <w:pPr>
        <w:spacing w:after="0" w:line="1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0C0002"/>
        </w:rPr>
        <w:t>for Investment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1858645</wp:posOffset>
                </wp:positionH>
                <wp:positionV relativeFrom="paragraph">
                  <wp:posOffset>304165</wp:posOffset>
                </wp:positionV>
                <wp:extent cx="0" cy="15113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35pt,23.95pt" to="146.35pt,142.9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307340</wp:posOffset>
                </wp:positionV>
                <wp:extent cx="20605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24.2pt" to="146.6pt,24.2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-195580</wp:posOffset>
                </wp:positionH>
                <wp:positionV relativeFrom="paragraph">
                  <wp:posOffset>304165</wp:posOffset>
                </wp:positionV>
                <wp:extent cx="0" cy="15113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999pt,23.95pt" to="-15.3999pt,142.9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1812290</wp:posOffset>
                </wp:positionV>
                <wp:extent cx="20605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142.7pt" to="146.6pt,142.7pt" o:allowincell="f" strokecolor="#EE041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16"/>
          <w:szCs w:val="116"/>
          <w:color w:val="0C0002"/>
        </w:rPr>
        <w:t>19.2</w:t>
      </w:r>
      <w:r>
        <w:rPr>
          <w:sz w:val="1"/>
          <w:szCs w:val="1"/>
          <w:color w:val="auto"/>
        </w:rPr>
        <w:drawing>
          <wp:inline distT="0" distB="0" distL="0" distR="0">
            <wp:extent cx="334010" cy="356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334010" cy="356870"/>
                    </a:xfrm>
                    <a:prstGeom prst="rect">
                      <a:avLst/>
                    </a:prstGeom>
                    <a:noFill/>
                    <a:ln>
                      <a:noFill/>
                    </a:ln>
                  </pic:spPr>
                </pic:pic>
              </a:graphicData>
            </a:graphic>
          </wp:inline>
        </w:drawing>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7"/>
          <w:szCs w:val="17"/>
          <w:color w:val="0C0002"/>
        </w:rPr>
        <w:t>Metropolitan Market Loan Growth</w:t>
      </w:r>
    </w:p>
    <w:p>
      <w:pPr>
        <w:spacing w:after="0" w:line="1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0C0002"/>
        </w:rPr>
        <w:t>(Dallas, Houston, &amp; El Paso)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1858645</wp:posOffset>
                </wp:positionH>
                <wp:positionV relativeFrom="paragraph">
                  <wp:posOffset>304165</wp:posOffset>
                </wp:positionV>
                <wp:extent cx="0" cy="15113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35pt,23.95pt" to="146.35pt,142.9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307340</wp:posOffset>
                </wp:positionV>
                <wp:extent cx="20605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24.2pt" to="146.6pt,24.2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-195580</wp:posOffset>
                </wp:positionH>
                <wp:positionV relativeFrom="paragraph">
                  <wp:posOffset>304165</wp:posOffset>
                </wp:positionV>
                <wp:extent cx="0" cy="15113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999pt,23.95pt" to="-15.3999pt,142.9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1812290</wp:posOffset>
                </wp:positionV>
                <wp:extent cx="20605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142.7pt" to="146.6pt,142.7pt" o:allowincell="f" strokecolor="#EE041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05"/>
          <w:szCs w:val="105"/>
          <w:color w:val="0C0002"/>
          <w:vertAlign w:val="superscript"/>
        </w:rPr>
        <w:t>$</w:t>
      </w:r>
      <w:r>
        <w:rPr>
          <w:rFonts w:ascii="Times New Roman" w:cs="Times New Roman" w:eastAsia="Times New Roman" w:hAnsi="Times New Roman"/>
          <w:sz w:val="91"/>
          <w:szCs w:val="91"/>
          <w:color w:val="0C0002"/>
        </w:rPr>
        <w:t>3.9B</w:t>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18"/>
          <w:szCs w:val="18"/>
          <w:color w:val="0C0002"/>
        </w:rPr>
        <w:t>In Total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1858645</wp:posOffset>
                </wp:positionH>
                <wp:positionV relativeFrom="paragraph">
                  <wp:posOffset>365125</wp:posOffset>
                </wp:positionV>
                <wp:extent cx="0" cy="15113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35pt,28.75pt" to="146.35pt,147.7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368300</wp:posOffset>
                </wp:positionV>
                <wp:extent cx="20605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29pt" to="146.6pt,29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-195580</wp:posOffset>
                </wp:positionH>
                <wp:positionV relativeFrom="paragraph">
                  <wp:posOffset>365125</wp:posOffset>
                </wp:positionV>
                <wp:extent cx="0" cy="15113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11300"/>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999pt,28.75pt" to="-15.3999pt,147.75pt" o:allowincell="f" strokecolor="#EE0410" strokeweight="0.5pt"/>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1873250</wp:posOffset>
                </wp:positionV>
                <wp:extent cx="20605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0575" cy="4763"/>
                        </a:xfrm>
                        <a:prstGeom prst="line">
                          <a:avLst/>
                        </a:prstGeom>
                        <a:solidFill>
                          <a:srgbClr val="FFFFFF"/>
                        </a:solidFill>
                        <a:ln w="6350">
                          <a:solidFill>
                            <a:srgbClr val="EE041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499pt,147.5pt" to="146.6pt,147.5pt" o:allowincell="f" strokecolor="#EE041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92"/>
          <w:szCs w:val="92"/>
          <w:color w:val="0C0002"/>
        </w:rPr>
        <w:t>1.47</w:t>
      </w:r>
      <w:r>
        <w:rPr>
          <w:sz w:val="1"/>
          <w:szCs w:val="1"/>
          <w:color w:val="auto"/>
        </w:rPr>
        <w:drawing>
          <wp:inline distT="0" distB="0" distL="0" distR="0">
            <wp:extent cx="334010" cy="3568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extLst>
                    </a:blip>
                    <a:srcRect/>
                    <a:stretch>
                      <a:fillRect/>
                    </a:stretch>
                  </pic:blipFill>
                  <pic:spPr bwMode="auto">
                    <a:xfrm>
                      <a:off x="0" y="0"/>
                      <a:ext cx="334010" cy="356870"/>
                    </a:xfrm>
                    <a:prstGeom prst="rect">
                      <a:avLst/>
                    </a:prstGeom>
                    <a:noFill/>
                    <a:ln>
                      <a:noFill/>
                    </a:ln>
                  </pic:spPr>
                </pic:pic>
              </a:graphicData>
            </a:graphic>
          </wp:inline>
        </w:drawing>
      </w: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0C0002"/>
        </w:rPr>
        <w:t>Return on Average Assets</w:t>
      </w:r>
    </w:p>
    <w:p>
      <w:pPr>
        <w:spacing w:after="0" w:line="1819" w:lineRule="exact"/>
        <w:rPr>
          <w:sz w:val="20"/>
          <w:szCs w:val="20"/>
          <w:color w:val="auto"/>
        </w:rPr>
      </w:pPr>
    </w:p>
    <w:p>
      <w:pPr>
        <w:sectPr>
          <w:pgSz w:w="12060" w:h="15667" w:orient="portrait"/>
          <w:cols w:equalWidth="0" w:num="2">
            <w:col w:w="6020" w:space="720"/>
            <w:col w:w="3440"/>
          </w:cols>
          <w:pgMar w:left="940" w:top="1440" w:right="947"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20"/>
        <w:spacing w:after="0"/>
        <w:tabs>
          <w:tab w:leader="none" w:pos="8800" w:val="left"/>
          <w:tab w:leader="none" w:pos="10100" w:val="left"/>
        </w:tabs>
        <w:rPr>
          <w:sz w:val="20"/>
          <w:szCs w:val="20"/>
          <w:color w:val="auto"/>
        </w:rPr>
      </w:pPr>
      <w:r>
        <w:rPr>
          <w:rFonts w:ascii="Arial" w:cs="Arial" w:eastAsia="Arial" w:hAnsi="Arial"/>
          <w:sz w:val="13"/>
          <w:szCs w:val="13"/>
          <w:color w:val="FFFFFF"/>
        </w:rPr>
        <w:t>South Plains Financial, Inc.</w:t>
      </w:r>
      <w:r>
        <w:rPr>
          <w:sz w:val="20"/>
          <w:szCs w:val="20"/>
          <w:color w:val="auto"/>
        </w:rPr>
        <w:tab/>
      </w:r>
      <w:r>
        <w:rPr>
          <w:rFonts w:ascii="Arial" w:cs="Arial" w:eastAsia="Arial" w:hAnsi="Arial"/>
          <w:sz w:val="13"/>
          <w:szCs w:val="13"/>
          <w:b w:val="1"/>
          <w:bCs w:val="1"/>
          <w:color w:val="FFFFFF"/>
        </w:rPr>
        <w:t>2022 Annual Report</w:t>
      </w:r>
      <w:r>
        <w:rPr>
          <w:sz w:val="20"/>
          <w:szCs w:val="20"/>
          <w:color w:val="auto"/>
        </w:rPr>
        <w:tab/>
      </w:r>
      <w:r>
        <w:rPr>
          <w:rFonts w:ascii="Arial" w:cs="Arial" w:eastAsia="Arial" w:hAnsi="Arial"/>
          <w:sz w:val="10"/>
          <w:szCs w:val="10"/>
          <w:color w:val="FFFFFF"/>
        </w:rPr>
        <w:t>3</w:t>
      </w:r>
    </w:p>
    <w:p>
      <w:pPr>
        <w:sectPr>
          <w:pgSz w:w="12060" w:h="15667" w:orient="portrait"/>
          <w:cols w:equalWidth="0" w:num="1">
            <w:col w:w="10180"/>
          </w:cols>
          <w:pgMar w:left="940" w:top="1440" w:right="947"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274320</wp:posOffset>
            </wp:positionV>
            <wp:extent cx="3917950" cy="511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extLst>
                    </a:blip>
                    <a:srcRect/>
                    <a:stretch>
                      <a:fillRect/>
                    </a:stretch>
                  </pic:blipFill>
                  <pic:spPr bwMode="auto">
                    <a:xfrm>
                      <a:off x="0" y="0"/>
                      <a:ext cx="3917950" cy="511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5"/>
          <w:szCs w:val="15"/>
          <w:color w:val="FFFFFF"/>
        </w:rPr>
        <w:t>l ubbock</w:t>
      </w:r>
    </w:p>
    <w:p>
      <w:pPr>
        <w:spacing w:after="0" w:line="2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FFFFFF"/>
        </w:rPr>
        <w:t>el paso</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FFFFFF"/>
        </w:rPr>
        <w:t>dall a s</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EE0410"/>
        </w:rPr>
        <w:t>Dallas/Ft. Worth</w:t>
      </w:r>
    </w:p>
    <w:p>
      <w:pPr>
        <w:spacing w:after="0" w:line="111" w:lineRule="exact"/>
        <w:rPr>
          <w:sz w:val="20"/>
          <w:szCs w:val="20"/>
          <w:color w:val="auto"/>
        </w:rPr>
      </w:pPr>
    </w:p>
    <w:p>
      <w:pPr>
        <w:ind w:left="160" w:right="180" w:hanging="161"/>
        <w:spacing w:after="0"/>
        <w:rPr>
          <w:sz w:val="20"/>
          <w:szCs w:val="20"/>
          <w:color w:val="auto"/>
        </w:rPr>
      </w:pPr>
      <w:r>
        <w:rPr>
          <w:sz w:val="1"/>
          <w:szCs w:val="1"/>
          <w:color w:val="auto"/>
        </w:rPr>
        <w:drawing>
          <wp:inline distT="0" distB="0" distL="0" distR="0">
            <wp:extent cx="45720" cy="457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Largest metropolitan statistical area (MSA) in Texas and fourth largest in the nation</w:t>
      </w:r>
    </w:p>
    <w:p>
      <w:pPr>
        <w:spacing w:after="0" w:line="49" w:lineRule="exact"/>
        <w:rPr>
          <w:sz w:val="20"/>
          <w:szCs w:val="20"/>
          <w:color w:val="auto"/>
        </w:rPr>
      </w:pPr>
    </w:p>
    <w:p>
      <w:pPr>
        <w:ind w:left="160" w:right="140" w:hanging="161"/>
        <w:spacing w:after="0"/>
        <w:rPr>
          <w:sz w:val="20"/>
          <w:szCs w:val="20"/>
          <w:color w:val="auto"/>
        </w:rPr>
      </w:pPr>
      <w:r>
        <w:rPr>
          <w:sz w:val="1"/>
          <w:szCs w:val="1"/>
          <w:color w:val="auto"/>
        </w:rPr>
        <w:drawing>
          <wp:inline distT="0" distB="0" distL="0" distR="0">
            <wp:extent cx="45720" cy="457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Attractive location for companies interested in relocating to more efficient economic environments</w:t>
      </w:r>
    </w:p>
    <w:p>
      <w:pPr>
        <w:spacing w:after="0" w:line="49" w:lineRule="exact"/>
        <w:rPr>
          <w:sz w:val="20"/>
          <w:szCs w:val="20"/>
          <w:color w:val="auto"/>
        </w:rPr>
      </w:pPr>
    </w:p>
    <w:p>
      <w:pPr>
        <w:ind w:left="160" w:right="440" w:hanging="161"/>
        <w:spacing w:after="0"/>
        <w:rPr>
          <w:sz w:val="20"/>
          <w:szCs w:val="20"/>
          <w:color w:val="auto"/>
        </w:rPr>
      </w:pPr>
      <w:r>
        <w:rPr>
          <w:sz w:val="1"/>
          <w:szCs w:val="1"/>
          <w:color w:val="auto"/>
        </w:rPr>
        <w:drawing>
          <wp:inline distT="0" distB="0" distL="0" distR="0">
            <wp:extent cx="45720" cy="457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Steadily expanding population that accounts for 26% of the state’s population</w:t>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color w:val="EE0410"/>
        </w:rPr>
        <w:t>Houston</w:t>
      </w:r>
    </w:p>
    <w:p>
      <w:pPr>
        <w:spacing w:after="0" w:line="111" w:lineRule="exact"/>
        <w:rPr>
          <w:sz w:val="20"/>
          <w:szCs w:val="20"/>
          <w:color w:val="auto"/>
        </w:rPr>
      </w:pPr>
    </w:p>
    <w:p>
      <w:pPr>
        <w:spacing w:after="0"/>
        <w:rPr>
          <w:sz w:val="20"/>
          <w:szCs w:val="20"/>
          <w:color w:val="auto"/>
        </w:rPr>
      </w:pPr>
      <w:r>
        <w:rPr>
          <w:sz w:val="1"/>
          <w:szCs w:val="1"/>
          <w:color w:val="auto"/>
        </w:rPr>
        <w:drawing>
          <wp:inline distT="0" distB="0" distL="0" distR="0">
            <wp:extent cx="45720" cy="457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6"/>
          <w:szCs w:val="16"/>
          <w:color w:val="0C0002"/>
        </w:rPr>
        <w:t xml:space="preserve"> Second largest MSA in Texas and fifth largest in the nation</w:t>
      </w:r>
    </w:p>
    <w:p>
      <w:pPr>
        <w:spacing w:after="0" w:line="94" w:lineRule="exact"/>
        <w:rPr>
          <w:sz w:val="20"/>
          <w:szCs w:val="20"/>
          <w:color w:val="auto"/>
        </w:rPr>
      </w:pPr>
    </w:p>
    <w:p>
      <w:pPr>
        <w:jc w:val="both"/>
        <w:ind w:left="160" w:right="340" w:hanging="161"/>
        <w:spacing w:after="0"/>
        <w:rPr>
          <w:sz w:val="20"/>
          <w:szCs w:val="20"/>
          <w:color w:val="auto"/>
        </w:rPr>
      </w:pPr>
      <w:r>
        <w:rPr>
          <w:sz w:val="1"/>
          <w:szCs w:val="1"/>
          <w:color w:val="auto"/>
        </w:rPr>
        <w:drawing>
          <wp:inline distT="0" distB="0" distL="0" distR="0">
            <wp:extent cx="45720" cy="4572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Called the “Energy Capital of the World,” the area also boasts the world’s largest medical center and second busiest port in the U.S.</w:t>
      </w:r>
    </w:p>
    <w:p>
      <w:pPr>
        <w:spacing w:after="0" w:line="49" w:lineRule="exact"/>
        <w:rPr>
          <w:sz w:val="20"/>
          <w:szCs w:val="20"/>
          <w:color w:val="auto"/>
        </w:rPr>
      </w:pPr>
    </w:p>
    <w:p>
      <w:pPr>
        <w:ind w:left="160" w:right="260" w:hanging="161"/>
        <w:spacing w:after="0"/>
        <w:rPr>
          <w:sz w:val="20"/>
          <w:szCs w:val="20"/>
          <w:color w:val="auto"/>
        </w:rPr>
      </w:pPr>
      <w:r>
        <w:rPr>
          <w:sz w:val="1"/>
          <w:szCs w:val="1"/>
          <w:color w:val="auto"/>
        </w:rPr>
        <w:drawing>
          <wp:inline distT="0" distB="0" distL="0" distR="0">
            <wp:extent cx="45720" cy="457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Total non-farm employment growth of 5.6% in 2022 as compared to 2021</w:t>
      </w:r>
    </w:p>
    <w:p>
      <w:pPr>
        <w:spacing w:after="0" w:line="192" w:lineRule="exact"/>
        <w:rPr>
          <w:sz w:val="20"/>
          <w:szCs w:val="20"/>
          <w:color w:val="auto"/>
        </w:rPr>
      </w:pPr>
    </w:p>
    <w:p>
      <w:pPr>
        <w:sectPr>
          <w:pgSz w:w="12060" w:h="15667" w:orient="portrait"/>
          <w:cols w:equalWidth="0" w:num="3">
            <w:col w:w="3540" w:space="720"/>
            <w:col w:w="660" w:space="720"/>
            <w:col w:w="4540"/>
          </w:cols>
          <w:pgMar w:left="940" w:top="886" w:right="947" w:bottom="0" w:gutter="0" w:footer="0" w:header="0"/>
        </w:sectPr>
      </w:pP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5"/>
          <w:szCs w:val="15"/>
          <w:color w:val="FFFFFF"/>
        </w:rPr>
        <w:t>hous ton</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color w:val="0C0002"/>
        </w:rPr>
        <w:t>Attractive Markets</w:t>
      </w:r>
    </w:p>
    <w:p>
      <w:pPr>
        <w:spacing w:after="0" w:line="37" w:lineRule="exact"/>
        <w:rPr>
          <w:sz w:val="20"/>
          <w:szCs w:val="20"/>
          <w:color w:val="auto"/>
        </w:rPr>
      </w:pPr>
    </w:p>
    <w:p>
      <w:pPr>
        <w:spacing w:after="0"/>
        <w:rPr>
          <w:sz w:val="20"/>
          <w:szCs w:val="20"/>
          <w:color w:val="auto"/>
        </w:rPr>
      </w:pPr>
      <w:r>
        <w:rPr>
          <w:rFonts w:ascii="Arial" w:cs="Arial" w:eastAsia="Arial" w:hAnsi="Arial"/>
          <w:sz w:val="32"/>
          <w:szCs w:val="32"/>
          <w:color w:val="0C0002"/>
        </w:rPr>
        <w:t>Poised for Organic</w:t>
      </w:r>
    </w:p>
    <w:p>
      <w:pPr>
        <w:spacing w:after="0" w:line="12" w:lineRule="exact"/>
        <w:rPr>
          <w:sz w:val="20"/>
          <w:szCs w:val="20"/>
          <w:color w:val="auto"/>
        </w:rPr>
      </w:pPr>
    </w:p>
    <w:p>
      <w:pPr>
        <w:spacing w:after="0"/>
        <w:rPr>
          <w:sz w:val="20"/>
          <w:szCs w:val="20"/>
          <w:color w:val="auto"/>
        </w:rPr>
      </w:pPr>
      <w:r>
        <w:rPr>
          <w:rFonts w:ascii="Arial" w:cs="Arial" w:eastAsia="Arial" w:hAnsi="Arial"/>
          <w:sz w:val="32"/>
          <w:szCs w:val="32"/>
          <w:color w:val="0C0002"/>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46" w:lineRule="auto"/>
        <w:rPr>
          <w:sz w:val="20"/>
          <w:szCs w:val="20"/>
          <w:color w:val="auto"/>
        </w:rPr>
      </w:pPr>
      <w:r>
        <w:rPr>
          <w:rFonts w:ascii="Arial" w:cs="Arial" w:eastAsia="Arial" w:hAnsi="Arial"/>
          <w:sz w:val="16"/>
          <w:szCs w:val="16"/>
          <w:color w:val="0C0002"/>
        </w:rPr>
        <w:t>difference in the world. For our customers, it means building long-lasting relationships centered on unrivaled service, personalized advice, and the delivery of financial solutions that help them achieve their goals. For our communities, it means providing support both monetarily and through empowering our employees to volunteer during business hours as we work together to help our communities flourish. Our consistent corporate message is that the success of our customers and communities will drive the success of the Bank, and that can be seen in our financial results once again this year.</w:t>
      </w:r>
    </w:p>
    <w:p>
      <w:pPr>
        <w:spacing w:after="0" w:line="133" w:lineRule="exact"/>
        <w:rPr>
          <w:sz w:val="20"/>
          <w:szCs w:val="20"/>
          <w:color w:val="auto"/>
        </w:rPr>
      </w:pPr>
    </w:p>
    <w:p>
      <w:pPr>
        <w:ind w:right="560"/>
        <w:spacing w:after="0" w:line="328" w:lineRule="auto"/>
        <w:rPr>
          <w:sz w:val="20"/>
          <w:szCs w:val="20"/>
          <w:color w:val="auto"/>
        </w:rPr>
      </w:pPr>
      <w:r>
        <w:rPr>
          <w:rFonts w:ascii="Arial" w:cs="Arial" w:eastAsia="Arial" w:hAnsi="Arial"/>
          <w:sz w:val="18"/>
          <w:szCs w:val="18"/>
          <w:color w:val="0C0002"/>
        </w:rPr>
        <w:t>Turning to the year ahead, we have several strategic priorities in 2023.</w:t>
      </w:r>
    </w:p>
    <w:p>
      <w:pPr>
        <w:spacing w:after="0" w:line="134" w:lineRule="exact"/>
        <w:rPr>
          <w:sz w:val="20"/>
          <w:szCs w:val="20"/>
          <w:color w:val="auto"/>
        </w:rPr>
      </w:pPr>
    </w:p>
    <w:p>
      <w:pPr>
        <w:ind w:right="80"/>
        <w:spacing w:after="0" w:line="327" w:lineRule="auto"/>
        <w:rPr>
          <w:sz w:val="20"/>
          <w:szCs w:val="20"/>
          <w:color w:val="auto"/>
        </w:rPr>
      </w:pPr>
      <w:r>
        <w:rPr>
          <w:rFonts w:ascii="Arial" w:cs="Arial" w:eastAsia="Arial" w:hAnsi="Arial"/>
          <w:sz w:val="17"/>
          <w:szCs w:val="17"/>
          <w:color w:val="0C0002"/>
        </w:rPr>
        <w:t>First, we will continue to selectively add experienced commercial lenders in our major markets. We see significant opportunities there for commercial loan growth as well as other services. Importantly, we operate in commercial offices instead of traditional freestanding branches in our Dallas and Houston markets and can cost effectively add space as needed.</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24"/>
          <w:szCs w:val="24"/>
          <w:color w:val="EE0410"/>
        </w:rPr>
        <w:t>El Paso</w:t>
      </w:r>
    </w:p>
    <w:p>
      <w:pPr>
        <w:spacing w:after="0" w:line="111" w:lineRule="exact"/>
        <w:rPr>
          <w:sz w:val="20"/>
          <w:szCs w:val="20"/>
          <w:color w:val="auto"/>
        </w:rPr>
      </w:pPr>
    </w:p>
    <w:p>
      <w:pPr>
        <w:ind w:left="420"/>
        <w:spacing w:after="0"/>
        <w:rPr>
          <w:sz w:val="20"/>
          <w:szCs w:val="20"/>
          <w:color w:val="auto"/>
        </w:rPr>
      </w:pPr>
      <w:r>
        <w:rPr>
          <w:sz w:val="1"/>
          <w:szCs w:val="1"/>
          <w:color w:val="auto"/>
        </w:rPr>
        <w:drawing>
          <wp:inline distT="0" distB="0" distL="0" distR="0">
            <wp:extent cx="45720" cy="457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Population of 865,000+</w:t>
      </w:r>
    </w:p>
    <w:p>
      <w:pPr>
        <w:spacing w:after="0" w:line="71" w:lineRule="exact"/>
        <w:rPr>
          <w:sz w:val="20"/>
          <w:szCs w:val="20"/>
          <w:color w:val="auto"/>
        </w:rPr>
      </w:pPr>
    </w:p>
    <w:p>
      <w:pPr>
        <w:ind w:left="580" w:right="680" w:hanging="161"/>
        <w:spacing w:after="0"/>
        <w:rPr>
          <w:sz w:val="20"/>
          <w:szCs w:val="20"/>
          <w:color w:val="auto"/>
        </w:rPr>
      </w:pPr>
      <w:r>
        <w:rPr>
          <w:sz w:val="1"/>
          <w:szCs w:val="1"/>
          <w:color w:val="auto"/>
        </w:rPr>
        <w:drawing>
          <wp:inline distT="0" distB="0" distL="0" distR="0">
            <wp:extent cx="45720" cy="457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Adjacent in proximity to Juarez, Mexico’s growing industrial center</w:t>
      </w:r>
    </w:p>
    <w:p>
      <w:pPr>
        <w:spacing w:after="0" w:line="49" w:lineRule="exact"/>
        <w:rPr>
          <w:sz w:val="20"/>
          <w:szCs w:val="20"/>
          <w:color w:val="auto"/>
        </w:rPr>
      </w:pPr>
    </w:p>
    <w:p>
      <w:pPr>
        <w:ind w:left="580" w:hanging="161"/>
        <w:spacing w:after="0"/>
        <w:rPr>
          <w:sz w:val="20"/>
          <w:szCs w:val="20"/>
          <w:color w:val="auto"/>
        </w:rPr>
      </w:pPr>
      <w:r>
        <w:rPr>
          <w:sz w:val="1"/>
          <w:szCs w:val="1"/>
          <w:color w:val="auto"/>
        </w:rPr>
        <w:drawing>
          <wp:inline distT="0" distB="0" distL="0" distR="0">
            <wp:extent cx="45720" cy="457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Home to four universities including The University of Texas at El Paso</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24"/>
          <w:szCs w:val="24"/>
          <w:color w:val="EE0410"/>
        </w:rPr>
        <w:t>Lubbock</w:t>
      </w:r>
    </w:p>
    <w:p>
      <w:pPr>
        <w:spacing w:after="0" w:line="111" w:lineRule="exact"/>
        <w:rPr>
          <w:sz w:val="20"/>
          <w:szCs w:val="20"/>
          <w:color w:val="auto"/>
        </w:rPr>
      </w:pPr>
    </w:p>
    <w:p>
      <w:pPr>
        <w:ind w:left="580" w:right="60" w:hanging="161"/>
        <w:spacing w:after="0"/>
        <w:rPr>
          <w:sz w:val="20"/>
          <w:szCs w:val="20"/>
          <w:color w:val="auto"/>
        </w:rPr>
      </w:pPr>
      <w:r>
        <w:rPr>
          <w:sz w:val="1"/>
          <w:szCs w:val="1"/>
          <w:color w:val="auto"/>
        </w:rPr>
        <w:drawing>
          <wp:inline distT="0" distB="0" distL="0" distR="0">
            <wp:extent cx="45720" cy="457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Population in excess of 320,000 with several major industries including Ag, Education, Energy and Healthcare</w:t>
      </w:r>
    </w:p>
    <w:p>
      <w:pPr>
        <w:spacing w:after="0" w:line="49" w:lineRule="exact"/>
        <w:rPr>
          <w:sz w:val="20"/>
          <w:szCs w:val="20"/>
          <w:color w:val="auto"/>
        </w:rPr>
      </w:pPr>
    </w:p>
    <w:p>
      <w:pPr>
        <w:ind w:left="420"/>
        <w:spacing w:after="0"/>
        <w:rPr>
          <w:sz w:val="20"/>
          <w:szCs w:val="20"/>
          <w:color w:val="auto"/>
        </w:rPr>
      </w:pPr>
      <w:r>
        <w:rPr>
          <w:sz w:val="1"/>
          <w:szCs w:val="1"/>
          <w:color w:val="auto"/>
        </w:rPr>
        <w:drawing>
          <wp:inline distT="0" distB="0" distL="0" distR="0">
            <wp:extent cx="45720" cy="457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Home of Texas Tech University</w:t>
      </w:r>
    </w:p>
    <w:p>
      <w:pPr>
        <w:spacing w:after="0" w:line="71" w:lineRule="exact"/>
        <w:rPr>
          <w:sz w:val="20"/>
          <w:szCs w:val="20"/>
          <w:color w:val="auto"/>
        </w:rPr>
      </w:pPr>
    </w:p>
    <w:p>
      <w:pPr>
        <w:ind w:left="580" w:right="140" w:hanging="161"/>
        <w:spacing w:after="0"/>
        <w:rPr>
          <w:sz w:val="20"/>
          <w:szCs w:val="20"/>
          <w:color w:val="auto"/>
        </w:rPr>
      </w:pPr>
      <w:r>
        <w:rPr>
          <w:sz w:val="1"/>
          <w:szCs w:val="1"/>
          <w:color w:val="auto"/>
        </w:rPr>
        <w:drawing>
          <wp:inline distT="0" distB="0" distL="0" distR="0">
            <wp:extent cx="45720" cy="457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extLst>
                    </a:blip>
                    <a:srcRect/>
                    <a:stretch>
                      <a:fillRect/>
                    </a:stretch>
                  </pic:blipFill>
                  <pic:spPr bwMode="auto">
                    <a:xfrm>
                      <a:off x="0" y="0"/>
                      <a:ext cx="45720" cy="45720"/>
                    </a:xfrm>
                    <a:prstGeom prst="rect">
                      <a:avLst/>
                    </a:prstGeom>
                    <a:noFill/>
                    <a:ln>
                      <a:noFill/>
                    </a:ln>
                  </pic:spPr>
                </pic:pic>
              </a:graphicData>
            </a:graphic>
          </wp:inline>
        </w:drawing>
      </w:r>
      <w:r>
        <w:rPr>
          <w:rFonts w:ascii="Arial" w:cs="Arial" w:eastAsia="Arial" w:hAnsi="Arial"/>
          <w:sz w:val="18"/>
          <w:szCs w:val="18"/>
          <w:color w:val="0C0002"/>
        </w:rPr>
        <w:t xml:space="preserve"> Focus on community bank approach and expanding local relationships</w:t>
      </w:r>
    </w:p>
    <w:p>
      <w:pPr>
        <w:spacing w:after="0" w:line="200" w:lineRule="exact"/>
        <w:rPr>
          <w:sz w:val="20"/>
          <w:szCs w:val="20"/>
          <w:color w:val="auto"/>
        </w:rPr>
      </w:pPr>
    </w:p>
    <w:p>
      <w:pPr>
        <w:spacing w:after="0" w:line="396"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color w:val="0C0002"/>
        </w:rPr>
        <w:t>Second, we have been very focused on retaining and increasing deposits and will continue to enhance and expand our deposit gathering capabilities in all of our markets. We have outstanding Treasury and Wealth Management professionals and are seeking to add more. Competition for deposits has intensified, given the rapid rise in market interest rates, and we will work on managing our funding costs and deposit growth to maintain profitability.</w:t>
      </w:r>
    </w:p>
    <w:p>
      <w:pPr>
        <w:spacing w:after="0" w:line="127"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color w:val="0C0002"/>
        </w:rPr>
        <w:t>Third, we will continue to pursue opportunities in the Permian Basin to drive loan and deposit growth as well as fee income. The Permian is unique given that it is an approximately $12 billion deposit market with no dominant bank in the region. It is also a significant private banking opportunity combined with C&amp;I and real estate lending potential, all based on building strong customer relationships. Since we entered the market in 2019, we have worked to establish our culture, demonstrated how we service customers, and upgraded our facilities and technology. We also took the time necessary to install the right market leaders in Midland and Odessa. We expect to reap the financial benefits of these actions through 2023 and beyond.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-3910965</wp:posOffset>
                </wp:positionH>
                <wp:positionV relativeFrom="paragraph">
                  <wp:posOffset>396875</wp:posOffset>
                </wp:positionV>
                <wp:extent cx="7657465" cy="59436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7465" cy="594360"/>
                        </a:xfrm>
                        <a:prstGeom prst="rect">
                          <a:avLst/>
                        </a:prstGeom>
                        <a:solidFill>
                          <a:srgbClr val="0C0002"/>
                        </a:solidFill>
                      </wps:spPr>
                      <wps:bodyPr/>
                    </wps:wsp>
                  </a:graphicData>
                </a:graphic>
              </wp:anchor>
            </w:drawing>
          </mc:Choice>
          <mc:Fallback>
            <w:pict>
              <v:rect id="Shape 40" o:spid="_x0000_s1065" style="position:absolute;margin-left:-307.9499pt;margin-top:31.25pt;width:602.95pt;height:4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0002" stroked="f"/>
            </w:pict>
          </mc:Fallback>
        </mc:AlternateContent>
      </w:r>
    </w:p>
    <w:p>
      <w:pPr>
        <w:spacing w:after="0" w:line="200" w:lineRule="exact"/>
        <w:rPr>
          <w:sz w:val="20"/>
          <w:szCs w:val="20"/>
          <w:color w:val="auto"/>
        </w:rPr>
      </w:pPr>
    </w:p>
    <w:p>
      <w:pPr>
        <w:sectPr>
          <w:pgSz w:w="12060" w:h="15667" w:orient="portrait"/>
          <w:cols w:equalWidth="0" w:num="2">
            <w:col w:w="4960" w:space="260"/>
            <w:col w:w="4960"/>
          </w:cols>
          <w:pgMar w:left="940" w:top="886" w:right="947"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FFFFFF"/>
        </w:rPr>
        <w:t>4</w:t>
      </w:r>
    </w:p>
    <w:p>
      <w:pPr>
        <w:sectPr>
          <w:pgSz w:w="12060" w:h="15667" w:orient="portrait"/>
          <w:cols w:equalWidth="0" w:num="1">
            <w:col w:w="10180"/>
          </w:cols>
          <w:pgMar w:left="940" w:top="886" w:right="947" w:bottom="0" w:gutter="0" w:footer="0" w:header="0"/>
          <w:type w:val="continuous"/>
        </w:sectPr>
      </w:pPr>
    </w:p>
    <w:bookmarkStart w:id="6" w:name="page7"/>
    <w:bookmarkEnd w:id="6"/>
    <w:p>
      <w:pPr>
        <w:jc w:val="center"/>
        <w:ind w:right="440"/>
        <w:spacing w:after="0"/>
        <w:rPr>
          <w:sz w:val="20"/>
          <w:szCs w:val="20"/>
          <w:color w:val="auto"/>
        </w:rPr>
      </w:pPr>
      <w:r>
        <w:rPr>
          <w:rFonts w:ascii="Arial" w:cs="Arial" w:eastAsia="Arial" w:hAnsi="Arial"/>
          <w:sz w:val="32"/>
          <w:szCs w:val="32"/>
          <w:color w:val="0C0002"/>
        </w:rPr>
        <w:drawing>
          <wp:anchor simplePos="0" relativeHeight="251657728" behindDoc="1" locked="0" layoutInCell="0" allowOverlap="1">
            <wp:simplePos x="0" y="0"/>
            <wp:positionH relativeFrom="page">
              <wp:posOffset>0</wp:posOffset>
            </wp:positionH>
            <wp:positionV relativeFrom="page">
              <wp:posOffset>274320</wp:posOffset>
            </wp:positionV>
            <wp:extent cx="7383780" cy="4297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7383780" cy="4297680"/>
                    </a:xfrm>
                    <a:prstGeom prst="rect">
                      <a:avLst/>
                    </a:prstGeom>
                    <a:noFill/>
                  </pic:spPr>
                </pic:pic>
              </a:graphicData>
            </a:graphic>
          </wp:anchor>
        </w:drawing>
        <w:t>Loan Portfolio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6200"/>
        <w:spacing w:after="0"/>
        <w:rPr>
          <w:sz w:val="20"/>
          <w:szCs w:val="20"/>
          <w:color w:val="auto"/>
        </w:rPr>
      </w:pPr>
      <w:r>
        <w:rPr>
          <w:rFonts w:ascii="Arial" w:cs="Arial" w:eastAsia="Arial" w:hAnsi="Arial"/>
          <w:sz w:val="20"/>
          <w:szCs w:val="20"/>
          <w:color w:val="0C0002"/>
        </w:rPr>
        <w:t>19.2% MSA Loan Growth</w:t>
      </w:r>
    </w:p>
    <w:p>
      <w:pPr>
        <w:spacing w:after="0" w:line="71" w:lineRule="exact"/>
        <w:rPr>
          <w:sz w:val="20"/>
          <w:szCs w:val="20"/>
          <w:color w:val="auto"/>
        </w:rPr>
      </w:pPr>
    </w:p>
    <w:p>
      <w:pPr>
        <w:ind w:left="7840"/>
        <w:spacing w:after="0"/>
        <w:rPr>
          <w:sz w:val="20"/>
          <w:szCs w:val="20"/>
          <w:color w:val="auto"/>
        </w:rPr>
      </w:pPr>
      <w:r>
        <w:rPr>
          <w:rFonts w:ascii="Arial" w:cs="Arial" w:eastAsia="Arial" w:hAnsi="Arial"/>
          <w:sz w:val="14"/>
          <w:szCs w:val="14"/>
          <w:color w:val="0C0002"/>
        </w:rPr>
        <w:t>(in millions)</w:t>
      </w:r>
    </w:p>
    <w:p>
      <w:pPr>
        <w:spacing w:after="0" w:line="346" w:lineRule="exact"/>
        <w:rPr>
          <w:sz w:val="20"/>
          <w:szCs w:val="20"/>
          <w:color w:val="auto"/>
        </w:rPr>
      </w:pPr>
    </w:p>
    <w:p>
      <w:pPr>
        <w:jc w:val="right"/>
        <w:ind w:right="140"/>
        <w:spacing w:after="0"/>
        <w:rPr>
          <w:sz w:val="20"/>
          <w:szCs w:val="20"/>
          <w:color w:val="auto"/>
        </w:rPr>
      </w:pPr>
      <w:r>
        <w:rPr>
          <w:rFonts w:ascii="Arial" w:cs="Arial" w:eastAsia="Arial" w:hAnsi="Arial"/>
          <w:sz w:val="20"/>
          <w:szCs w:val="20"/>
          <w:color w:val="FFFFFF"/>
        </w:rPr>
        <w:t>$878.8</w:t>
      </w:r>
    </w:p>
    <w:p>
      <w:pPr>
        <w:spacing w:after="0" w:line="206"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5320" w:type="dxa"/>
            <w:vAlign w:val="bottom"/>
            <w:gridSpan w:val="3"/>
            <w:vMerge w:val="restart"/>
          </w:tcPr>
          <w:p>
            <w:pPr>
              <w:jc w:val="center"/>
              <w:ind w:right="3635"/>
              <w:spacing w:after="0"/>
              <w:rPr>
                <w:sz w:val="20"/>
                <w:szCs w:val="20"/>
                <w:color w:val="auto"/>
              </w:rPr>
            </w:pPr>
            <w:r>
              <w:rPr>
                <w:rFonts w:ascii="Arial" w:cs="Arial" w:eastAsia="Arial" w:hAnsi="Arial"/>
                <w:sz w:val="20"/>
                <w:szCs w:val="20"/>
                <w:b w:val="1"/>
                <w:bCs w:val="1"/>
                <w:color w:val="0C0002"/>
                <w:w w:val="95"/>
              </w:rPr>
              <w:t xml:space="preserve">$2,748 </w:t>
            </w:r>
            <w:r>
              <w:rPr>
                <w:rFonts w:ascii="Arial" w:cs="Arial" w:eastAsia="Arial" w:hAnsi="Arial"/>
                <w:sz w:val="20"/>
                <w:szCs w:val="20"/>
                <w:color w:val="0C0002"/>
                <w:w w:val="95"/>
              </w:rPr>
              <w:t>million</w:t>
            </w:r>
          </w:p>
        </w:tc>
        <w:tc>
          <w:tcPr>
            <w:tcW w:w="2860" w:type="dxa"/>
            <w:vAlign w:val="bottom"/>
          </w:tcPr>
          <w:p>
            <w:pPr>
              <w:jc w:val="right"/>
              <w:spacing w:after="0"/>
              <w:rPr>
                <w:sz w:val="20"/>
                <w:szCs w:val="20"/>
                <w:color w:val="auto"/>
              </w:rPr>
            </w:pPr>
            <w:r>
              <w:rPr>
                <w:rFonts w:ascii="Arial" w:cs="Arial" w:eastAsia="Arial" w:hAnsi="Arial"/>
                <w:sz w:val="20"/>
                <w:szCs w:val="20"/>
                <w:color w:val="FFFFFF"/>
              </w:rPr>
              <w:t>$849.3</w:t>
            </w:r>
          </w:p>
        </w:tc>
        <w:tc>
          <w:tcPr>
            <w:tcW w:w="0" w:type="dxa"/>
            <w:vAlign w:val="bottom"/>
          </w:tcPr>
          <w:p>
            <w:pPr>
              <w:spacing w:after="0"/>
              <w:rPr>
                <w:sz w:val="1"/>
                <w:szCs w:val="1"/>
                <w:color w:val="auto"/>
              </w:rPr>
            </w:pPr>
          </w:p>
        </w:tc>
      </w:tr>
      <w:tr>
        <w:trPr>
          <w:trHeight w:val="86"/>
        </w:trPr>
        <w:tc>
          <w:tcPr>
            <w:tcW w:w="5320" w:type="dxa"/>
            <w:vAlign w:val="bottom"/>
            <w:gridSpan w:val="3"/>
            <w:vMerge w:val="continue"/>
          </w:tcPr>
          <w:p>
            <w:pPr>
              <w:spacing w:after="0"/>
              <w:rPr>
                <w:sz w:val="7"/>
                <w:szCs w:val="7"/>
                <w:color w:val="auto"/>
              </w:rPr>
            </w:pPr>
          </w:p>
        </w:tc>
        <w:tc>
          <w:tcPr>
            <w:tcW w:w="2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320" w:type="dxa"/>
            <w:vAlign w:val="bottom"/>
            <w:gridSpan w:val="3"/>
          </w:tcPr>
          <w:p>
            <w:pPr>
              <w:jc w:val="center"/>
              <w:ind w:right="3635"/>
              <w:spacing w:after="0" w:line="206" w:lineRule="exact"/>
              <w:rPr>
                <w:sz w:val="20"/>
                <w:szCs w:val="20"/>
                <w:color w:val="auto"/>
              </w:rPr>
            </w:pPr>
            <w:r>
              <w:rPr>
                <w:rFonts w:ascii="Arial" w:cs="Arial" w:eastAsia="Arial" w:hAnsi="Arial"/>
                <w:sz w:val="20"/>
                <w:szCs w:val="20"/>
                <w:color w:val="0C0002"/>
                <w:w w:val="89"/>
              </w:rPr>
              <w:t>Total Loans Held for</w:t>
            </w:r>
          </w:p>
        </w:tc>
        <w:tc>
          <w:tcPr>
            <w:tcW w:w="2860" w:type="dxa"/>
            <w:vAlign w:val="bottom"/>
            <w:vMerge w:val="restart"/>
          </w:tcPr>
          <w:p>
            <w:pPr>
              <w:jc w:val="right"/>
              <w:ind w:right="960"/>
              <w:spacing w:after="0"/>
              <w:rPr>
                <w:sz w:val="20"/>
                <w:szCs w:val="20"/>
                <w:color w:val="auto"/>
              </w:rPr>
            </w:pPr>
            <w:r>
              <w:rPr>
                <w:rFonts w:ascii="Arial" w:cs="Arial" w:eastAsia="Arial" w:hAnsi="Arial"/>
                <w:sz w:val="20"/>
                <w:szCs w:val="20"/>
                <w:color w:val="FFFFFF"/>
              </w:rPr>
              <w:t>$819.4</w:t>
            </w:r>
          </w:p>
        </w:tc>
        <w:tc>
          <w:tcPr>
            <w:tcW w:w="0" w:type="dxa"/>
            <w:vAlign w:val="bottom"/>
          </w:tcPr>
          <w:p>
            <w:pPr>
              <w:spacing w:after="0"/>
              <w:rPr>
                <w:sz w:val="1"/>
                <w:szCs w:val="1"/>
                <w:color w:val="auto"/>
              </w:rPr>
            </w:pPr>
          </w:p>
        </w:tc>
      </w:tr>
      <w:tr>
        <w:trPr>
          <w:trHeight w:val="69"/>
        </w:trPr>
        <w:tc>
          <w:tcPr>
            <w:tcW w:w="2260" w:type="dxa"/>
            <w:vAlign w:val="bottom"/>
          </w:tcPr>
          <w:p>
            <w:pPr>
              <w:spacing w:after="0"/>
              <w:rPr>
                <w:sz w:val="6"/>
                <w:szCs w:val="6"/>
                <w:color w:val="auto"/>
              </w:rPr>
            </w:pPr>
          </w:p>
        </w:tc>
        <w:tc>
          <w:tcPr>
            <w:tcW w:w="680" w:type="dxa"/>
            <w:vAlign w:val="bottom"/>
            <w:tcBorders>
              <w:bottom w:val="single" w:sz="8" w:color="9A7C7A"/>
            </w:tcBorders>
          </w:tcPr>
          <w:p>
            <w:pPr>
              <w:spacing w:after="0"/>
              <w:rPr>
                <w:sz w:val="6"/>
                <w:szCs w:val="6"/>
                <w:color w:val="auto"/>
              </w:rPr>
            </w:pPr>
          </w:p>
        </w:tc>
        <w:tc>
          <w:tcPr>
            <w:tcW w:w="2380" w:type="dxa"/>
            <w:vAlign w:val="bottom"/>
            <w:vMerge w:val="restart"/>
          </w:tcPr>
          <w:p>
            <w:pPr>
              <w:ind w:left="120"/>
              <w:spacing w:after="0" w:line="116" w:lineRule="exact"/>
              <w:rPr>
                <w:sz w:val="20"/>
                <w:szCs w:val="20"/>
                <w:color w:val="auto"/>
              </w:rPr>
            </w:pPr>
            <w:r>
              <w:rPr>
                <w:rFonts w:ascii="Arial" w:cs="Arial" w:eastAsia="Arial" w:hAnsi="Arial"/>
                <w:sz w:val="13"/>
                <w:szCs w:val="13"/>
                <w:b w:val="1"/>
                <w:bCs w:val="1"/>
                <w:color w:val="0C0002"/>
              </w:rPr>
              <w:t xml:space="preserve">$879 </w:t>
            </w:r>
            <w:r>
              <w:rPr>
                <w:rFonts w:ascii="Arial" w:cs="Arial" w:eastAsia="Arial" w:hAnsi="Arial"/>
                <w:sz w:val="13"/>
                <w:szCs w:val="13"/>
                <w:color w:val="0C0002"/>
              </w:rPr>
              <w:t>million</w:t>
            </w:r>
          </w:p>
        </w:tc>
        <w:tc>
          <w:tcPr>
            <w:tcW w:w="2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60"/>
        <w:spacing w:after="0" w:line="186" w:lineRule="auto"/>
        <w:rPr>
          <w:sz w:val="20"/>
          <w:szCs w:val="20"/>
          <w:color w:val="auto"/>
        </w:rPr>
      </w:pPr>
      <w:r>
        <w:rPr>
          <w:rFonts w:ascii="Arial" w:cs="Arial" w:eastAsia="Arial" w:hAnsi="Arial"/>
          <w:sz w:val="17"/>
          <w:szCs w:val="17"/>
          <w:color w:val="0C0002"/>
        </w:rPr>
        <w:t>Investment (HFI)</w:t>
      </w:r>
    </w:p>
    <w:p>
      <w:pPr>
        <w:ind w:left="3900"/>
        <w:spacing w:after="0" w:line="186" w:lineRule="auto"/>
        <w:rPr>
          <w:sz w:val="20"/>
          <w:szCs w:val="20"/>
          <w:color w:val="auto"/>
        </w:rPr>
      </w:pPr>
      <w:r>
        <w:rPr>
          <w:rFonts w:ascii="Arial" w:cs="Arial" w:eastAsia="Arial" w:hAnsi="Arial"/>
          <w:sz w:val="17"/>
          <w:szCs w:val="17"/>
          <w:color w:val="0C0002"/>
        </w:rPr>
        <w:t>Metropolitan</w:t>
      </w:r>
    </w:p>
    <w:p>
      <w:pPr>
        <w:ind w:left="1080"/>
        <w:spacing w:after="0" w:line="188" w:lineRule="auto"/>
        <w:rPr>
          <w:sz w:val="20"/>
          <w:szCs w:val="20"/>
          <w:color w:val="auto"/>
        </w:rPr>
      </w:pPr>
      <w:r>
        <w:rPr>
          <w:rFonts w:ascii="Arial" w:cs="Arial" w:eastAsia="Arial" w:hAnsi="Arial"/>
          <w:sz w:val="12"/>
          <w:szCs w:val="12"/>
          <w:color w:val="0C0002"/>
        </w:rPr>
        <w:t>(as of 12/31/2022)</w:t>
      </w:r>
    </w:p>
    <w:p>
      <w:pPr>
        <w:ind w:left="3900"/>
        <w:spacing w:after="0" w:line="203" w:lineRule="auto"/>
        <w:rPr>
          <w:sz w:val="20"/>
          <w:szCs w:val="20"/>
          <w:color w:val="auto"/>
        </w:rPr>
      </w:pPr>
      <w:r>
        <w:rPr>
          <w:rFonts w:ascii="Arial" w:cs="Arial" w:eastAsia="Arial" w:hAnsi="Arial"/>
          <w:sz w:val="20"/>
          <w:szCs w:val="20"/>
          <w:color w:val="0C0002"/>
        </w:rPr>
        <w:t>Markets (MSA)</w:t>
      </w:r>
    </w:p>
    <w:p>
      <w:pPr>
        <w:ind w:left="6360"/>
        <w:spacing w:after="0" w:line="216" w:lineRule="auto"/>
        <w:rPr>
          <w:sz w:val="20"/>
          <w:szCs w:val="20"/>
          <w:color w:val="auto"/>
        </w:rPr>
      </w:pPr>
      <w:r>
        <w:rPr>
          <w:rFonts w:ascii="Arial" w:cs="Arial" w:eastAsia="Arial" w:hAnsi="Arial"/>
          <w:sz w:val="20"/>
          <w:szCs w:val="20"/>
          <w:color w:val="FFFFFF"/>
        </w:rPr>
        <w:t>$765.8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60"/>
        <w:spacing w:after="0"/>
        <w:tabs>
          <w:tab w:leader="none" w:pos="7440" w:val="left"/>
          <w:tab w:leader="none" w:pos="8480" w:val="left"/>
          <w:tab w:leader="none" w:pos="9500" w:val="left"/>
        </w:tabs>
        <w:rPr>
          <w:sz w:val="20"/>
          <w:szCs w:val="20"/>
          <w:color w:val="auto"/>
        </w:rPr>
      </w:pPr>
      <w:r>
        <w:rPr>
          <w:rFonts w:ascii="Arial" w:cs="Arial" w:eastAsia="Arial" w:hAnsi="Arial"/>
          <w:sz w:val="18"/>
          <w:szCs w:val="18"/>
          <w:color w:val="0C0002"/>
        </w:rPr>
        <w:t>1Q22</w:t>
      </w:r>
      <w:r>
        <w:rPr>
          <w:sz w:val="20"/>
          <w:szCs w:val="20"/>
          <w:color w:val="auto"/>
        </w:rPr>
        <w:tab/>
      </w:r>
      <w:r>
        <w:rPr>
          <w:rFonts w:ascii="Arial" w:cs="Arial" w:eastAsia="Arial" w:hAnsi="Arial"/>
          <w:sz w:val="18"/>
          <w:szCs w:val="18"/>
          <w:color w:val="0C0002"/>
        </w:rPr>
        <w:t>2Q22</w:t>
      </w:r>
      <w:r>
        <w:rPr>
          <w:sz w:val="20"/>
          <w:szCs w:val="20"/>
          <w:color w:val="auto"/>
        </w:rPr>
        <w:tab/>
      </w:r>
      <w:r>
        <w:rPr>
          <w:rFonts w:ascii="Arial" w:cs="Arial" w:eastAsia="Arial" w:hAnsi="Arial"/>
          <w:sz w:val="18"/>
          <w:szCs w:val="18"/>
          <w:color w:val="0C0002"/>
        </w:rPr>
        <w:t>3Q22</w:t>
      </w:r>
      <w:r>
        <w:rPr>
          <w:sz w:val="20"/>
          <w:szCs w:val="20"/>
          <w:color w:val="auto"/>
        </w:rPr>
        <w:tab/>
      </w:r>
      <w:r>
        <w:rPr>
          <w:rFonts w:ascii="Arial" w:cs="Arial" w:eastAsia="Arial" w:hAnsi="Arial"/>
          <w:sz w:val="17"/>
          <w:szCs w:val="17"/>
          <w:color w:val="0C0002"/>
        </w:rPr>
        <w:t>4Q22</w:t>
      </w:r>
    </w:p>
    <w:p>
      <w:pPr>
        <w:sectPr>
          <w:pgSz w:w="12060" w:h="15667" w:orient="portrait"/>
          <w:cols w:equalWidth="0" w:num="1">
            <w:col w:w="10180"/>
          </w:cols>
          <w:pgMar w:left="940" w:top="1066" w:right="947"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46" w:lineRule="auto"/>
        <w:rPr>
          <w:sz w:val="20"/>
          <w:szCs w:val="20"/>
          <w:color w:val="auto"/>
        </w:rPr>
      </w:pPr>
      <w:r>
        <w:rPr>
          <w:rFonts w:ascii="Arial" w:cs="Arial" w:eastAsia="Arial" w:hAnsi="Arial"/>
          <w:sz w:val="16"/>
          <w:szCs w:val="16"/>
          <w:color w:val="0C0002"/>
        </w:rPr>
        <w:t>Fourth, we are proud of our customer service and the state of our technology, but fintech is rapidly evolving across all digital channels and we know that we must continue to invest the time and money to safely deliver the experience that customers demand. We also realize the importance of protecting our customers’ data and transactions in this world where threats are always increasing. In 2023, we will substantially complete our migration to the cloud while also enhancing our cybersecurity and the quality of the digital financial tools that our customers need and expect.</w:t>
      </w:r>
    </w:p>
    <w:p>
      <w:pPr>
        <w:spacing w:after="0" w:line="133" w:lineRule="exact"/>
        <w:rPr>
          <w:sz w:val="20"/>
          <w:szCs w:val="20"/>
          <w:color w:val="auto"/>
        </w:rPr>
      </w:pPr>
    </w:p>
    <w:p>
      <w:pPr>
        <w:ind w:right="140"/>
        <w:spacing w:after="0" w:line="323" w:lineRule="auto"/>
        <w:rPr>
          <w:sz w:val="20"/>
          <w:szCs w:val="20"/>
          <w:color w:val="auto"/>
        </w:rPr>
      </w:pPr>
      <w:r>
        <w:rPr>
          <w:rFonts w:ascii="Arial" w:cs="Arial" w:eastAsia="Arial" w:hAnsi="Arial"/>
          <w:sz w:val="17"/>
          <w:szCs w:val="17"/>
          <w:color w:val="0C0002"/>
        </w:rPr>
        <w:t>Lastly, the historic inflationary environment during the past year has impacted our non-interest expenses. However, we have carefully managed our personnel expense through improving efficiencies, not replacing some of our people who have retired, and managing mortgage overhead lower which, taken together, has allowed us to control overall personnel expense across the Bank. We are in a good position to manage those costs in 2023, while also remaining competitive in the market to keep our excellent employees as well as attract talented individuals from across the industry.</w:t>
      </w:r>
    </w:p>
    <w:p>
      <w:pPr>
        <w:spacing w:after="0" w:line="149" w:lineRule="exact"/>
        <w:rPr>
          <w:sz w:val="20"/>
          <w:szCs w:val="20"/>
          <w:color w:val="auto"/>
        </w:rPr>
      </w:pPr>
    </w:p>
    <w:p>
      <w:pPr>
        <w:spacing w:after="0" w:line="333" w:lineRule="auto"/>
        <w:rPr>
          <w:sz w:val="20"/>
          <w:szCs w:val="20"/>
          <w:color w:val="auto"/>
        </w:rPr>
      </w:pPr>
      <w:r>
        <w:rPr>
          <w:rFonts w:ascii="Arial" w:cs="Arial" w:eastAsia="Arial" w:hAnsi="Arial"/>
          <w:sz w:val="17"/>
          <w:szCs w:val="17"/>
          <w:color w:val="0C0002"/>
        </w:rPr>
        <w:t>I am pleased with our performance in 2022 and I am excited for the future. I believe the Texas economy will slow but remain resilient in the face of what will likely be a mild national recession in 2023, allowing us to still achieve moderate loan growth. We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305" w:lineRule="auto"/>
        <w:rPr>
          <w:sz w:val="20"/>
          <w:szCs w:val="20"/>
          <w:color w:val="auto"/>
        </w:rPr>
      </w:pPr>
      <w:r>
        <w:rPr>
          <w:rFonts w:ascii="Arial" w:cs="Arial" w:eastAsia="Arial" w:hAnsi="Arial"/>
          <w:sz w:val="18"/>
          <w:szCs w:val="18"/>
          <w:color w:val="0C0002"/>
        </w:rPr>
        <w:t>fortunate to operate in Texas given the favorable environment for business, continued strong in-migration, and solid demand for housing. We believe we are entering 2023 in an advantageous position given the strong asset quality of our portfolio and capital position of the Bank. Additionally, we will maintain our expense discipline and conservative underwriting standards as we work to deliver on our long-term goal of achieving superior returns for our shareholders.</w:t>
      </w:r>
    </w:p>
    <w:p>
      <w:pPr>
        <w:spacing w:after="0" w:line="156" w:lineRule="exact"/>
        <w:rPr>
          <w:sz w:val="20"/>
          <w:szCs w:val="20"/>
          <w:color w:val="auto"/>
        </w:rPr>
      </w:pPr>
    </w:p>
    <w:p>
      <w:pPr>
        <w:ind w:right="20"/>
        <w:spacing w:after="0" w:line="340" w:lineRule="auto"/>
        <w:rPr>
          <w:sz w:val="20"/>
          <w:szCs w:val="20"/>
          <w:color w:val="auto"/>
        </w:rPr>
      </w:pPr>
      <w:r>
        <w:rPr>
          <w:rFonts w:ascii="Arial" w:cs="Arial" w:eastAsia="Arial" w:hAnsi="Arial"/>
          <w:sz w:val="17"/>
          <w:szCs w:val="17"/>
          <w:color w:val="0C0002"/>
        </w:rPr>
        <w:t>I would like to thank our shareholders for their continued support, and our employees for their hard work and commitment to our customers and communities over the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1503045" cy="5924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1503045"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Curtis C. Griffith</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0C0002"/>
        </w:rPr>
        <w:t>Chairman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C0002"/>
        </w:rPr>
        <w:t>South Plains Financial,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-3910965</wp:posOffset>
                </wp:positionH>
                <wp:positionV relativeFrom="paragraph">
                  <wp:posOffset>1218565</wp:posOffset>
                </wp:positionV>
                <wp:extent cx="7657465" cy="59436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7465" cy="594360"/>
                        </a:xfrm>
                        <a:prstGeom prst="rect">
                          <a:avLst/>
                        </a:prstGeom>
                        <a:solidFill>
                          <a:srgbClr val="0C0002"/>
                        </a:solidFill>
                      </wps:spPr>
                      <wps:bodyPr/>
                    </wps:wsp>
                  </a:graphicData>
                </a:graphic>
              </wp:anchor>
            </w:drawing>
          </mc:Choice>
          <mc:Fallback>
            <w:pict>
              <v:rect id="Shape 43" o:spid="_x0000_s1068" style="position:absolute;margin-left:-307.9499pt;margin-top:95.95pt;width:602.95pt;height:4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C0002" stroked="f"/>
            </w:pict>
          </mc:Fallback>
        </mc:AlternateContent>
      </w:r>
    </w:p>
    <w:p>
      <w:pPr>
        <w:spacing w:after="0" w:line="1499" w:lineRule="exact"/>
        <w:rPr>
          <w:sz w:val="20"/>
          <w:szCs w:val="20"/>
          <w:color w:val="auto"/>
        </w:rPr>
      </w:pPr>
    </w:p>
    <w:p>
      <w:pPr>
        <w:sectPr>
          <w:pgSz w:w="12060" w:h="15667" w:orient="portrait"/>
          <w:cols w:equalWidth="0" w:num="2">
            <w:col w:w="4960" w:space="260"/>
            <w:col w:w="4960"/>
          </w:cols>
          <w:pgMar w:left="940" w:top="1066" w:right="947"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20"/>
        <w:spacing w:after="0"/>
        <w:tabs>
          <w:tab w:leader="none" w:pos="8800" w:val="left"/>
          <w:tab w:leader="none" w:pos="10100" w:val="left"/>
        </w:tabs>
        <w:rPr>
          <w:sz w:val="20"/>
          <w:szCs w:val="20"/>
          <w:color w:val="auto"/>
        </w:rPr>
      </w:pPr>
      <w:r>
        <w:rPr>
          <w:rFonts w:ascii="Arial" w:cs="Arial" w:eastAsia="Arial" w:hAnsi="Arial"/>
          <w:sz w:val="13"/>
          <w:szCs w:val="13"/>
          <w:color w:val="FFFFFF"/>
        </w:rPr>
        <w:t>South Plains Financial, Inc.</w:t>
      </w:r>
      <w:r>
        <w:rPr>
          <w:sz w:val="20"/>
          <w:szCs w:val="20"/>
          <w:color w:val="auto"/>
        </w:rPr>
        <w:tab/>
      </w:r>
      <w:r>
        <w:rPr>
          <w:rFonts w:ascii="Arial" w:cs="Arial" w:eastAsia="Arial" w:hAnsi="Arial"/>
          <w:sz w:val="13"/>
          <w:szCs w:val="13"/>
          <w:b w:val="1"/>
          <w:bCs w:val="1"/>
          <w:color w:val="FFFFFF"/>
        </w:rPr>
        <w:t>2022 Annual Report</w:t>
      </w:r>
      <w:r>
        <w:rPr>
          <w:sz w:val="20"/>
          <w:szCs w:val="20"/>
          <w:color w:val="auto"/>
        </w:rPr>
        <w:tab/>
      </w:r>
      <w:r>
        <w:rPr>
          <w:rFonts w:ascii="Arial" w:cs="Arial" w:eastAsia="Arial" w:hAnsi="Arial"/>
          <w:sz w:val="10"/>
          <w:szCs w:val="10"/>
          <w:color w:val="FFFFFF"/>
        </w:rPr>
        <w:t>5</w:t>
      </w:r>
    </w:p>
    <w:p>
      <w:pPr>
        <w:sectPr>
          <w:pgSz w:w="12060" w:h="15667" w:orient="portrait"/>
          <w:cols w:equalWidth="0" w:num="1">
            <w:col w:w="10180"/>
          </w:cols>
          <w:pgMar w:left="940" w:top="1066" w:right="947" w:bottom="0" w:gutter="0" w:footer="0" w:header="0"/>
          <w:type w:val="continuous"/>
        </w:sectPr>
      </w:pPr>
    </w:p>
    <w:bookmarkStart w:id="7" w:name="page8"/>
    <w:bookmarkEnd w:id="7"/>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2400300</wp:posOffset>
            </wp:positionH>
            <wp:positionV relativeFrom="page">
              <wp:posOffset>0</wp:posOffset>
            </wp:positionV>
            <wp:extent cx="6350" cy="1725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extLst>
                    </a:blip>
                    <a:srcRect/>
                    <a:stretch>
                      <a:fillRect/>
                    </a:stretch>
                  </pic:blipFill>
                  <pic:spPr bwMode="auto">
                    <a:xfrm>
                      <a:off x="0" y="0"/>
                      <a:ext cx="6350" cy="172593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0C0002"/>
        </w:rPr>
        <w:t>CUSTOMERS</w:t>
      </w:r>
    </w:p>
    <w:p>
      <w:pPr>
        <w:spacing w:after="0" w:line="21" w:lineRule="exact"/>
        <w:rPr>
          <w:sz w:val="20"/>
          <w:szCs w:val="20"/>
          <w:color w:val="auto"/>
        </w:rPr>
      </w:pPr>
    </w:p>
    <w:tbl>
      <w:tblPr>
        <w:tblLayout w:type="fixed"/>
        <w:tblInd w:w="680" w:type="dxa"/>
        <w:tblCellMar>
          <w:top w:w="0" w:type="dxa"/>
          <w:left w:w="0" w:type="dxa"/>
          <w:bottom w:w="0" w:type="dxa"/>
          <w:right w:w="0" w:type="dxa"/>
        </w:tblCellMar>
      </w:tblPr>
      <w:tr>
        <w:trPr>
          <w:trHeight w:val="805"/>
        </w:trPr>
        <w:tc>
          <w:tcPr>
            <w:tcW w:w="2120" w:type="dxa"/>
            <w:vAlign w:val="bottom"/>
            <w:vMerge w:val="restart"/>
          </w:tcPr>
          <w:p>
            <w:pPr>
              <w:spacing w:after="0"/>
              <w:rPr>
                <w:sz w:val="20"/>
                <w:szCs w:val="20"/>
                <w:color w:val="auto"/>
              </w:rPr>
            </w:pPr>
            <w:r>
              <w:rPr>
                <w:rFonts w:ascii="Times New Roman" w:cs="Times New Roman" w:eastAsia="Times New Roman" w:hAnsi="Times New Roman"/>
                <w:sz w:val="120"/>
                <w:szCs w:val="120"/>
                <w:color w:val="EE0410"/>
                <w:w w:val="71"/>
              </w:rPr>
              <w:t>vision</w:t>
            </w:r>
          </w:p>
        </w:tc>
        <w:tc>
          <w:tcPr>
            <w:tcW w:w="6620" w:type="dxa"/>
            <w:vAlign w:val="bottom"/>
          </w:tcPr>
          <w:p>
            <w:pPr>
              <w:ind w:left="440"/>
              <w:spacing w:after="0"/>
              <w:rPr>
                <w:sz w:val="20"/>
                <w:szCs w:val="20"/>
                <w:color w:val="auto"/>
              </w:rPr>
            </w:pPr>
            <w:r>
              <w:rPr>
                <w:rFonts w:ascii="Arial" w:cs="Arial" w:eastAsia="Arial" w:hAnsi="Arial"/>
                <w:sz w:val="24"/>
                <w:szCs w:val="24"/>
                <w:color w:val="0C0002"/>
                <w:w w:val="96"/>
              </w:rPr>
              <w:t>Our greatest achievement is when we help our stakeholders</w:t>
            </w:r>
          </w:p>
        </w:tc>
        <w:tc>
          <w:tcPr>
            <w:tcW w:w="0" w:type="dxa"/>
            <w:vAlign w:val="bottom"/>
          </w:tcPr>
          <w:p>
            <w:pPr>
              <w:spacing w:after="0"/>
              <w:rPr>
                <w:sz w:val="1"/>
                <w:szCs w:val="1"/>
                <w:color w:val="auto"/>
              </w:rPr>
            </w:pPr>
          </w:p>
        </w:tc>
      </w:tr>
      <w:tr>
        <w:trPr>
          <w:trHeight w:val="608"/>
        </w:trPr>
        <w:tc>
          <w:tcPr>
            <w:tcW w:w="2120" w:type="dxa"/>
            <w:vAlign w:val="bottom"/>
            <w:vMerge w:val="continue"/>
          </w:tcPr>
          <w:p>
            <w:pPr>
              <w:spacing w:after="0"/>
              <w:rPr>
                <w:sz w:val="24"/>
                <w:szCs w:val="24"/>
                <w:color w:val="auto"/>
              </w:rPr>
            </w:pPr>
          </w:p>
        </w:tc>
        <w:tc>
          <w:tcPr>
            <w:tcW w:w="6620" w:type="dxa"/>
            <w:vAlign w:val="bottom"/>
          </w:tcPr>
          <w:p>
            <w:pPr>
              <w:ind w:left="440"/>
              <w:spacing w:after="0"/>
              <w:rPr>
                <w:sz w:val="20"/>
                <w:szCs w:val="20"/>
                <w:color w:val="auto"/>
              </w:rPr>
            </w:pPr>
            <w:r>
              <w:rPr>
                <w:rFonts w:ascii="Arial" w:cs="Arial" w:eastAsia="Arial" w:hAnsi="Arial"/>
                <w:sz w:val="24"/>
                <w:szCs w:val="24"/>
                <w:color w:val="0C0002"/>
                <w:w w:val="92"/>
              </w:rPr>
              <w:t>succeed – resulting in growth, profitability, and longevity for all.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434975</wp:posOffset>
            </wp:positionV>
            <wp:extent cx="7658100" cy="7543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extLst>
                    </a:blip>
                    <a:srcRect/>
                    <a:stretch>
                      <a:fillRect/>
                    </a:stretch>
                  </pic:blipFill>
                  <pic:spPr bwMode="auto">
                    <a:xfrm>
                      <a:off x="0" y="0"/>
                      <a:ext cx="7658100"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EE0410"/>
        </w:rPr>
        <w:t>Achieving Success</w:t>
      </w:r>
    </w:p>
    <w:p>
      <w:pPr>
        <w:spacing w:after="0" w:line="190" w:lineRule="exact"/>
        <w:rPr>
          <w:sz w:val="20"/>
          <w:szCs w:val="20"/>
          <w:color w:val="auto"/>
        </w:rPr>
      </w:pPr>
    </w:p>
    <w:p>
      <w:pPr>
        <w:ind w:left="280" w:right="5867"/>
        <w:spacing w:after="0" w:line="257" w:lineRule="auto"/>
        <w:rPr>
          <w:sz w:val="20"/>
          <w:szCs w:val="20"/>
          <w:color w:val="auto"/>
        </w:rPr>
      </w:pPr>
      <w:r>
        <w:rPr>
          <w:rFonts w:ascii="Arial" w:cs="Arial" w:eastAsia="Arial" w:hAnsi="Arial"/>
          <w:sz w:val="18"/>
          <w:szCs w:val="18"/>
          <w:color w:val="0C0002"/>
        </w:rPr>
        <w:t>Ribbonwire Ranch is driven by a desire to produce the most superior beef through strict sustainable practices. Doug Lathem and Chad Schoonover are guided by several key principles: Continue a legacy of land conservation, promote animal health and welfare, and deliver truly impressive beef. City Bank is helping Ribbonwire Ranch achieve its goals by providing the best in financial services and support. It’s a team approach that delivers proven results.</w:t>
      </w:r>
    </w:p>
    <w:p>
      <w:pPr>
        <w:sectPr>
          <w:pgSz w:w="12060" w:h="15667" w:orient="portrait"/>
          <w:cols w:equalWidth="0" w:num="1">
            <w:col w:w="9687"/>
          </w:cols>
          <w:pgMar w:left="9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0"/>
          <w:szCs w:val="10"/>
          <w:color w:val="FFFFFF"/>
        </w:rPr>
        <w:t>6</w:t>
      </w:r>
    </w:p>
    <w:p>
      <w:pPr>
        <w:sectPr>
          <w:pgSz w:w="12060" w:h="15667" w:orient="portrait"/>
          <w:cols w:equalWidth="0" w:num="1">
            <w:col w:w="9687"/>
          </w:cols>
          <w:pgMar w:left="940" w:top="1440" w:right="1440" w:bottom="0" w:gutter="0" w:footer="0" w:header="0"/>
          <w:type w:val="continuous"/>
        </w:sectPr>
      </w:pPr>
    </w:p>
    <w:bookmarkStart w:id="8" w:name="page9"/>
    <w:bookmarkEnd w:id="8"/>
    <w:tbl>
      <w:tblPr>
        <w:tblLayout w:type="fixed"/>
        <w:tblInd w:w="180" w:type="dxa"/>
        <w:tblCellMar>
          <w:top w:w="0" w:type="dxa"/>
          <w:left w:w="0" w:type="dxa"/>
          <w:bottom w:w="0" w:type="dxa"/>
          <w:right w:w="0" w:type="dxa"/>
        </w:tblCellMar>
      </w:tblPr>
      <w:tr>
        <w:trPr>
          <w:trHeight w:val="1618"/>
        </w:trPr>
        <w:tc>
          <w:tcPr>
            <w:tcW w:w="2520" w:type="dxa"/>
            <w:vAlign w:val="bottom"/>
            <w:tcBorders>
              <w:right w:val="single" w:sz="8" w:color="EE0410"/>
            </w:tcBorders>
          </w:tcPr>
          <w:p>
            <w:pPr>
              <w:ind w:left="40"/>
              <w:spacing w:after="0"/>
              <w:rPr>
                <w:sz w:val="20"/>
                <w:szCs w:val="20"/>
                <w:color w:val="auto"/>
              </w:rPr>
            </w:pPr>
            <w:r>
              <w:rPr>
                <w:rFonts w:ascii="Arial" w:cs="Arial" w:eastAsia="Arial" w:hAnsi="Arial"/>
                <w:sz w:val="16"/>
                <w:szCs w:val="16"/>
                <w:color w:val="0C0002"/>
              </w:rPr>
              <w:t>EMPLOYEES</w:t>
            </w:r>
          </w:p>
        </w:tc>
        <w:tc>
          <w:tcPr>
            <w:tcW w:w="6800" w:type="dxa"/>
            <w:vAlign w:val="bottom"/>
          </w:tcPr>
          <w:p>
            <w:pPr>
              <w:spacing w:after="0"/>
              <w:rPr>
                <w:sz w:val="24"/>
                <w:szCs w:val="24"/>
                <w:color w:val="auto"/>
              </w:rPr>
            </w:pPr>
          </w:p>
        </w:tc>
      </w:tr>
      <w:tr>
        <w:trPr>
          <w:trHeight w:val="617"/>
        </w:trPr>
        <w:tc>
          <w:tcPr>
            <w:tcW w:w="2520" w:type="dxa"/>
            <w:vAlign w:val="bottom"/>
            <w:tcBorders>
              <w:right w:val="single" w:sz="8" w:color="EE0410"/>
            </w:tcBorders>
          </w:tcPr>
          <w:p>
            <w:pPr>
              <w:spacing w:after="0" w:line="616" w:lineRule="exact"/>
              <w:rPr>
                <w:sz w:val="20"/>
                <w:szCs w:val="20"/>
                <w:color w:val="auto"/>
              </w:rPr>
            </w:pPr>
            <w:r>
              <w:rPr>
                <w:rFonts w:ascii="Times New Roman" w:cs="Times New Roman" w:eastAsia="Times New Roman" w:hAnsi="Times New Roman"/>
                <w:sz w:val="71"/>
                <w:szCs w:val="71"/>
                <w:color w:val="EE0410"/>
              </w:rPr>
              <w:t>mission</w:t>
            </w:r>
          </w:p>
        </w:tc>
        <w:tc>
          <w:tcPr>
            <w:tcW w:w="6800" w:type="dxa"/>
            <w:vAlign w:val="bottom"/>
          </w:tcPr>
          <w:p>
            <w:pPr>
              <w:ind w:left="380"/>
              <w:spacing w:after="0"/>
              <w:rPr>
                <w:sz w:val="20"/>
                <w:szCs w:val="20"/>
                <w:color w:val="auto"/>
              </w:rPr>
            </w:pPr>
            <w:r>
              <w:rPr>
                <w:rFonts w:ascii="Arial" w:cs="Arial" w:eastAsia="Arial" w:hAnsi="Arial"/>
                <w:sz w:val="24"/>
                <w:szCs w:val="24"/>
                <w:color w:val="0C0002"/>
              </w:rPr>
              <w:t>with unrivaled customer service – one customer at a time.</w:t>
            </w:r>
          </w:p>
        </w:tc>
      </w:tr>
      <w:tr>
        <w:trPr>
          <w:trHeight w:val="306"/>
        </w:trPr>
        <w:tc>
          <w:tcPr>
            <w:tcW w:w="2520" w:type="dxa"/>
            <w:vAlign w:val="bottom"/>
            <w:tcBorders>
              <w:right w:val="single" w:sz="8" w:color="EE0410"/>
            </w:tcBorders>
          </w:tcPr>
          <w:p>
            <w:pPr>
              <w:spacing w:after="0"/>
              <w:rPr>
                <w:sz w:val="24"/>
                <w:szCs w:val="24"/>
                <w:color w:val="auto"/>
              </w:rPr>
            </w:pPr>
          </w:p>
        </w:tc>
        <w:tc>
          <w:tcPr>
            <w:tcW w:w="6800" w:type="dxa"/>
            <w:vAlign w:val="bottom"/>
          </w:tcPr>
          <w:p>
            <w:pPr>
              <w:ind w:left="380"/>
              <w:spacing w:after="0"/>
              <w:rPr>
                <w:sz w:val="20"/>
                <w:szCs w:val="20"/>
                <w:color w:val="auto"/>
              </w:rPr>
            </w:pPr>
            <w:r>
              <w:rPr>
                <w:rFonts w:ascii="Arial" w:cs="Arial" w:eastAsia="Arial" w:hAnsi="Arial"/>
                <w:sz w:val="24"/>
                <w:szCs w:val="24"/>
                <w:color w:val="0C0002"/>
                <w:w w:val="92"/>
              </w:rPr>
              <w:t>We will build lasting relationships by delivering financial solutions</w:t>
            </w:r>
          </w:p>
        </w:tc>
      </w:tr>
      <w:tr>
        <w:trPr>
          <w:trHeight w:val="158"/>
        </w:trPr>
        <w:tc>
          <w:tcPr>
            <w:tcW w:w="2520" w:type="dxa"/>
            <w:vAlign w:val="bottom"/>
            <w:tcBorders>
              <w:right w:val="single" w:sz="8" w:color="EE0410"/>
            </w:tcBorders>
          </w:tcPr>
          <w:p>
            <w:pPr>
              <w:spacing w:after="0"/>
              <w:rPr>
                <w:sz w:val="13"/>
                <w:szCs w:val="13"/>
                <w:color w:val="auto"/>
              </w:rPr>
            </w:pPr>
          </w:p>
        </w:tc>
        <w:tc>
          <w:tcPr>
            <w:tcW w:w="68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674370</wp:posOffset>
            </wp:positionV>
            <wp:extent cx="7658100" cy="7543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extLst>
                    </a:blip>
                    <a:srcRect/>
                    <a:stretch>
                      <a:fillRect/>
                    </a:stretch>
                  </pic:blipFill>
                  <pic:spPr bwMode="auto">
                    <a:xfrm>
                      <a:off x="0" y="0"/>
                      <a:ext cx="7658100"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EE0410"/>
        </w:rPr>
        <w:t>Building Relationships</w:t>
      </w:r>
    </w:p>
    <w:p>
      <w:pPr>
        <w:spacing w:after="0" w:line="190" w:lineRule="exact"/>
        <w:rPr>
          <w:sz w:val="20"/>
          <w:szCs w:val="20"/>
          <w:color w:val="auto"/>
        </w:rPr>
      </w:pPr>
    </w:p>
    <w:p>
      <w:pPr>
        <w:ind w:left="5800" w:right="340"/>
        <w:spacing w:after="0" w:line="274" w:lineRule="auto"/>
        <w:rPr>
          <w:sz w:val="20"/>
          <w:szCs w:val="20"/>
          <w:color w:val="auto"/>
        </w:rPr>
      </w:pPr>
      <w:r>
        <w:rPr>
          <w:rFonts w:ascii="Arial" w:cs="Arial" w:eastAsia="Arial" w:hAnsi="Arial"/>
          <w:sz w:val="17"/>
          <w:szCs w:val="17"/>
          <w:color w:val="0C0002"/>
        </w:rPr>
        <w:t>Customer service is the foundation upon which City Bank firmly stands. We empower our employees through training and teamwork to meet and exceed our customers’ needs. Our team-based culture is contagious and encourages each employee to become the best part of their customers’ day. With every interaction, we want our customers, both internal and external, to know, “You are the reason I came to work today.”</w:t>
      </w:r>
    </w:p>
    <w:p>
      <w:pPr>
        <w:sectPr>
          <w:pgSz w:w="12060" w:h="15667" w:orient="portrait"/>
          <w:cols w:equalWidth="0" w:num="1">
            <w:col w:w="9680"/>
          </w:cols>
          <w:pgMar w:left="1440" w:top="20" w:right="947"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720"/>
        <w:spacing w:after="0"/>
        <w:tabs>
          <w:tab w:leader="none" w:pos="8300" w:val="left"/>
          <w:tab w:leader="none" w:pos="9600" w:val="left"/>
        </w:tabs>
        <w:rPr>
          <w:sz w:val="20"/>
          <w:szCs w:val="20"/>
          <w:color w:val="auto"/>
        </w:rPr>
      </w:pPr>
      <w:r>
        <w:rPr>
          <w:rFonts w:ascii="Arial" w:cs="Arial" w:eastAsia="Arial" w:hAnsi="Arial"/>
          <w:sz w:val="13"/>
          <w:szCs w:val="13"/>
          <w:color w:val="FFFFFF"/>
        </w:rPr>
        <w:t>South Plains Financial, Inc.</w:t>
      </w:r>
      <w:r>
        <w:rPr>
          <w:sz w:val="20"/>
          <w:szCs w:val="20"/>
          <w:color w:val="auto"/>
        </w:rPr>
        <w:tab/>
      </w:r>
      <w:r>
        <w:rPr>
          <w:rFonts w:ascii="Arial" w:cs="Arial" w:eastAsia="Arial" w:hAnsi="Arial"/>
          <w:sz w:val="13"/>
          <w:szCs w:val="13"/>
          <w:b w:val="1"/>
          <w:bCs w:val="1"/>
          <w:color w:val="FFFFFF"/>
        </w:rPr>
        <w:t>2022 Annual Report</w:t>
      </w:r>
      <w:r>
        <w:rPr>
          <w:sz w:val="20"/>
          <w:szCs w:val="20"/>
          <w:color w:val="auto"/>
        </w:rPr>
        <w:tab/>
      </w:r>
      <w:r>
        <w:rPr>
          <w:rFonts w:ascii="Arial" w:cs="Arial" w:eastAsia="Arial" w:hAnsi="Arial"/>
          <w:sz w:val="10"/>
          <w:szCs w:val="10"/>
          <w:color w:val="FFFFFF"/>
        </w:rPr>
        <w:t>7</w:t>
      </w:r>
    </w:p>
    <w:p>
      <w:pPr>
        <w:sectPr>
          <w:pgSz w:w="12060" w:h="15667" w:orient="portrait"/>
          <w:cols w:equalWidth="0" w:num="1">
            <w:col w:w="9680"/>
          </w:cols>
          <w:pgMar w:left="1440" w:top="20" w:right="947" w:bottom="0" w:gutter="0" w:footer="0" w:header="0"/>
          <w:type w:val="continuous"/>
        </w:sectPr>
      </w:pPr>
    </w:p>
    <w:bookmarkStart w:id="9" w:name="page10"/>
    <w:bookmarkEnd w:id="9"/>
    <w:tbl>
      <w:tblPr>
        <w:tblLayout w:type="fixed"/>
        <w:tblInd w:w="680" w:type="dxa"/>
        <w:tblCellMar>
          <w:top w:w="0" w:type="dxa"/>
          <w:left w:w="0" w:type="dxa"/>
          <w:bottom w:w="0" w:type="dxa"/>
          <w:right w:w="0" w:type="dxa"/>
        </w:tblCellMar>
      </w:tblPr>
      <w:tr>
        <w:trPr>
          <w:trHeight w:val="1618"/>
        </w:trPr>
        <w:tc>
          <w:tcPr>
            <w:tcW w:w="2640" w:type="dxa"/>
            <w:vAlign w:val="bottom"/>
            <w:tcBorders>
              <w:right w:val="single" w:sz="8" w:color="EE0410"/>
            </w:tcBorders>
          </w:tcPr>
          <w:p>
            <w:pPr>
              <w:ind w:left="40"/>
              <w:spacing w:after="0"/>
              <w:rPr>
                <w:sz w:val="20"/>
                <w:szCs w:val="20"/>
                <w:color w:val="auto"/>
              </w:rPr>
            </w:pPr>
            <w:r>
              <w:rPr>
                <w:rFonts w:ascii="Arial" w:cs="Arial" w:eastAsia="Arial" w:hAnsi="Arial"/>
                <w:sz w:val="16"/>
                <w:szCs w:val="16"/>
                <w:color w:val="0C0002"/>
              </w:rPr>
              <w:t>COMMUNITIES</w:t>
            </w:r>
          </w:p>
        </w:tc>
        <w:tc>
          <w:tcPr>
            <w:tcW w:w="5940" w:type="dxa"/>
            <w:vAlign w:val="bottom"/>
          </w:tcPr>
          <w:p>
            <w:pPr>
              <w:spacing w:after="0"/>
              <w:rPr>
                <w:sz w:val="24"/>
                <w:szCs w:val="24"/>
                <w:color w:val="auto"/>
              </w:rPr>
            </w:pPr>
          </w:p>
        </w:tc>
      </w:tr>
      <w:tr>
        <w:trPr>
          <w:trHeight w:val="617"/>
        </w:trPr>
        <w:tc>
          <w:tcPr>
            <w:tcW w:w="2640" w:type="dxa"/>
            <w:vAlign w:val="bottom"/>
            <w:tcBorders>
              <w:right w:val="single" w:sz="8" w:color="EE0410"/>
            </w:tcBorders>
          </w:tcPr>
          <w:p>
            <w:pPr>
              <w:spacing w:after="0" w:line="616" w:lineRule="exact"/>
              <w:rPr>
                <w:sz w:val="20"/>
                <w:szCs w:val="20"/>
                <w:color w:val="auto"/>
              </w:rPr>
            </w:pPr>
            <w:r>
              <w:rPr>
                <w:rFonts w:ascii="Times New Roman" w:cs="Times New Roman" w:eastAsia="Times New Roman" w:hAnsi="Times New Roman"/>
                <w:sz w:val="71"/>
                <w:szCs w:val="71"/>
                <w:color w:val="EE0410"/>
              </w:rPr>
              <w:t>purpose</w:t>
            </w:r>
          </w:p>
        </w:tc>
        <w:tc>
          <w:tcPr>
            <w:tcW w:w="5940" w:type="dxa"/>
            <w:vAlign w:val="bottom"/>
          </w:tcPr>
          <w:p>
            <w:pPr>
              <w:ind w:left="380"/>
              <w:spacing w:after="0"/>
              <w:rPr>
                <w:sz w:val="20"/>
                <w:szCs w:val="20"/>
                <w:color w:val="auto"/>
              </w:rPr>
            </w:pPr>
            <w:r>
              <w:rPr>
                <w:rFonts w:ascii="Arial" w:cs="Arial" w:eastAsia="Arial" w:hAnsi="Arial"/>
                <w:sz w:val="24"/>
                <w:szCs w:val="24"/>
                <w:color w:val="0C0002"/>
              </w:rPr>
              <w:t>and live better.</w:t>
            </w:r>
          </w:p>
        </w:tc>
      </w:tr>
      <w:tr>
        <w:trPr>
          <w:trHeight w:val="306"/>
        </w:trPr>
        <w:tc>
          <w:tcPr>
            <w:tcW w:w="2640" w:type="dxa"/>
            <w:vAlign w:val="bottom"/>
            <w:tcBorders>
              <w:right w:val="single" w:sz="8" w:color="EE0410"/>
            </w:tcBorders>
          </w:tcPr>
          <w:p>
            <w:pPr>
              <w:spacing w:after="0"/>
              <w:rPr>
                <w:sz w:val="24"/>
                <w:szCs w:val="24"/>
                <w:color w:val="auto"/>
              </w:rPr>
            </w:pPr>
          </w:p>
        </w:tc>
        <w:tc>
          <w:tcPr>
            <w:tcW w:w="5940" w:type="dxa"/>
            <w:vAlign w:val="bottom"/>
          </w:tcPr>
          <w:p>
            <w:pPr>
              <w:ind w:left="380"/>
              <w:spacing w:after="0"/>
              <w:rPr>
                <w:sz w:val="20"/>
                <w:szCs w:val="20"/>
                <w:color w:val="auto"/>
              </w:rPr>
            </w:pPr>
            <w:r>
              <w:rPr>
                <w:rFonts w:ascii="Arial" w:cs="Arial" w:eastAsia="Arial" w:hAnsi="Arial"/>
                <w:sz w:val="24"/>
                <w:szCs w:val="24"/>
                <w:color w:val="0C0002"/>
                <w:w w:val="91"/>
              </w:rPr>
              <w:t>To use the power of relationships to help people succeed</w:t>
            </w:r>
          </w:p>
        </w:tc>
      </w:tr>
      <w:tr>
        <w:trPr>
          <w:trHeight w:val="158"/>
        </w:trPr>
        <w:tc>
          <w:tcPr>
            <w:tcW w:w="2640" w:type="dxa"/>
            <w:vAlign w:val="bottom"/>
            <w:tcBorders>
              <w:right w:val="single" w:sz="8" w:color="EE0410"/>
            </w:tcBorders>
          </w:tcPr>
          <w:p>
            <w:pPr>
              <w:spacing w:after="0"/>
              <w:rPr>
                <w:sz w:val="13"/>
                <w:szCs w:val="13"/>
                <w:color w:val="auto"/>
              </w:rPr>
            </w:pPr>
          </w:p>
        </w:tc>
        <w:tc>
          <w:tcPr>
            <w:tcW w:w="5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674370</wp:posOffset>
            </wp:positionV>
            <wp:extent cx="7658100" cy="7543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extLst>
                    </a:blip>
                    <a:srcRect/>
                    <a:stretch>
                      <a:fillRect/>
                    </a:stretch>
                  </pic:blipFill>
                  <pic:spPr bwMode="auto">
                    <a:xfrm>
                      <a:off x="0" y="0"/>
                      <a:ext cx="7658100"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EE0410"/>
        </w:rPr>
        <w:t>Giving Back</w:t>
      </w:r>
    </w:p>
    <w:p>
      <w:pPr>
        <w:spacing w:after="0" w:line="190" w:lineRule="exact"/>
        <w:rPr>
          <w:sz w:val="20"/>
          <w:szCs w:val="20"/>
          <w:color w:val="auto"/>
        </w:rPr>
      </w:pPr>
    </w:p>
    <w:p>
      <w:pPr>
        <w:ind w:left="280" w:right="5827"/>
        <w:spacing w:after="0" w:line="274" w:lineRule="auto"/>
        <w:rPr>
          <w:sz w:val="20"/>
          <w:szCs w:val="20"/>
          <w:color w:val="auto"/>
        </w:rPr>
      </w:pPr>
      <w:r>
        <w:rPr>
          <w:rFonts w:ascii="Arial" w:cs="Arial" w:eastAsia="Arial" w:hAnsi="Arial"/>
          <w:sz w:val="17"/>
          <w:szCs w:val="17"/>
          <w:color w:val="0C0002"/>
        </w:rPr>
        <w:t>Our purpose is clear. Helping people succeed and live better means more than just meeting their financial needs. It also means giving back to the communities we serve. We invest financially and with our time by delivering Meals on Wheels each week, volunteering at our local food banks, and providing meals to those in need. We also contribute monetarily to nonprofits through our Community Rewards program and other sponsorships.</w:t>
      </w:r>
    </w:p>
    <w:p>
      <w:pPr>
        <w:sectPr>
          <w:pgSz w:w="12060" w:h="15667" w:orient="portrait"/>
          <w:cols w:equalWidth="0" w:num="1">
            <w:col w:w="9687"/>
          </w:cols>
          <w:pgMar w:left="940" w:top="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FFFFFF"/>
        </w:rPr>
        <w:t>8</w:t>
      </w:r>
    </w:p>
    <w:p>
      <w:pPr>
        <w:sectPr>
          <w:pgSz w:w="12060" w:h="15667" w:orient="portrait"/>
          <w:cols w:equalWidth="0" w:num="1">
            <w:col w:w="9687"/>
          </w:cols>
          <w:pgMar w:left="940" w:top="20" w:right="144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684530</wp:posOffset>
            </wp:positionV>
            <wp:extent cx="7662545" cy="8249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extLst>
                    </a:blip>
                    <a:srcRect/>
                    <a:stretch>
                      <a:fillRect/>
                    </a:stretch>
                  </pic:blipFill>
                  <pic:spPr bwMode="auto">
                    <a:xfrm>
                      <a:off x="0" y="0"/>
                      <a:ext cx="7662545" cy="824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 FORM 10-K</w:t>
      </w:r>
    </w:p>
    <w:p>
      <w:pPr>
        <w:spacing w:after="0" w:line="21" w:lineRule="exact"/>
        <w:rPr>
          <w:sz w:val="20"/>
          <w:szCs w:val="20"/>
          <w:color w:val="auto"/>
        </w:rPr>
      </w:pPr>
    </w:p>
    <w:p>
      <w:pPr>
        <w:ind w:left="40" w:right="3627"/>
        <w:spacing w:after="0" w:line="446" w:lineRule="auto"/>
        <w:rPr>
          <w:sz w:val="20"/>
          <w:szCs w:val="20"/>
          <w:color w:val="auto"/>
        </w:rPr>
      </w:pPr>
      <w:r>
        <w:rPr>
          <w:rFonts w:ascii="Times New Roman" w:cs="Times New Roman" w:eastAsia="Times New Roman" w:hAnsi="Times New Roman"/>
          <w:sz w:val="110"/>
          <w:szCs w:val="110"/>
          <w:color w:val="666666"/>
        </w:rPr>
        <w:t>the power of relationships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11"/>
          <w:szCs w:val="111"/>
          <w:color w:val="666666"/>
        </w:rPr>
        <w:t xml:space="preserve">SPFI </w:t>
      </w:r>
      <w:r>
        <w:rPr>
          <w:rFonts w:ascii="Arial" w:cs="Arial" w:eastAsia="Arial" w:hAnsi="Arial"/>
          <w:sz w:val="20"/>
          <w:szCs w:val="20"/>
          <w:b w:val="1"/>
          <w:bCs w:val="1"/>
          <w:color w:val="000000"/>
        </w:rPr>
        <w:t>South Plains Financial, Inc.</w:t>
      </w:r>
    </w:p>
    <w:p>
      <w:pPr>
        <w:sectPr>
          <w:pgSz w:w="12060" w:h="15667" w:orient="portrait"/>
          <w:cols w:equalWidth="0" w:num="1">
            <w:col w:w="9347"/>
          </w:cols>
          <w:pgMar w:left="1280" w:top="144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441960</wp:posOffset>
                </wp:positionH>
                <wp:positionV relativeFrom="page">
                  <wp:posOffset>659765</wp:posOffset>
                </wp:positionV>
                <wp:extent cx="67570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25031">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8pt,51.95pt" to="566.85pt,51.95pt" o:allowincell="f" strokecolor="#000000" strokeweight="1.9709pt">
                <w10:wrap anchorx="page" anchory="page"/>
              </v:line>
            </w:pict>
          </mc:Fallback>
        </mc:AlternateContent>
        <mc:AlternateContent>
          <mc:Choice Requires="wps">
            <w:drawing>
              <wp:anchor simplePos="0" relativeHeight="251657728" behindDoc="1" locked="0" layoutInCell="0" allowOverlap="1">
                <wp:simplePos x="0" y="0"/>
                <wp:positionH relativeFrom="page">
                  <wp:posOffset>441960</wp:posOffset>
                </wp:positionH>
                <wp:positionV relativeFrom="page">
                  <wp:posOffset>703580</wp:posOffset>
                </wp:positionV>
                <wp:extent cx="675703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12509">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8pt,55.4pt" to="566.85pt,55.4pt" o:allowincell="f" strokecolor="#000000" strokeweight="0.985pt">
                <w10:wrap anchorx="page" anchory="page"/>
              </v:line>
            </w:pict>
          </mc:Fallback>
        </mc:AlternateContent>
        <w:t>UNITED STATES</w:t>
      </w:r>
    </w:p>
    <w:p>
      <w:pPr>
        <w:jc w:val="center"/>
        <w:spacing w:after="0" w:line="213" w:lineRule="auto"/>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line="206" w:lineRule="auto"/>
        <w:rPr>
          <w:sz w:val="20"/>
          <w:szCs w:val="20"/>
          <w:color w:val="auto"/>
        </w:rPr>
      </w:pPr>
      <w:r>
        <w:rPr>
          <w:rFonts w:ascii="Times New Roman" w:cs="Times New Roman" w:eastAsia="Times New Roman" w:hAnsi="Times New Roman"/>
          <w:sz w:val="22"/>
          <w:szCs w:val="22"/>
          <w:b w:val="1"/>
          <w:bCs w:val="1"/>
          <w:color w:val="auto"/>
        </w:rPr>
        <w:t>Washington, D.C. 20549</w:t>
      </w:r>
    </w:p>
    <w:p>
      <w:pPr>
        <w:sectPr>
          <w:pgSz w:w="12060" w:h="15667" w:orient="portrait"/>
          <w:cols w:equalWidth="0" w:num="1">
            <w:col w:w="10640"/>
          </w:cols>
          <w:pgMar w:left="700" w:top="1235" w:right="727" w:bottom="387" w:gutter="0" w:footer="0" w:header="0"/>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138" w:lineRule="exact"/>
        <w:rPr>
          <w:sz w:val="20"/>
          <w:szCs w:val="20"/>
          <w:color w:val="auto"/>
        </w:rPr>
      </w:pPr>
    </w:p>
    <w:p>
      <w:pPr>
        <w:sectPr>
          <w:pgSz w:w="12060" w:h="15667" w:orient="portrait"/>
          <w:cols w:equalWidth="0" w:num="2">
            <w:col w:w="3620" w:space="720"/>
            <w:col w:w="6300"/>
          </w:cols>
          <w:pgMar w:left="700" w:top="1235" w:right="727" w:bottom="387" w:gutter="0" w:footer="0" w:header="0"/>
          <w:type w:val="continuous"/>
        </w:sectPr>
      </w:pPr>
    </w:p>
    <w:p>
      <w:pPr>
        <w:spacing w:after="0" w:line="255" w:lineRule="exact"/>
        <w:rPr>
          <w:sz w:val="20"/>
          <w:szCs w:val="20"/>
          <w:color w:val="auto"/>
        </w:rPr>
      </w:pP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b w:val="1"/>
          <w:bCs w:val="1"/>
          <w:color w:val="auto"/>
        </w:rPr>
        <w:t xml:space="preserve"> ANNUAL REPORT PURSUANT TO SECTION 13 OR 15(d) OF THE SECURITIES EXCHANGE ACT OF 1934</w:t>
      </w:r>
    </w:p>
    <w:p>
      <w:pPr>
        <w:spacing w:after="0" w:line="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53" w:lineRule="exact"/>
        <w:rPr>
          <w:sz w:val="20"/>
          <w:szCs w:val="20"/>
          <w:color w:val="auto"/>
        </w:rPr>
      </w:pPr>
    </w:p>
    <w:p>
      <w:pPr>
        <w:ind w:left="360" w:hanging="359"/>
        <w:spacing w:after="0"/>
        <w:tabs>
          <w:tab w:leader="none" w:pos="360"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3" w:lineRule="exact"/>
        <w:rPr>
          <w:sz w:val="20"/>
          <w:szCs w:val="20"/>
          <w:color w:val="auto"/>
        </w:rPr>
      </w:pPr>
    </w:p>
    <w:p>
      <w:pPr>
        <w:ind w:left="3320"/>
        <w:spacing w:after="0"/>
        <w:tabs>
          <w:tab w:leader="none" w:pos="6500" w:val="left"/>
        </w:tabs>
        <w:rPr>
          <w:sz w:val="20"/>
          <w:szCs w:val="20"/>
          <w:color w:val="auto"/>
        </w:rPr>
      </w:pPr>
      <w:r>
        <w:rPr>
          <w:rFonts w:ascii="Times New Roman" w:cs="Times New Roman" w:eastAsia="Times New Roman" w:hAnsi="Times New Roman"/>
          <w:sz w:val="19"/>
          <w:szCs w:val="19"/>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3768090</wp:posOffset>
                </wp:positionH>
                <wp:positionV relativeFrom="paragraph">
                  <wp:posOffset>2540</wp:posOffset>
                </wp:positionV>
                <wp:extent cx="3683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7pt,0.2pt" to="325.7pt,0.2pt" o:allowincell="f" strokecolor="#000000" strokeweight="0.493pt"/>
            </w:pict>
          </mc:Fallback>
        </mc:AlternateContent>
        <mc:AlternateContent>
          <mc:Choice Requires="wps">
            <w:drawing>
              <wp:anchor simplePos="0" relativeHeight="251657728" behindDoc="1" locked="0" layoutInCell="0" allowOverlap="1">
                <wp:simplePos x="0" y="0"/>
                <wp:positionH relativeFrom="column">
                  <wp:posOffset>4279265</wp:posOffset>
                </wp:positionH>
                <wp:positionV relativeFrom="paragraph">
                  <wp:posOffset>2540</wp:posOffset>
                </wp:positionV>
                <wp:extent cx="36766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6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6.95pt,0.2pt" to="365.9pt,0.2pt" o:allowincell="f" strokecolor="#000000" strokeweight="0.493pt"/>
            </w:pict>
          </mc:Fallback>
        </mc:AlternateConten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001-38895</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South Plains Financial, Inc.</w:t>
      </w:r>
    </w:p>
    <w:p>
      <w:pPr>
        <w:jc w:val="center"/>
        <w:spacing w:after="0" w:line="236" w:lineRule="auto"/>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540" w:type="dxa"/>
            <w:vAlign w:val="bottom"/>
          </w:tcPr>
          <w:p>
            <w:pPr>
              <w:jc w:val="center"/>
              <w:ind w:right="771"/>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620" w:type="dxa"/>
            <w:vAlign w:val="bottom"/>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02"/>
        </w:trPr>
        <w:tc>
          <w:tcPr>
            <w:tcW w:w="5540" w:type="dxa"/>
            <w:vAlign w:val="bottom"/>
          </w:tcPr>
          <w:p>
            <w:pPr>
              <w:jc w:val="center"/>
              <w:ind w:right="771"/>
              <w:spacing w:after="0" w:line="202" w:lineRule="exact"/>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tc>
        <w:tc>
          <w:tcPr>
            <w:tcW w:w="3620" w:type="dxa"/>
            <w:vAlign w:val="bottom"/>
          </w:tcPr>
          <w:p>
            <w:pPr>
              <w:jc w:val="center"/>
              <w:ind w:left="771"/>
              <w:spacing w:after="0" w:line="202" w:lineRule="exact"/>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69"/>
        </w:trPr>
        <w:tc>
          <w:tcPr>
            <w:tcW w:w="5540" w:type="dxa"/>
            <w:vAlign w:val="bottom"/>
          </w:tcPr>
          <w:p>
            <w:pPr>
              <w:jc w:val="center"/>
              <w:ind w:right="791"/>
              <w:spacing w:after="0"/>
              <w:rPr>
                <w:sz w:val="20"/>
                <w:szCs w:val="20"/>
                <w:color w:val="auto"/>
              </w:rPr>
            </w:pPr>
            <w:r>
              <w:rPr>
                <w:rFonts w:ascii="Times New Roman" w:cs="Times New Roman" w:eastAsia="Times New Roman" w:hAnsi="Times New Roman"/>
                <w:sz w:val="18"/>
                <w:szCs w:val="18"/>
                <w:b w:val="1"/>
                <w:bCs w:val="1"/>
                <w:color w:val="auto"/>
              </w:rPr>
              <w:t>5219 City Bank Parkway</w:t>
            </w:r>
          </w:p>
        </w:tc>
        <w:tc>
          <w:tcPr>
            <w:tcW w:w="3620" w:type="dxa"/>
            <w:vAlign w:val="bottom"/>
          </w:tcPr>
          <w:p>
            <w:pPr>
              <w:spacing w:after="0"/>
              <w:rPr>
                <w:sz w:val="24"/>
                <w:szCs w:val="24"/>
                <w:color w:val="auto"/>
              </w:rPr>
            </w:pPr>
          </w:p>
        </w:tc>
      </w:tr>
      <w:tr>
        <w:trPr>
          <w:trHeight w:val="197"/>
        </w:trPr>
        <w:tc>
          <w:tcPr>
            <w:tcW w:w="5540" w:type="dxa"/>
            <w:vAlign w:val="bottom"/>
          </w:tcPr>
          <w:p>
            <w:pPr>
              <w:jc w:val="center"/>
              <w:ind w:right="771"/>
              <w:spacing w:after="0" w:line="197" w:lineRule="exact"/>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620" w:type="dxa"/>
            <w:vAlign w:val="bottom"/>
          </w:tcPr>
          <w:p>
            <w:pPr>
              <w:jc w:val="right"/>
              <w:ind w:right="1071"/>
              <w:spacing w:after="0" w:line="197" w:lineRule="exact"/>
              <w:rPr>
                <w:sz w:val="20"/>
                <w:szCs w:val="20"/>
                <w:color w:val="auto"/>
              </w:rPr>
            </w:pPr>
            <w:r>
              <w:rPr>
                <w:rFonts w:ascii="Times New Roman" w:cs="Times New Roman" w:eastAsia="Times New Roman" w:hAnsi="Times New Roman"/>
                <w:sz w:val="18"/>
                <w:szCs w:val="18"/>
                <w:b w:val="1"/>
                <w:bCs w:val="1"/>
                <w:color w:val="auto"/>
              </w:rPr>
              <w:t>79407</w:t>
            </w:r>
          </w:p>
        </w:tc>
      </w:tr>
      <w:tr>
        <w:trPr>
          <w:trHeight w:val="202"/>
        </w:trPr>
        <w:tc>
          <w:tcPr>
            <w:tcW w:w="5540" w:type="dxa"/>
            <w:vAlign w:val="bottom"/>
          </w:tcPr>
          <w:p>
            <w:pPr>
              <w:jc w:val="center"/>
              <w:ind w:right="771"/>
              <w:spacing w:after="0" w:line="202" w:lineRule="exact"/>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3620" w:type="dxa"/>
            <w:vAlign w:val="bottom"/>
          </w:tcPr>
          <w:p>
            <w:pPr>
              <w:jc w:val="center"/>
              <w:ind w:left="771"/>
              <w:spacing w:after="0" w:line="202" w:lineRule="exact"/>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Registrant’s telephone number, including area code: (806) 792-7101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4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40" w:type="dxa"/>
            <w:vAlign w:val="bottom"/>
          </w:tcPr>
          <w:p>
            <w:pPr>
              <w:spacing w:after="0"/>
              <w:rPr>
                <w:sz w:val="18"/>
                <w:szCs w:val="18"/>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6"/>
        </w:trPr>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24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Securities registered pursuant to Section 12(g) of the Act: None</w:t>
      </w:r>
    </w:p>
    <w:p>
      <w:pPr>
        <w:spacing w:after="0" w:line="38" w:lineRule="exact"/>
        <w:rPr>
          <w:sz w:val="20"/>
          <w:szCs w:val="20"/>
          <w:color w:val="auto"/>
        </w:rPr>
      </w:pPr>
    </w:p>
    <w:p>
      <w:pPr>
        <w:jc w:val="both"/>
        <w:ind w:left="400"/>
        <w:spacing w:after="0" w:line="226"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a well-known seasoned issuer, as defined in Rule 405 of the Securities Act. YES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NO </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 xml:space="preserve"> Indicate by check mark if the registrant is not required to file reports pursuant to Section 13 or 15(d) of the Act. YES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NO </w:t>
      </w:r>
      <w:r>
        <w:rPr>
          <w:rFonts w:ascii="Arial Unicode MS" w:cs="Arial Unicode MS" w:eastAsia="Arial Unicode MS" w:hAnsi="Arial Unicode MS"/>
          <w:sz w:val="19"/>
          <w:szCs w:val="19"/>
          <w:color w:val="auto"/>
        </w:rPr>
        <w:t>☒</w:t>
      </w:r>
    </w:p>
    <w:p>
      <w:pPr>
        <w:spacing w:after="0" w:line="41"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8"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40" w:lineRule="exact"/>
        <w:rPr>
          <w:sz w:val="20"/>
          <w:szCs w:val="20"/>
          <w:color w:val="auto"/>
        </w:rPr>
      </w:pPr>
    </w:p>
    <w:p>
      <w:pPr>
        <w:jc w:val="both"/>
        <w:ind w:firstLine="394"/>
        <w:spacing w:after="0" w:line="194"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 xml:space="preserve"> NO </w:t>
      </w:r>
      <w:r>
        <w:rPr>
          <w:rFonts w:ascii="Arial" w:cs="Arial" w:eastAsia="Arial" w:hAnsi="Arial"/>
          <w:sz w:val="19"/>
          <w:szCs w:val="19"/>
          <w:color w:val="auto"/>
        </w:rPr>
        <w:t>□</w:t>
      </w:r>
    </w:p>
    <w:p>
      <w:pPr>
        <w:spacing w:after="0" w:line="42" w:lineRule="exact"/>
        <w:rPr>
          <w:sz w:val="20"/>
          <w:szCs w:val="20"/>
          <w:color w:val="auto"/>
        </w:rPr>
      </w:pPr>
    </w:p>
    <w:p>
      <w:pPr>
        <w:jc w:val="both"/>
        <w:ind w:firstLine="394"/>
        <w:spacing w:after="0" w:line="212"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0"/>
          <w:szCs w:val="20"/>
          <w:color w:val="auto"/>
        </w:rPr>
      </w:pPr>
    </w:p>
    <w:p>
      <w:pPr>
        <w:spacing w:after="0" w:line="242" w:lineRule="exact"/>
        <w:tabs>
          <w:tab w:leader="none" w:pos="5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27" w:lineRule="auto"/>
        <w:tabs>
          <w:tab w:leader="none" w:pos="54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w:t>
      </w:r>
    </w:p>
    <w:p>
      <w:pPr>
        <w:ind w:left="5440"/>
        <w:spacing w:after="0" w:line="19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96"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w:t>
      </w:r>
    </w:p>
    <w:p>
      <w:pPr>
        <w:spacing w:after="0" w:line="40" w:lineRule="exact"/>
        <w:rPr>
          <w:sz w:val="20"/>
          <w:szCs w:val="20"/>
          <w:color w:val="auto"/>
        </w:rPr>
      </w:pPr>
    </w:p>
    <w:p>
      <w:pPr>
        <w:jc w:val="both"/>
        <w:ind w:firstLine="394"/>
        <w:spacing w:after="0" w:line="212"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9"/>
          <w:szCs w:val="19"/>
          <w:color w:val="auto"/>
        </w:rPr>
        <w:t>□</w:t>
      </w:r>
    </w:p>
    <w:p>
      <w:pPr>
        <w:spacing w:after="0" w:line="41"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9"/>
          <w:szCs w:val="19"/>
          <w:color w:val="auto"/>
        </w:rPr>
        <w:t>□</w:t>
      </w:r>
    </w:p>
    <w:p>
      <w:pPr>
        <w:spacing w:after="0" w:line="40"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 period pursuant to §240.10D-1(b). </w:t>
      </w:r>
      <w:r>
        <w:rPr>
          <w:rFonts w:ascii="Arial" w:cs="Arial" w:eastAsia="Arial" w:hAnsi="Arial"/>
          <w:sz w:val="19"/>
          <w:szCs w:val="19"/>
          <w:color w:val="auto"/>
        </w:rPr>
        <w:t>□</w:t>
      </w:r>
    </w:p>
    <w:p>
      <w:pPr>
        <w:ind w:left="400"/>
        <w:spacing w:after="0" w:line="24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NO </w:t>
      </w:r>
      <w:r>
        <w:rPr>
          <w:rFonts w:ascii="Arial Unicode MS" w:cs="Arial Unicode MS" w:eastAsia="Arial Unicode MS" w:hAnsi="Arial Unicode MS"/>
          <w:sz w:val="19"/>
          <w:szCs w:val="19"/>
          <w:color w:val="auto"/>
        </w:rPr>
        <w:t>☒</w:t>
      </w:r>
    </w:p>
    <w:p>
      <w:pPr>
        <w:spacing w:after="0" w:line="40"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The aggregate market value of the voting and non-voting common equity held by non-affiliates of the registrant, based on the closing price of the shares of common stock on The NASDAQ Stock Market, LLC on June 30, 2022, was $306.4 million.</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number of shares of registrant’s common stock outstanding as of March 8, 2023 was 17,047,883.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57" w:lineRule="exact"/>
        <w:rPr>
          <w:sz w:val="20"/>
          <w:szCs w:val="20"/>
          <w:color w:val="auto"/>
        </w:rPr>
      </w:pPr>
    </w:p>
    <w:p>
      <w:pPr>
        <w:jc w:val="both"/>
        <w:ind w:firstLine="394"/>
        <w:spacing w:after="0" w:line="216" w:lineRule="auto"/>
        <w:rPr>
          <w:sz w:val="20"/>
          <w:szCs w:val="20"/>
          <w:color w:val="auto"/>
        </w:rPr>
      </w:pPr>
      <w:r>
        <w:rPr>
          <w:rFonts w:ascii="Times New Roman" w:cs="Times New Roman" w:eastAsia="Times New Roman" w:hAnsi="Times New Roman"/>
          <w:sz w:val="19"/>
          <w:szCs w:val="19"/>
          <w:color w:val="auto"/>
        </w:rPr>
        <w:t>Portions of the registrant’s Definitive Proxy Statement relating to the Annual Meeting of Shareholders, scheduled to be held on May 16, 2023,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55245</wp:posOffset>
                </wp:positionV>
                <wp:extent cx="67564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12509">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4.35pt" to="531.85pt,4.35pt" o:allowincell="f" strokecolor="#000000" strokeweight="0.985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111760</wp:posOffset>
                </wp:positionV>
                <wp:extent cx="67564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25031">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8.8pt" to="531.85pt,8.8pt" o:allowincell="f" strokecolor="#000000" strokeweight="1.9709pt"/>
            </w:pict>
          </mc:Fallback>
        </mc:AlternateContent>
      </w:r>
    </w:p>
    <w:p>
      <w:pPr>
        <w:sectPr>
          <w:pgSz w:w="12060" w:h="15667" w:orient="portrait"/>
          <w:cols w:equalWidth="0" w:num="1">
            <w:col w:w="10640"/>
          </w:cols>
          <w:pgMar w:left="700" w:top="1235" w:right="727" w:bottom="387" w:gutter="0" w:footer="0" w:header="0"/>
          <w:type w:val="continuous"/>
        </w:sectPr>
      </w:pPr>
    </w:p>
    <w:bookmarkStart w:id="12" w:name="page13"/>
    <w:bookmarkEnd w:id="12"/>
    <w:p>
      <w:pPr>
        <w:ind w:left="35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2" w:lineRule="exact"/>
        <w:rPr>
          <w:sz w:val="20"/>
          <w:szCs w:val="20"/>
          <w:color w:val="auto"/>
        </w:rPr>
      </w:pPr>
    </w:p>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Page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5408930</wp:posOffset>
                </wp:positionH>
                <wp:positionV relativeFrom="paragraph">
                  <wp:posOffset>6350</wp:posOffset>
                </wp:positionV>
                <wp:extent cx="45021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21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9pt,0.5pt" to="461.35pt,0.5pt" o:allowincell="f" strokecolor="#000000" strokeweight="0.493pt"/>
            </w:pict>
          </mc:Fallback>
        </mc:AlternateConten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 w:lineRule="exact"/>
        <w:rPr>
          <w:sz w:val="20"/>
          <w:szCs w:val="20"/>
          <w:color w:val="auto"/>
        </w:rPr>
      </w:pPr>
    </w:p>
    <w:p>
      <w:pPr>
        <w:ind w:left="600"/>
        <w:spacing w:after="0"/>
        <w:tabs>
          <w:tab w:leader="none" w:pos="1640" w:val="left"/>
          <w:tab w:leader="none" w:pos="89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w:t>
      </w:r>
      <w:r>
        <w:rPr>
          <w:sz w:val="20"/>
          <w:szCs w:val="20"/>
          <w:color w:val="auto"/>
        </w:rPr>
        <w:tab/>
      </w:r>
      <w:r>
        <w:rPr>
          <w:rFonts w:ascii="Times New Roman" w:cs="Times New Roman" w:eastAsia="Times New Roman" w:hAnsi="Times New Roman"/>
          <w:sz w:val="20"/>
          <w:szCs w:val="20"/>
          <w:color w:val="auto"/>
        </w:rPr>
        <w:t>27</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w:t>
      </w:r>
      <w:r>
        <w:rPr>
          <w:sz w:val="20"/>
          <w:szCs w:val="20"/>
          <w:color w:val="auto"/>
        </w:rPr>
        <w:tab/>
      </w:r>
      <w:r>
        <w:rPr>
          <w:rFonts w:ascii="Times New Roman" w:cs="Times New Roman" w:eastAsia="Times New Roman" w:hAnsi="Times New Roman"/>
          <w:sz w:val="20"/>
          <w:szCs w:val="20"/>
          <w:color w:val="auto"/>
        </w:rPr>
        <w:t>46</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w:t>
      </w:r>
      <w:r>
        <w:rPr>
          <w:sz w:val="20"/>
          <w:szCs w:val="20"/>
          <w:color w:val="auto"/>
        </w:rPr>
        <w:tab/>
      </w:r>
      <w:r>
        <w:rPr>
          <w:rFonts w:ascii="Times New Roman" w:cs="Times New Roman" w:eastAsia="Times New Roman" w:hAnsi="Times New Roman"/>
          <w:sz w:val="20"/>
          <w:szCs w:val="20"/>
          <w:color w:val="auto"/>
        </w:rPr>
        <w:t>46</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w:t>
      </w:r>
      <w:r>
        <w:rPr>
          <w:sz w:val="20"/>
          <w:szCs w:val="20"/>
          <w:color w:val="auto"/>
        </w:rPr>
        <w:tab/>
      </w:r>
      <w:r>
        <w:rPr>
          <w:rFonts w:ascii="Times New Roman" w:cs="Times New Roman" w:eastAsia="Times New Roman" w:hAnsi="Times New Roman"/>
          <w:sz w:val="20"/>
          <w:szCs w:val="20"/>
          <w:color w:val="auto"/>
        </w:rPr>
        <w:t>47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 w:lineRule="exact"/>
        <w:rPr>
          <w:sz w:val="20"/>
          <w:szCs w:val="20"/>
          <w:color w:val="auto"/>
        </w:rPr>
      </w:pPr>
    </w:p>
    <w:p>
      <w:pPr>
        <w:ind w:left="600"/>
        <w:spacing w:after="0"/>
        <w:tabs>
          <w:tab w:leader="none" w:pos="16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w:t>
      </w:r>
    </w:p>
    <w:p>
      <w:pPr>
        <w:spacing w:after="0" w:line="6" w:lineRule="exact"/>
        <w:rPr>
          <w:sz w:val="20"/>
          <w:szCs w:val="20"/>
          <w:color w:val="auto"/>
        </w:rPr>
      </w:pPr>
    </w:p>
    <w:p>
      <w:pPr>
        <w:ind w:left="1660"/>
        <w:spacing w:after="0"/>
        <w:tabs>
          <w:tab w:leader="none" w:pos="880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w:t>
      </w:r>
      <w:r>
        <w:rPr>
          <w:sz w:val="20"/>
          <w:szCs w:val="20"/>
          <w:color w:val="auto"/>
        </w:rPr>
        <w:tab/>
      </w:r>
      <w:r>
        <w:rPr>
          <w:rFonts w:ascii="Times New Roman" w:cs="Times New Roman" w:eastAsia="Times New Roman" w:hAnsi="Times New Roman"/>
          <w:sz w:val="20"/>
          <w:szCs w:val="20"/>
          <w:color w:val="auto"/>
        </w:rPr>
        <w:t>48</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w:t>
      </w:r>
      <w:r>
        <w:rPr>
          <w:sz w:val="20"/>
          <w:szCs w:val="20"/>
          <w:color w:val="auto"/>
        </w:rPr>
        <w:tab/>
      </w:r>
      <w:r>
        <w:rPr>
          <w:rFonts w:ascii="Times New Roman" w:cs="Times New Roman" w:eastAsia="Times New Roman" w:hAnsi="Times New Roman"/>
          <w:sz w:val="20"/>
          <w:szCs w:val="20"/>
          <w:color w:val="auto"/>
        </w:rPr>
        <w:t>49</w:t>
      </w:r>
    </w:p>
    <w:p>
      <w:pPr>
        <w:spacing w:after="0" w:line="21" w:lineRule="exact"/>
        <w:rPr>
          <w:sz w:val="20"/>
          <w:szCs w:val="20"/>
          <w:color w:val="auto"/>
        </w:rPr>
      </w:pPr>
    </w:p>
    <w:p>
      <w:pPr>
        <w:ind w:left="600"/>
        <w:spacing w:after="0"/>
        <w:tabs>
          <w:tab w:leader="none" w:pos="16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w:t>
      </w:r>
    </w:p>
    <w:p>
      <w:pPr>
        <w:spacing w:after="0" w:line="6" w:lineRule="exact"/>
        <w:rPr>
          <w:sz w:val="20"/>
          <w:szCs w:val="20"/>
          <w:color w:val="auto"/>
        </w:rPr>
      </w:pPr>
    </w:p>
    <w:p>
      <w:pPr>
        <w:ind w:left="1660"/>
        <w:spacing w:after="0"/>
        <w:tabs>
          <w:tab w:leader="none" w:pos="880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w:t>
      </w:r>
      <w:r>
        <w:rPr>
          <w:sz w:val="20"/>
          <w:szCs w:val="20"/>
          <w:color w:val="auto"/>
        </w:rPr>
        <w:tab/>
      </w:r>
      <w:r>
        <w:rPr>
          <w:rFonts w:ascii="Times New Roman" w:cs="Times New Roman" w:eastAsia="Times New Roman" w:hAnsi="Times New Roman"/>
          <w:sz w:val="20"/>
          <w:szCs w:val="20"/>
          <w:color w:val="auto"/>
        </w:rPr>
        <w:t>50</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w:t>
      </w:r>
      <w:r>
        <w:rPr>
          <w:sz w:val="20"/>
          <w:szCs w:val="20"/>
          <w:color w:val="auto"/>
        </w:rPr>
        <w:tab/>
      </w:r>
      <w:r>
        <w:rPr>
          <w:rFonts w:ascii="Times New Roman" w:cs="Times New Roman" w:eastAsia="Times New Roman" w:hAnsi="Times New Roman"/>
          <w:sz w:val="20"/>
          <w:szCs w:val="20"/>
          <w:color w:val="auto"/>
        </w:rPr>
        <w:t>73</w:t>
      </w:r>
    </w:p>
    <w:p>
      <w:pPr>
        <w:spacing w:after="0" w:line="21" w:lineRule="exact"/>
        <w:rPr>
          <w:sz w:val="20"/>
          <w:szCs w:val="20"/>
          <w:color w:val="auto"/>
        </w:rPr>
      </w:pPr>
    </w:p>
    <w:p>
      <w:pPr>
        <w:ind w:left="600"/>
        <w:spacing w:after="0"/>
        <w:tabs>
          <w:tab w:leader="none" w:pos="1640" w:val="left"/>
          <w:tab w:leader="none" w:pos="88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21" w:lineRule="exact"/>
        <w:rPr>
          <w:sz w:val="20"/>
          <w:szCs w:val="20"/>
          <w:color w:val="auto"/>
        </w:rPr>
      </w:pPr>
    </w:p>
    <w:p>
      <w:pPr>
        <w:ind w:left="600"/>
        <w:spacing w:after="0"/>
        <w:tabs>
          <w:tab w:leader="none" w:pos="16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w:t>
      </w:r>
    </w:p>
    <w:p>
      <w:pPr>
        <w:spacing w:after="0" w:line="6" w:lineRule="exact"/>
        <w:rPr>
          <w:sz w:val="20"/>
          <w:szCs w:val="20"/>
          <w:color w:val="auto"/>
        </w:rPr>
      </w:pPr>
    </w:p>
    <w:p>
      <w:pPr>
        <w:ind w:left="1660"/>
        <w:spacing w:after="0"/>
        <w:tabs>
          <w:tab w:leader="none" w:pos="872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w:t>
      </w:r>
      <w:r>
        <w:rPr>
          <w:sz w:val="20"/>
          <w:szCs w:val="20"/>
          <w:color w:val="auto"/>
        </w:rPr>
        <w:tab/>
      </w: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w:t>
      </w:r>
      <w:r>
        <w:rPr>
          <w:sz w:val="20"/>
          <w:szCs w:val="20"/>
          <w:color w:val="auto"/>
        </w:rPr>
        <w:tab/>
      </w: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w:t>
      </w:r>
      <w:r>
        <w:rPr>
          <w:sz w:val="20"/>
          <w:szCs w:val="20"/>
          <w:color w:val="auto"/>
        </w:rPr>
        <w:tab/>
      </w:r>
      <w:r>
        <w:rPr>
          <w:rFonts w:ascii="Times New Roman" w:cs="Times New Roman" w:eastAsia="Times New Roman" w:hAnsi="Times New Roman"/>
          <w:sz w:val="18"/>
          <w:szCs w:val="18"/>
          <w:color w:val="auto"/>
        </w:rPr>
        <w:t>115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w:t>
      </w:r>
      <w:r>
        <w:rPr>
          <w:sz w:val="20"/>
          <w:szCs w:val="20"/>
          <w:color w:val="auto"/>
        </w:rPr>
        <w:tab/>
      </w: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w:t>
      </w:r>
      <w:r>
        <w:rPr>
          <w:sz w:val="20"/>
          <w:szCs w:val="20"/>
          <w:color w:val="auto"/>
        </w:rPr>
        <w:tab/>
      </w: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ind w:left="600"/>
        <w:spacing w:after="0"/>
        <w:tabs>
          <w:tab w:leader="none" w:pos="164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spacing w:after="0" w:line="7" w:lineRule="exact"/>
        <w:rPr>
          <w:sz w:val="20"/>
          <w:szCs w:val="20"/>
          <w:color w:val="auto"/>
        </w:rPr>
      </w:pPr>
    </w:p>
    <w:p>
      <w:pPr>
        <w:ind w:left="1660"/>
        <w:spacing w:after="0"/>
        <w:tabs>
          <w:tab w:leader="none" w:pos="872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w:t>
      </w:r>
      <w:r>
        <w:rPr>
          <w:sz w:val="20"/>
          <w:szCs w:val="20"/>
          <w:color w:val="auto"/>
        </w:rPr>
        <w:tab/>
      </w: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w:t>
      </w:r>
      <w:r>
        <w:rPr>
          <w:sz w:val="20"/>
          <w:szCs w:val="20"/>
          <w:color w:val="auto"/>
        </w:rPr>
        <w:tab/>
      </w:r>
      <w:r>
        <w:rPr>
          <w:rFonts w:ascii="Times New Roman" w:cs="Times New Roman" w:eastAsia="Times New Roman" w:hAnsi="Times New Roman"/>
          <w:sz w:val="18"/>
          <w:szCs w:val="18"/>
          <w:color w:val="auto"/>
        </w:rPr>
        <w:t>116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 . . . . . . . . . . . . . . . . . . . . . . . . . . . . . . . . . . . .</w:t>
      </w:r>
      <w:r>
        <w:rPr>
          <w:sz w:val="20"/>
          <w:szCs w:val="20"/>
          <w:color w:val="auto"/>
        </w:rPr>
        <w:tab/>
      </w:r>
      <w:r>
        <w:rPr>
          <w:rFonts w:ascii="Times New Roman" w:cs="Times New Roman" w:eastAsia="Times New Roman" w:hAnsi="Times New Roman"/>
          <w:sz w:val="18"/>
          <w:szCs w:val="18"/>
          <w:color w:val="auto"/>
        </w:rPr>
        <w:t>117</w:t>
      </w:r>
    </w:p>
    <w:p>
      <w:pPr>
        <w:spacing w:after="0" w:line="21" w:lineRule="exact"/>
        <w:rPr>
          <w:sz w:val="20"/>
          <w:szCs w:val="20"/>
          <w:color w:val="auto"/>
        </w:rPr>
      </w:pPr>
    </w:p>
    <w:p>
      <w:pPr>
        <w:ind w:left="600"/>
        <w:spacing w:after="0"/>
        <w:tabs>
          <w:tab w:leader="none" w:pos="1640" w:val="left"/>
          <w:tab w:leader="none" w:pos="87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w:t>
      </w:r>
      <w:r>
        <w:rPr>
          <w:sz w:val="20"/>
          <w:szCs w:val="20"/>
          <w:color w:val="auto"/>
        </w:rPr>
        <w:tab/>
      </w:r>
      <w:r>
        <w:rPr>
          <w:rFonts w:ascii="Times New Roman" w:cs="Times New Roman" w:eastAsia="Times New Roman" w:hAnsi="Times New Roman"/>
          <w:sz w:val="18"/>
          <w:szCs w:val="18"/>
          <w:color w:val="auto"/>
        </w:rPr>
        <w:t>119</w:t>
      </w:r>
    </w:p>
    <w:p>
      <w:pPr>
        <w:spacing w:after="0" w:line="21"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120</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i</w:t>
      </w:r>
    </w:p>
    <w:p>
      <w:pPr>
        <w:sectPr>
          <w:pgSz w:w="12060" w:h="15667" w:orient="portrait"/>
          <w:cols w:equalWidth="0" w:num="1">
            <w:col w:w="9227"/>
          </w:cols>
          <w:pgMar w:left="1400" w:top="900" w:right="1440" w:bottom="203" w:gutter="0" w:footer="0" w:header="0"/>
          <w:type w:val="continuous"/>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CAUTIONARY STATEMENT REGARDING</w:t>
      </w:r>
    </w:p>
    <w:p>
      <w:pPr>
        <w:jc w:val="center"/>
        <w:ind w:right="7"/>
        <w:spacing w:after="0" w:line="236" w:lineRule="auto"/>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This Annual Report on Form 10-K for the year ended December 31, 2022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2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There are or will be important factors that could cause our actual results to differ materially from those indicated in these forward-looking statements, including, but not limited to, the following:</w:t>
      </w:r>
    </w:p>
    <w:p>
      <w:pPr>
        <w:spacing w:after="0" w:line="133" w:lineRule="exact"/>
        <w:rPr>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effectively execute our expansion strategy and manage our growth, including identifying and consummating suitable acquisitions;</w:t>
      </w:r>
    </w:p>
    <w:p>
      <w:pPr>
        <w:spacing w:after="0" w:line="137"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business and economic conditions, particularly those affecting our market areas, as well as the concentration of our business in such market areas, and the uncertain inflationary outlook in the United States and our market areas;</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duration and severity of the ongoing COVID-19 pandemic, and any current or future variants thereof, and the response of governmental authorities to the COVID-19 pandemic;</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high concentrations of loans secured by real estate located in our market areas;</w:t>
      </w:r>
    </w:p>
    <w:p>
      <w:pPr>
        <w:spacing w:after="0" w:line="136"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associated with our commercial loan portfolio, including the risk for deterioration in value of the general business assets that secure such loans;</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changes in the prices, values and sales volumes of commercial and residential real estate securing our real estate loans;</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associated with our agricultural loan portfolio, including the heightened sensitivity to weather conditions, commodity prices, and other factors generally outside the borrowers and our control;</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associated with the sale of crop insurance products, including termination of or substantial changes to the federal crop insurance program;</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risks related to the significant amount of credit that we have extended to a limited number of borrowers and in a limited geographic area;</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public funds deposits comprising a relatively high percentage of our deposits;</w:t>
      </w:r>
    </w:p>
    <w:p>
      <w:pPr>
        <w:spacing w:after="0" w:line="136"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impairment on the goodwill we have recorded or may record in connection with business acquisitions;</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our reputation;</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successfully manage our credit risk and the sufficiency of our allowance for loan losses;</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attract, hire and retain qualified management personnel;</w:t>
      </w:r>
    </w:p>
    <w:p>
      <w:pPr>
        <w:spacing w:after="0" w:line="136"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dependence on our management team, including our ability to retain executive officers and key employees and their customer and community relationships;</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interest rate fluctuations, which could have an adverse effect on our profitability;</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w:t>
      </w:r>
    </w:p>
    <w:p>
      <w:pPr>
        <w:sectPr>
          <w:pgSz w:w="12060" w:h="15667" w:orient="portrait"/>
          <w:cols w:equalWidth="0" w:num="1">
            <w:col w:w="9227"/>
          </w:cols>
          <w:pgMar w:left="1400" w:top="900" w:right="1440" w:bottom="203" w:gutter="0" w:footer="0" w:header="0"/>
          <w:type w:val="continuous"/>
        </w:sectPr>
      </w:pPr>
    </w:p>
    <w:bookmarkStart w:id="14" w:name="page15"/>
    <w:bookmarkEnd w:id="14"/>
    <w:p>
      <w:pPr>
        <w:ind w:left="800" w:hanging="400"/>
        <w:spacing w:after="0"/>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competition from banks, credit unions and other financial services providers;</w:t>
      </w:r>
    </w:p>
    <w:p>
      <w:pPr>
        <w:spacing w:after="0" w:line="136"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keep pace with technological change or difficulties we may experience when implementing new technologies;</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system failures, service denials, cyber-attacks and security breaches;</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effective internal control over financial reporting;</w:t>
      </w:r>
    </w:p>
    <w:p>
      <w:pPr>
        <w:spacing w:after="0" w:line="136"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employee error, fraudulent activity by employees or customers and inaccurate or incomplete information about our customers and counterparties;</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increased capital requirements imposed by banking regulators, which may require us to raise capital at a time when capital is not available on favorable terms or at all;</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adequate liquidity and to raise necessary capital to fund our acquisition strategy and operations or to meet increased minimum regulatory capital levels;</w:t>
      </w:r>
    </w:p>
    <w:p>
      <w:pPr>
        <w:spacing w:after="0" w:line="13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and effects of litigation, investigations or similar matters to which we may be subject, including any effect on our reputation;</w:t>
      </w:r>
    </w:p>
    <w:p>
      <w:pPr>
        <w:spacing w:after="0" w:line="137"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natural disasters, severe weather, acts of god, acts of war or terrorism, outbreaks of hostilities, public health outbreaks (such as coronavirus), other international or domestic calamities, and other matters beyond our control;</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tariffs and trade barriers;</w:t>
      </w:r>
    </w:p>
    <w:p>
      <w:pPr>
        <w:spacing w:after="0" w:line="136" w:lineRule="exact"/>
        <w:rPr>
          <w:rFonts w:ascii="Symbol" w:cs="Symbol" w:eastAsia="Symbol" w:hAnsi="Symbol"/>
          <w:sz w:val="20"/>
          <w:szCs w:val="20"/>
          <w:color w:val="auto"/>
        </w:rPr>
      </w:pPr>
    </w:p>
    <w:p>
      <w:pPr>
        <w:jc w:val="both"/>
        <w:ind w:left="800" w:right="7" w:hanging="400"/>
        <w:spacing w:after="0" w:line="238"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spacing w:after="0" w:line="136" w:lineRule="exact"/>
        <w:rPr>
          <w:rFonts w:ascii="Symbol" w:cs="Symbol" w:eastAsia="Symbol" w:hAnsi="Symbol"/>
          <w:sz w:val="20"/>
          <w:szCs w:val="20"/>
          <w:color w:val="auto"/>
        </w:rPr>
      </w:pPr>
    </w:p>
    <w:p>
      <w:pPr>
        <w:jc w:val="both"/>
        <w:ind w:left="800" w:right="7" w:hanging="400"/>
        <w:spacing w:after="0" w:line="238"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spacing w:after="0" w:line="136"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Biden administration.</w:t>
      </w:r>
    </w:p>
    <w:p>
      <w:pPr>
        <w:spacing w:after="0" w:line="14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ectPr>
          <w:pgSz w:w="12060" w:h="15667" w:orient="portrait"/>
          <w:cols w:equalWidth="0" w:num="1">
            <w:col w:w="9227"/>
          </w:cols>
          <w:pgMar w:left="1400" w:top="885"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2</w:t>
      </w:r>
    </w:p>
    <w:p>
      <w:pPr>
        <w:sectPr>
          <w:pgSz w:w="12060" w:h="15667" w:orient="portrait"/>
          <w:cols w:equalWidth="0" w:num="1">
            <w:col w:w="9227"/>
          </w:cols>
          <w:pgMar w:left="1400" w:top="885" w:right="1440" w:bottom="203" w:gutter="0" w:footer="0" w:header="0"/>
          <w:type w:val="continuous"/>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1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120"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36"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We had total assets of $3.94 billion, gross loans held for investment of $2.75 billion, total deposits of $3.41 billion, and total shareholders’ equity of $357.0 million as of December 31, 2022.</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approximately $430 million in assets, in 2019 through the merger of West Texas State Bank with and into the Bank.</w:t>
      </w:r>
    </w:p>
    <w:p>
      <w:pPr>
        <w:spacing w:after="0" w:line="12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We currently operate 25 full-service banking locations across seven geographic markets resulting from six acquisitions, de novo branch establishments, and the formation of a de novo bank in Ruidoso, New Mexico, which we later merged into the Bank. We also operate 11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spacing w:after="0" w:line="13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We operate in two reportable segments of business: community banking, which includes City Bank, our sole banking subsidiary, and insurance, which includes Windmark Insurance Agency, Inc. (‘‘Windmark’’).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Area</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We operate in the following markets (deposit information is as of December 31, 2022):</w:t>
      </w:r>
    </w:p>
    <w:p>
      <w:pPr>
        <w:spacing w:after="0" w:line="137"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u w:val="single" w:color="auto"/>
          <w:color w:val="auto"/>
        </w:rPr>
        <w:t>Lubbock/South Plains</w:t>
      </w:r>
      <w:r>
        <w:rPr>
          <w:rFonts w:ascii="Times New Roman" w:cs="Times New Roman" w:eastAsia="Times New Roman" w:hAnsi="Times New Roman"/>
          <w:sz w:val="20"/>
          <w:szCs w:val="20"/>
          <w:color w:val="auto"/>
        </w:rPr>
        <w:t xml:space="preserve"> - We operate 10 branches holding $2.1 billion of deposits in the Lubbock metropolitan statistical area (‘‘MSA’’) and the surrounding South Plains region of Texas.</w:t>
      </w:r>
    </w:p>
    <w:p>
      <w:pPr>
        <w:spacing w:after="0" w:line="138"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u w:val="single" w:color="auto"/>
          <w:color w:val="auto"/>
        </w:rPr>
        <w:t>Dallas</w:t>
      </w:r>
      <w:r>
        <w:rPr>
          <w:rFonts w:ascii="Times New Roman" w:cs="Times New Roman" w:eastAsia="Times New Roman" w:hAnsi="Times New Roman"/>
          <w:sz w:val="20"/>
          <w:szCs w:val="20"/>
          <w:color w:val="auto"/>
        </w:rPr>
        <w:t xml:space="preserve"> - We operate three branches with $474.1 million of deposits and five loan production offices, which we refer to as mortgage offices, in the Dallas-Fort Worth-Arlington MSA, which we refer to as the Dallas-Fort Worth metroplex.</w:t>
      </w:r>
    </w:p>
    <w:p>
      <w:pPr>
        <w:spacing w:after="0" w:line="138"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u w:val="single" w:color="auto"/>
          <w:color w:val="auto"/>
        </w:rPr>
        <w:t>El Paso</w:t>
      </w:r>
      <w:r>
        <w:rPr>
          <w:rFonts w:ascii="Times New Roman" w:cs="Times New Roman" w:eastAsia="Times New Roman" w:hAnsi="Times New Roman"/>
          <w:sz w:val="20"/>
          <w:szCs w:val="20"/>
          <w:color w:val="auto"/>
        </w:rPr>
        <w:t xml:space="preserve"> - We operate two bank branches with $199.7 million of deposits and one mortgage office in the El Paso MSA.</w:t>
      </w:r>
    </w:p>
    <w:p>
      <w:pPr>
        <w:spacing w:after="0" w:line="139"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u w:val="single" w:color="auto"/>
          <w:color w:val="auto"/>
        </w:rPr>
        <w:t>Houston</w:t>
      </w:r>
      <w:r>
        <w:rPr>
          <w:rFonts w:ascii="Times New Roman" w:cs="Times New Roman" w:eastAsia="Times New Roman" w:hAnsi="Times New Roman"/>
          <w:sz w:val="20"/>
          <w:szCs w:val="20"/>
          <w:color w:val="auto"/>
        </w:rPr>
        <w:t xml:space="preserve"> - We operate one branch with $37.9 million of deposits in the Houston-The Woodlands-Sugarland MSA, which we refer to as Greater Houston. This branch is located in the city of Houston.</w:t>
      </w:r>
    </w:p>
    <w:p>
      <w:pPr>
        <w:spacing w:after="0" w:line="137"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u w:val="single" w:color="auto"/>
          <w:color w:val="auto"/>
        </w:rPr>
        <w:t>Bryan/College Station</w:t>
      </w:r>
      <w:r>
        <w:rPr>
          <w:rFonts w:ascii="Times New Roman" w:cs="Times New Roman" w:eastAsia="Times New Roman" w:hAnsi="Times New Roman"/>
          <w:sz w:val="20"/>
          <w:szCs w:val="20"/>
          <w:color w:val="auto"/>
        </w:rPr>
        <w:t xml:space="preserve"> - We operate one branch and one mortgage office in the city of College Station, Texas, which has $66.4 million in deposits. We refer to the Bryan-College Station MSA as Bryan/College Station.</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3</w:t>
      </w:r>
    </w:p>
    <w:p>
      <w:pPr>
        <w:sectPr>
          <w:pgSz w:w="12060" w:h="15667" w:orient="portrait"/>
          <w:cols w:equalWidth="0" w:num="1">
            <w:col w:w="9227"/>
          </w:cols>
          <w:pgMar w:left="1400" w:top="900" w:right="1440" w:bottom="204" w:gutter="0" w:footer="0" w:header="0"/>
          <w:type w:val="continuous"/>
        </w:sectPr>
      </w:pPr>
    </w:p>
    <w:bookmarkStart w:id="16" w:name="page17"/>
    <w:bookmarkEnd w:id="16"/>
    <w:p>
      <w:pPr>
        <w:jc w:val="both"/>
        <w:ind w:right="7" w:firstLine="394"/>
        <w:spacing w:after="0" w:line="237" w:lineRule="auto"/>
        <w:rPr>
          <w:sz w:val="20"/>
          <w:szCs w:val="20"/>
          <w:color w:val="auto"/>
        </w:rPr>
      </w:pPr>
      <w:r>
        <w:rPr>
          <w:rFonts w:ascii="Times New Roman" w:cs="Times New Roman" w:eastAsia="Times New Roman" w:hAnsi="Times New Roman"/>
          <w:sz w:val="20"/>
          <w:szCs w:val="20"/>
          <w:u w:val="single" w:color="auto"/>
          <w:color w:val="auto"/>
        </w:rPr>
        <w:t>The Permian Basin</w:t>
      </w:r>
      <w:r>
        <w:rPr>
          <w:rFonts w:ascii="Times New Roman" w:cs="Times New Roman" w:eastAsia="Times New Roman" w:hAnsi="Times New Roman"/>
          <w:sz w:val="20"/>
          <w:szCs w:val="20"/>
          <w:color w:val="auto"/>
        </w:rPr>
        <w:t xml:space="preserve"> - We operate six branches with $358.7 million of deposits in the Permian Basin region of Texas.</w:t>
      </w:r>
    </w:p>
    <w:p>
      <w:pPr>
        <w:spacing w:after="0" w:line="13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u w:val="single" w:color="auto"/>
          <w:color w:val="auto"/>
        </w:rPr>
        <w:t>Ruidoso, New Mexico</w:t>
      </w:r>
      <w:r>
        <w:rPr>
          <w:rFonts w:ascii="Times New Roman" w:cs="Times New Roman" w:eastAsia="Times New Roman" w:hAnsi="Times New Roman"/>
          <w:sz w:val="20"/>
          <w:szCs w:val="20"/>
          <w:color w:val="auto"/>
        </w:rPr>
        <w:t xml:space="preserve"> - We operate two branches with $180.8 million of deposits in the village of Ruidoso, New Mexico.</w:t>
      </w:r>
    </w:p>
    <w:p>
      <w:pPr>
        <w:spacing w:after="0" w:line="13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We believe our exposure to these dynamic and complementary markets provides us with economic diversification and the opportunity for expansion across Texas and New Mexico.</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1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As of December 31, 2022, we had approximately 673 total employees, which included 600 full-time employees and 73 part-time employees. None of our employees are covered under a collective bargaining agreement and management considers its employee relations to be satisfactory.</w:t>
      </w:r>
    </w:p>
    <w:p>
      <w:pPr>
        <w:spacing w:after="0" w:line="138"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believe our ability to attract and retain employees is a key to our success. Accordingly, we strive to offer competitive salaries and employee benefits to all employees and monitor salaries in our market areas. In addition to competitive base salaries and benefits, additional employee programs include annual bonus opportunities, Company matched 401(k) Plan contributions, healthcare and insurance benefits, health savings and flexible spending accounts, long-term care and long-term disability benefits, life insurance benefits, a robust wellness program, and paid-time off.</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Lending Activities</w:t>
      </w:r>
    </w:p>
    <w:p>
      <w:pPr>
        <w:spacing w:after="0" w:line="113"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We adhere to what we believe are disciplined underwriting standards, but also remain cognizant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serving the credit 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134"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w:t>
      </w:r>
    </w:p>
    <w:p>
      <w:pPr>
        <w:sectPr>
          <w:pgSz w:w="12060" w:h="15667" w:orient="portrait"/>
          <w:cols w:equalWidth="0" w:num="1">
            <w:col w:w="9227"/>
          </w:cols>
          <w:pgMar w:left="1400" w:top="912" w:right="1440" w:bottom="203" w:gutter="0" w:footer="0" w:header="0"/>
          <w:type w:val="continuous"/>
        </w:sectPr>
      </w:pPr>
    </w:p>
    <w:bookmarkStart w:id="17" w:name="page18"/>
    <w:bookmarkEnd w:id="17"/>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Credit Concentrations. </w:t>
      </w:r>
      <w:r>
        <w:rPr>
          <w:rFonts w:ascii="Times New Roman" w:cs="Times New Roman" w:eastAsia="Times New Roman" w:hAnsi="Times New Roman"/>
          <w:sz w:val="20"/>
          <w:szCs w:val="20"/>
          <w:color w:val="auto"/>
        </w:rPr>
        <w:t>In connection with the management of our credit portfolio, we actively manage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composition of our loan portfolio, 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pacing w:after="0" w:line="130"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 Approval Process. </w:t>
      </w:r>
      <w:r>
        <w:rPr>
          <w:rFonts w:ascii="Times New Roman" w:cs="Times New Roman" w:eastAsia="Times New Roman" w:hAnsi="Times New Roman"/>
          <w:sz w:val="20"/>
          <w:szCs w:val="20"/>
          <w:color w:val="auto"/>
        </w:rPr>
        <w:t>We seek to achieve an appropriate balance between prudent, disciplined underwriting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flexibility in our decision-making and responsiveness to our customers. Our Board requires news loans over $5 million to relationships in excess of $20 million to be reported to the Board Credit Risk Committee. As of December 31, 2022, the Bank had a legal lending limit of approximately $103.6 million. As of that date, our 20 largest borrowing relationships ranged from approximately $22.2 million to $50.9 million (including unfunded commitments) and totaled approximately $622.0 million in total commitments (representing, in the aggregate, 18.1% of our total outstanding commitments).</w:t>
      </w:r>
    </w:p>
    <w:p>
      <w:pPr>
        <w:spacing w:after="0" w:line="134"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Our credit approval policies provide for various levels of officer and senior management lending authority for new credits and renewals, which are based on position, capability and experience. Loans in excess of an individual officer’s lending limit up to $3 million may be approved with joint authorities of a market president and a senior credit officer. Loan relationships over $3 million are approved by our Executive Loan Committee. These limits are reviewed periodically by the Bank’s Board. We believe that our credit approval process provides for thorough underwriting and efficient decision-making.</w:t>
      </w:r>
    </w:p>
    <w:p>
      <w:pPr>
        <w:spacing w:after="0" w:line="130"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Credit Risk Management. </w:t>
      </w:r>
      <w:r>
        <w:rPr>
          <w:rFonts w:ascii="Times New Roman" w:cs="Times New Roman" w:eastAsia="Times New Roman" w:hAnsi="Times New Roman"/>
          <w:sz w:val="19"/>
          <w:szCs w:val="19"/>
          <w:color w:val="auto"/>
        </w:rPr>
        <w:t>Credit risk management involves a partnership between our loan officers and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credit approval, credit administration and collections personnel. Loan delinquencies and exceptions are constantly monitored by credit personnel and consultations with loan officers occur as often as daily. Our performance evaluation program for our loan officers includes significant credit quality metric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121"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Our policies require rapid notification of delinquency and prompt initiation of collection actions. Loan officers, credit administration personnel, and senior management proactively support collection activities.</w:t>
      </w:r>
    </w:p>
    <w:p>
      <w:pPr>
        <w:spacing w:after="0" w:line="13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140"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w:t>
      </w:r>
    </w:p>
    <w:p>
      <w:pPr>
        <w:sectPr>
          <w:pgSz w:w="12060" w:h="15667" w:orient="portrait"/>
          <w:cols w:equalWidth="0" w:num="1">
            <w:col w:w="9227"/>
          </w:cols>
          <w:pgMar w:left="1400" w:top="908" w:right="1440" w:bottom="203"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5</w:t>
      </w:r>
    </w:p>
    <w:p>
      <w:pPr>
        <w:sectPr>
          <w:pgSz w:w="12060" w:h="15667" w:orient="portrait"/>
          <w:cols w:equalWidth="0" w:num="1">
            <w:col w:w="9227"/>
          </w:cols>
          <w:pgMar w:left="1400" w:top="908" w:right="1440" w:bottom="203" w:gutter="0" w:footer="0" w:header="0"/>
          <w:type w:val="continuous"/>
        </w:sectPr>
      </w:pPr>
    </w:p>
    <w:bookmarkStart w:id="18" w:name="page19"/>
    <w:bookmarkEnd w:id="18"/>
    <w:p>
      <w:pPr>
        <w:jc w:val="both"/>
        <w:ind w:right="7"/>
        <w:spacing w:after="0"/>
        <w:rPr>
          <w:sz w:val="20"/>
          <w:szCs w:val="20"/>
          <w:color w:val="auto"/>
        </w:rPr>
      </w:pPr>
      <w:r>
        <w:rPr>
          <w:rFonts w:ascii="Times New Roman" w:cs="Times New Roman" w:eastAsia="Times New Roman" w:hAnsi="Times New Roman"/>
          <w:sz w:val="20"/>
          <w:szCs w:val="20"/>
          <w:color w:val="auto"/>
        </w:rPr>
        <w:t>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spacing w:after="0" w:line="138"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Funds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Borrowings</w:t>
      </w:r>
    </w:p>
    <w:p>
      <w:pPr>
        <w:spacing w:after="0" w:line="11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In addition to deposits, we may utilize advances from the Federal Home Loan Bank of Dallas (the ‘‘FHLB’’), and other borrowings, such as a line of credit with the Federal Reserve Bank of Dallas (the ‘‘FRB’’), uncollateralized lines of credit with multiple banks, subordinated debt, and junior subordinated deferrable interest debentures as supplementary funding sources to finance our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Banking Services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 Banking</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Our mortgage originations totaled $719.4 million for the year ended December 31, 2022 and sold approximately 89% of those mortgages. We originate mortgages primarily from our branches or loan production offices in Lubbock, El Paso, College Station, Abilene, Arlington, Austin, Dallas, Dripping Springs, Forney, Fort Worth, Grand Prairie, Houston, Midland, Southlake, and Waco, Texas. We refer to our loan production offices as mortgage offices. While our mortgage operation represents a sizable component of our total noninterest income, comprising 41%, or $31.4 million, for the year ended December 31, 2022, we view the mortgage business as an ancillary part of our operations. Within our mortgage origination portfolio, refinances of existing mortgages represented 31% of total mortgage originations in the year ended December 31, 2022. We retain mortgage servicing rights from time to time when we sell mortgages to third parties. As of December 31, 2022, we serviced $2.0 billion of mortgages that we originated and sold to third parties.</w:t>
      </w:r>
    </w:p>
    <w:p>
      <w:pPr>
        <w:spacing w:after="0" w:line="135"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Windmark Insurance, a wholly-owned subsidiary of the Bank, offers a variety of crop insurance products through offices in Texas, Oklahoma, Nebraska, and Colorado and by acting as the general agency for independent agents in 17 states. Windmark Insurance’s operations contributed $10.6 million of total revenues for the year ended December 31, 2022. That revenue was derived from a total insurance premium base of over $211 million. Crop insurance is offered to producers of many different crops from 14 approved providers who operate under agreements with the U.S. Department of Agriculture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Trust Services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6</w:t>
      </w:r>
    </w:p>
    <w:p>
      <w:pPr>
        <w:sectPr>
          <w:pgSz w:w="12060" w:h="15667" w:orient="portrait"/>
          <w:cols w:equalWidth="0" w:num="1">
            <w:col w:w="9227"/>
          </w:cols>
          <w:pgMar w:left="1400" w:top="912" w:right="1440" w:bottom="203" w:gutter="0" w:footer="0" w:header="0"/>
          <w:type w:val="continuous"/>
        </w:sectPr>
      </w:pPr>
    </w:p>
    <w:bookmarkStart w:id="19" w:name="page20"/>
    <w:bookmarkEnd w:id="19"/>
    <w:p>
      <w:pPr>
        <w:jc w:val="both"/>
        <w:ind w:right="7"/>
        <w:spacing w:after="0" w:line="252" w:lineRule="auto"/>
        <w:rPr>
          <w:sz w:val="20"/>
          <w:szCs w:val="20"/>
          <w:color w:val="auto"/>
        </w:rPr>
      </w:pPr>
      <w:r>
        <w:rPr>
          <w:rFonts w:ascii="Times New Roman" w:cs="Times New Roman" w:eastAsia="Times New Roman" w:hAnsi="Times New Roman"/>
          <w:sz w:val="20"/>
          <w:szCs w:val="20"/>
          <w:color w:val="auto"/>
        </w:rPr>
        <w:t>corporations, 401(k) plans, self-directed individual retirement accounts (‘‘IRAs’’), simplified employee pensions plans, employee stock ownership plans (‘‘ESOPs’’), defined benefit plans, profit-sharing plans, Keoghs and managed IRAs. Our trust department had $411 million of assets under management at December 31, 2022, and contributed $2.4 million of fee income for the year ended December 31, 2022.</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Services</w:t>
      </w:r>
    </w:p>
    <w:p>
      <w:pPr>
        <w:spacing w:after="0" w:line="127"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the year ended December 31, 2022 was $1.8 million with $509.3 million in assets under management at December 31, 2022.</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7</w:t>
      </w:r>
    </w:p>
    <w:p>
      <w:pPr>
        <w:sectPr>
          <w:pgSz w:w="12060" w:h="15667" w:orient="portrait"/>
          <w:cols w:equalWidth="0" w:num="1">
            <w:col w:w="9227"/>
          </w:cols>
          <w:pgMar w:left="1400" w:top="912" w:right="1440" w:bottom="204" w:gutter="0" w:footer="0" w:header="0"/>
          <w:type w:val="continuous"/>
        </w:sectPr>
      </w:pPr>
    </w:p>
    <w:bookmarkStart w:id="20" w:name="page21"/>
    <w:bookmarkEnd w:id="20"/>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SUPERVISION AND REGULATION</w:t>
      </w:r>
    </w:p>
    <w:p>
      <w:pPr>
        <w:spacing w:after="0" w:line="119"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2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3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40"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Capital Requirements</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The risk-based guidelines apply on a consolidated basis to bank holding companies with consolidated assets of $3 billion or more, such as the Company, or with a material amount of equity securities outstanding that are registered with the SEC. The federal banking agencies may change existing capital guidelines or adopt new capital guidelines in the future and often expect high growth or acquisitive bank holding companies to maintain capital positions substantially above the minimum supervisory levels. In addition, the federal banking agencies have required many banks and bank holding companies subject to enforcement actions to maintain capital ratios in excess of the minimum ratios otherwise required to be deemed ‘‘well-capitalized’’ and have subjected such institutions to restrictions on various activities, including a bank’s ability to accept or renew brokered deposits.</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8</w:t>
      </w:r>
    </w:p>
    <w:p>
      <w:pPr>
        <w:sectPr>
          <w:pgSz w:w="12060" w:h="15667" w:orient="portrait"/>
          <w:cols w:equalWidth="0" w:num="1">
            <w:col w:w="9227"/>
          </w:cols>
          <w:pgMar w:left="1400" w:top="900" w:right="1440" w:bottom="203" w:gutter="0" w:footer="0" w:header="0"/>
          <w:type w:val="continuous"/>
        </w:sectPr>
      </w:pPr>
    </w:p>
    <w:bookmarkStart w:id="21" w:name="page22"/>
    <w:bookmarkEnd w:id="21"/>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38" w:lineRule="exact"/>
        <w:rPr>
          <w:sz w:val="20"/>
          <w:szCs w:val="20"/>
          <w:color w:val="auto"/>
        </w:rPr>
      </w:pPr>
    </w:p>
    <w:p>
      <w:pPr>
        <w:jc w:val="both"/>
        <w:ind w:right="7" w:firstLine="394"/>
        <w:spacing w:after="0" w:line="256" w:lineRule="auto"/>
        <w:rPr>
          <w:sz w:val="20"/>
          <w:szCs w:val="20"/>
          <w:color w:val="auto"/>
        </w:rPr>
      </w:pPr>
      <w:r>
        <w:rPr>
          <w:rFonts w:ascii="Times New Roman" w:cs="Times New Roman" w:eastAsia="Times New Roman" w:hAnsi="Times New Roman"/>
          <w:sz w:val="20"/>
          <w:szCs w:val="20"/>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134"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Basel III minimum capital ratios are summarized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Basel III</w:t>
            </w:r>
          </w:p>
        </w:tc>
      </w:tr>
      <w:tr>
        <w:trPr>
          <w:trHeight w:val="177"/>
        </w:trPr>
        <w:tc>
          <w:tcPr>
            <w:tcW w:w="6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Minimum</w:t>
            </w:r>
          </w:p>
        </w:tc>
        <w:tc>
          <w:tcPr>
            <w:tcW w:w="100" w:type="dxa"/>
            <w:vAlign w:val="bottom"/>
          </w:tcPr>
          <w:p>
            <w:pPr>
              <w:spacing w:after="0"/>
              <w:rPr>
                <w:sz w:val="15"/>
                <w:szCs w:val="15"/>
                <w:color w:val="auto"/>
              </w:rPr>
            </w:pPr>
          </w:p>
        </w:tc>
        <w:tc>
          <w:tcPr>
            <w:tcW w:w="9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5"/>
                <w:szCs w:val="15"/>
                <w:color w:val="auto"/>
              </w:rPr>
            </w:pPr>
          </w:p>
        </w:tc>
        <w:tc>
          <w:tcPr>
            <w:tcW w:w="9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Ratio with</w:t>
            </w:r>
          </w:p>
        </w:tc>
      </w:tr>
      <w:tr>
        <w:trPr>
          <w:trHeight w:val="177"/>
        </w:trPr>
        <w:tc>
          <w:tcPr>
            <w:tcW w:w="6240" w:type="dxa"/>
            <w:vAlign w:val="bottom"/>
          </w:tcPr>
          <w:p>
            <w:pPr>
              <w:spacing w:after="0"/>
              <w:rPr>
                <w:sz w:val="15"/>
                <w:szCs w:val="15"/>
                <w:color w:val="auto"/>
              </w:rPr>
            </w:pPr>
          </w:p>
        </w:tc>
        <w:tc>
          <w:tcPr>
            <w:tcW w:w="92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for Capital</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5"/>
                <w:szCs w:val="15"/>
                <w:color w:val="auto"/>
              </w:rPr>
            </w:pPr>
          </w:p>
        </w:tc>
        <w:tc>
          <w:tcPr>
            <w:tcW w:w="9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Capital</w:t>
            </w:r>
          </w:p>
        </w:tc>
      </w:tr>
      <w:tr>
        <w:trPr>
          <w:trHeight w:val="177"/>
        </w:trPr>
        <w:tc>
          <w:tcPr>
            <w:tcW w:w="6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Adequacy</w:t>
            </w:r>
          </w:p>
        </w:tc>
        <w:tc>
          <w:tcPr>
            <w:tcW w:w="108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Conservation</w:t>
            </w:r>
          </w:p>
        </w:tc>
        <w:tc>
          <w:tcPr>
            <w:tcW w:w="98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Conservation</w:t>
            </w:r>
          </w:p>
        </w:tc>
      </w:tr>
      <w:tr>
        <w:trPr>
          <w:trHeight w:val="183"/>
        </w:trPr>
        <w:tc>
          <w:tcPr>
            <w:tcW w:w="6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Purposes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Buffer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Buffer</w:t>
            </w:r>
          </w:p>
        </w:tc>
      </w:tr>
      <w:tr>
        <w:trPr>
          <w:trHeight w:val="286"/>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Total risk based capital (total capital to risk-weighted assets)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80" w:type="dxa"/>
            <w:vAlign w:val="bottom"/>
          </w:tcPr>
          <w:p>
            <w:pPr>
              <w:spacing w:after="0"/>
              <w:rPr>
                <w:sz w:val="24"/>
                <w:szCs w:val="24"/>
                <w:color w:val="auto"/>
              </w:rPr>
            </w:pP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10.50%</w:t>
            </w:r>
          </w:p>
        </w:tc>
      </w:tr>
      <w:tr>
        <w:trPr>
          <w:trHeight w:val="251"/>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Tier 1 risk based capital (Tier 1 to risk-weighted assets)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tcPr>
          <w:p>
            <w:pPr>
              <w:spacing w:after="0"/>
              <w:rPr>
                <w:sz w:val="21"/>
                <w:szCs w:val="21"/>
                <w:color w:val="auto"/>
              </w:rPr>
            </w:pP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8.50%</w:t>
            </w:r>
          </w:p>
        </w:tc>
      </w:tr>
      <w:tr>
        <w:trPr>
          <w:trHeight w:val="251"/>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Common equity Tier 1 risk based capital (CET1 to risk-weighted assets)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80" w:type="dxa"/>
            <w:vAlign w:val="bottom"/>
          </w:tcPr>
          <w:p>
            <w:pPr>
              <w:spacing w:after="0"/>
              <w:rPr>
                <w:sz w:val="21"/>
                <w:szCs w:val="21"/>
                <w:color w:val="auto"/>
              </w:rPr>
            </w:pP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20"/>
                <w:szCs w:val="20"/>
                <w:color w:val="auto"/>
              </w:rPr>
              <w:t>2.50%</w:t>
            </w: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7.00%</w:t>
            </w:r>
          </w:p>
        </w:tc>
      </w:tr>
      <w:tr>
        <w:trPr>
          <w:trHeight w:val="251"/>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Tier 1 leverage ratio (Tier 1 to average assets)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r>
    </w:tbl>
    <w:p>
      <w:pPr>
        <w:spacing w:after="0" w:line="162"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91" w:lineRule="exact"/>
        <w:rPr>
          <w:sz w:val="20"/>
          <w:szCs w:val="20"/>
          <w:color w:val="auto"/>
        </w:rPr>
      </w:pPr>
    </w:p>
    <w:p>
      <w:pPr>
        <w:jc w:val="both"/>
        <w:ind w:left="800" w:right="7" w:hanging="400"/>
        <w:spacing w:after="0" w:line="235"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assigning exposures secured by single-family residential properties to either a 50% risk weight for first-lien mortgages that meet prudent underwriting standards or a 100% risk weight category for all other mortgages;</w:t>
      </w:r>
    </w:p>
    <w:p>
      <w:pPr>
        <w:spacing w:after="0" w:line="97"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providing for a 20% credit conversion factor for the unused portion of a commitment with an original maturity of one year or less that is not unconditionally cancellable (increased from 0% under the previous risk-based capital rules);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9</w:t>
      </w:r>
    </w:p>
    <w:p>
      <w:pPr>
        <w:sectPr>
          <w:pgSz w:w="12060" w:h="15667" w:orient="portrait"/>
          <w:cols w:equalWidth="0" w:num="1">
            <w:col w:w="9227"/>
          </w:cols>
          <w:pgMar w:left="1400" w:top="912" w:right="1440" w:bottom="204" w:gutter="0" w:footer="0" w:header="0"/>
          <w:type w:val="continuous"/>
        </w:sectPr>
      </w:pPr>
    </w:p>
    <w:bookmarkStart w:id="22" w:name="page23"/>
    <w:bookmarkEnd w:id="22"/>
    <w:p>
      <w:pPr>
        <w:jc w:val="both"/>
        <w:ind w:left="800" w:right="7" w:hanging="400"/>
        <w:spacing w:after="0" w:line="237" w:lineRule="auto"/>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01"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applying a 150% risk weight instead of a 100% risk weight for certain high-volatility commercial real estate, or HVCRE, loans, or acquisition, development, and construction, or ADC, loans; and</w:t>
      </w:r>
    </w:p>
    <w:p>
      <w:pPr>
        <w:spacing w:after="0" w:line="98"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137"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color w:val="auto"/>
        </w:rPr>
        <w:t>As of December 31, 2022, the Company’s and the Bank’s capital ratios exceeded the minimum capital adequacy guideline percentage requirements under the Basel III Capital Rules on a fully phased-in basis.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Community Bank Leverage Ratio</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w:t>
      </w:r>
    </w:p>
    <w:p>
      <w:pPr>
        <w:spacing w:after="0" w:line="140"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color w:val="auto"/>
        </w:rPr>
        <w:t>A QCBO, is defined as a bank, savings association, bank holding company or savings and loan holding company with:</w:t>
      </w:r>
    </w:p>
    <w:p>
      <w:pPr>
        <w:spacing w:after="0" w:line="72" w:lineRule="exact"/>
        <w:rPr>
          <w:sz w:val="20"/>
          <w:szCs w:val="20"/>
          <w:color w:val="auto"/>
        </w:rPr>
      </w:pPr>
    </w:p>
    <w:p>
      <w:pPr>
        <w:ind w:left="800" w:hanging="400"/>
        <w:spacing w:after="0"/>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a CBLR of greater than 9%;</w:t>
      </w:r>
    </w:p>
    <w:p>
      <w:pPr>
        <w:spacing w:after="0" w:line="70" w:lineRule="exact"/>
        <w:rPr>
          <w:rFonts w:ascii="Symbol" w:cs="Symbol" w:eastAsia="Symbol" w:hAnsi="Symbol"/>
          <w:sz w:val="20"/>
          <w:szCs w:val="20"/>
          <w:color w:val="auto"/>
        </w:rPr>
      </w:pPr>
    </w:p>
    <w:p>
      <w:pPr>
        <w:ind w:left="800" w:hanging="400"/>
        <w:spacing w:after="0"/>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total consolidated assets of less than $10 billion;</w:t>
      </w:r>
    </w:p>
    <w:p>
      <w:pPr>
        <w:spacing w:after="0" w:line="9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total off-balance sheet exposures (excluding derivatives other than credit derivatives and unconditionally cancelable commitments) of 25% or less of total consolidated assets;</w:t>
      </w:r>
    </w:p>
    <w:p>
      <w:pPr>
        <w:spacing w:after="0" w:line="71" w:lineRule="exact"/>
        <w:rPr>
          <w:rFonts w:ascii="Symbol" w:cs="Symbol" w:eastAsia="Symbol" w:hAnsi="Symbol"/>
          <w:sz w:val="20"/>
          <w:szCs w:val="20"/>
          <w:color w:val="auto"/>
        </w:rPr>
      </w:pPr>
    </w:p>
    <w:p>
      <w:pPr>
        <w:ind w:left="800" w:hanging="400"/>
        <w:spacing w:after="0"/>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total trading assets and trading liabilities of 5% or less of total consolidated assets; and</w:t>
      </w:r>
    </w:p>
    <w:p>
      <w:pPr>
        <w:spacing w:after="0" w:line="70" w:lineRule="exact"/>
        <w:rPr>
          <w:rFonts w:ascii="Symbol" w:cs="Symbol" w:eastAsia="Symbol" w:hAnsi="Symbol"/>
          <w:sz w:val="20"/>
          <w:szCs w:val="20"/>
          <w:color w:val="auto"/>
        </w:rPr>
      </w:pPr>
    </w:p>
    <w:p>
      <w:pPr>
        <w:ind w:left="800" w:hanging="400"/>
        <w:spacing w:after="0"/>
        <w:tabs>
          <w:tab w:leader="none" w:pos="80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non-advanced approaches institution.</w:t>
      </w:r>
    </w:p>
    <w:p>
      <w:pPr>
        <w:spacing w:after="0" w:line="13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The numerator of the CBLR is referred to as ‘‘CBLR tangible equity’’ and is calculated as the QCBO’s total capital as reported in compliance with the reporting instructions to the Call Report or the FR Y-9C, or Reporting Instructions (prior to including non-controlling interests in consolidated subsidiaries) less:</w:t>
      </w:r>
    </w:p>
    <w:p>
      <w:pPr>
        <w:spacing w:after="0" w:line="71" w:lineRule="exact"/>
        <w:rPr>
          <w:sz w:val="20"/>
          <w:szCs w:val="20"/>
          <w:color w:val="auto"/>
        </w:rPr>
      </w:pPr>
    </w:p>
    <w:p>
      <w:pPr>
        <w:ind w:left="800" w:hanging="400"/>
        <w:spacing w:after="0"/>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Accumulated other comprehensive income, or AOCI;</w:t>
      </w:r>
    </w:p>
    <w:p>
      <w:pPr>
        <w:spacing w:after="0" w:line="97"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Intangible assets, calculated in accordance with Reporting Instructions, other than mortgage servicing assets; and</w:t>
      </w:r>
    </w:p>
    <w:p>
      <w:pPr>
        <w:spacing w:after="0" w:line="98" w:lineRule="exact"/>
        <w:rPr>
          <w:rFonts w:ascii="Symbol" w:cs="Symbol" w:eastAsia="Symbol" w:hAnsi="Symbol"/>
          <w:sz w:val="20"/>
          <w:szCs w:val="20"/>
          <w:color w:val="auto"/>
        </w:rPr>
      </w:pPr>
    </w:p>
    <w:p>
      <w:pPr>
        <w:ind w:left="800" w:right="7" w:hanging="400"/>
        <w:spacing w:after="0" w:line="229" w:lineRule="auto"/>
        <w:tabs>
          <w:tab w:leader="none" w:pos="80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Deferred tax assets that arise from net operating loss and tax credit carry forwards net of any related valuations allowances.</w:t>
      </w:r>
    </w:p>
    <w:p>
      <w:pPr>
        <w:spacing w:after="0" w:line="138"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The denominator of the CBLR is the QCBO’s average assets, calculated in accordance with Reporting Instructions and less intangible assets and deferred tax assets deducted from CBLR tangible equity.</w:t>
      </w:r>
    </w:p>
    <w:p>
      <w:pPr>
        <w:spacing w:after="0" w:line="13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Although the Company and the Bank are QCBOs, the Company and the Bank have currently not elected to opt in to the CBLR framework at this time and will continue to follow the capital requirements under the Basel III Capital Rules as described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Prompt Corrective Action</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10</w:t>
      </w:r>
    </w:p>
    <w:p>
      <w:pPr>
        <w:sectPr>
          <w:pgSz w:w="12060" w:h="15667" w:orient="portrait"/>
          <w:cols w:equalWidth="0" w:num="1">
            <w:col w:w="9227"/>
          </w:cols>
          <w:pgMar w:left="1400" w:top="912" w:right="1440" w:bottom="204" w:gutter="0" w:footer="0" w:header="0"/>
          <w:type w:val="continuous"/>
        </w:sectPr>
      </w:pPr>
    </w:p>
    <w:bookmarkStart w:id="23" w:name="page24"/>
    <w:bookmarkEnd w:id="23"/>
    <w:p>
      <w:pPr>
        <w:jc w:val="both"/>
        <w:ind w:right="7"/>
        <w:spacing w:after="0" w:line="259" w:lineRule="auto"/>
        <w:rPr>
          <w:sz w:val="20"/>
          <w:szCs w:val="20"/>
          <w:color w:val="auto"/>
        </w:rPr>
      </w:pPr>
      <w:r>
        <w:rPr>
          <w:rFonts w:ascii="Times New Roman" w:cs="Times New Roman" w:eastAsia="Times New Roman" w:hAnsi="Times New Roman"/>
          <w:sz w:val="19"/>
          <w:szCs w:val="19"/>
          <w:color w:val="auto"/>
        </w:rPr>
        <w:t>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w:t>
      </w:r>
    </w:p>
    <w:p>
      <w:pPr>
        <w:spacing w:after="0" w:line="3" w:lineRule="exact"/>
        <w:rPr>
          <w:sz w:val="20"/>
          <w:szCs w:val="20"/>
          <w:color w:val="auto"/>
        </w:rPr>
      </w:pPr>
    </w:p>
    <w:p>
      <w:pPr>
        <w:jc w:val="both"/>
        <w:ind w:right="7" w:firstLine="5"/>
        <w:spacing w:after="0"/>
        <w:tabs>
          <w:tab w:leader="none" w:pos="24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spacing w:after="0" w:line="138"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35"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34"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13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As of December 31, 2022, the Bank met the requirements for being deemed ‘‘well-capitalized’’ for purposes of the prompt corrective action regulations.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Enforcement Powers of Federal and State Banking Agencies</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113"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General. </w:t>
      </w:r>
      <w:r>
        <w:rPr>
          <w:rFonts w:ascii="Times New Roman" w:cs="Times New Roman" w:eastAsia="Times New Roman" w:hAnsi="Times New Roman"/>
          <w:sz w:val="19"/>
          <w:szCs w:val="19"/>
          <w:color w:val="auto"/>
        </w:rPr>
        <w:t>As a bank holding company, the Company is subject to regulation and supervision by the Federal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Reserve under the 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117" w:lineRule="exact"/>
        <w:rPr>
          <w:sz w:val="20"/>
          <w:szCs w:val="20"/>
          <w:color w:val="auto"/>
        </w:rPr>
      </w:pPr>
    </w:p>
    <w:p>
      <w:pPr>
        <w:jc w:val="both"/>
        <w:ind w:right="7" w:firstLine="394"/>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Acquisitions, Activities and Change in Control. </w:t>
      </w:r>
      <w:r>
        <w:rPr>
          <w:rFonts w:ascii="Times New Roman" w:cs="Times New Roman" w:eastAsia="Times New Roman" w:hAnsi="Times New Roman"/>
          <w:sz w:val="19"/>
          <w:szCs w:val="19"/>
          <w:color w:val="auto"/>
        </w:rPr>
        <w:t>The BHCA generally requires the prior approval by the Federal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Reserve for any merger involving a bank holding company or a bank holding company’s acquisition of more than</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11</w:t>
      </w:r>
    </w:p>
    <w:p>
      <w:pPr>
        <w:sectPr>
          <w:pgSz w:w="12060" w:h="15667" w:orient="portrait"/>
          <w:cols w:equalWidth="0" w:num="1">
            <w:col w:w="9227"/>
          </w:cols>
          <w:pgMar w:left="1400" w:top="912" w:right="1440" w:bottom="203" w:gutter="0" w:footer="0" w:header="0"/>
          <w:type w:val="continuous"/>
        </w:sectPr>
      </w:pPr>
    </w:p>
    <w:bookmarkStart w:id="24" w:name="page25"/>
    <w:bookmarkEnd w:id="24"/>
    <w:p>
      <w:pPr>
        <w:jc w:val="both"/>
        <w:ind w:right="7"/>
        <w:spacing w:after="0" w:line="255" w:lineRule="auto"/>
        <w:rPr>
          <w:sz w:val="20"/>
          <w:szCs w:val="20"/>
          <w:color w:val="auto"/>
        </w:rPr>
      </w:pPr>
      <w:r>
        <w:rPr>
          <w:rFonts w:ascii="Times New Roman" w:cs="Times New Roman" w:eastAsia="Times New Roman" w:hAnsi="Times New Roman"/>
          <w:sz w:val="20"/>
          <w:szCs w:val="20"/>
          <w:color w:val="auto"/>
        </w:rPr>
        <w:t>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38" w:lineRule="exact"/>
        <w:rPr>
          <w:sz w:val="20"/>
          <w:szCs w:val="20"/>
          <w:color w:val="auto"/>
        </w:rPr>
      </w:pPr>
    </w:p>
    <w:p>
      <w:pPr>
        <w:jc w:val="both"/>
        <w:ind w:right="7" w:firstLine="394"/>
        <w:spacing w:after="0" w:line="262" w:lineRule="auto"/>
        <w:rPr>
          <w:sz w:val="20"/>
          <w:szCs w:val="20"/>
          <w:color w:val="auto"/>
        </w:rPr>
      </w:pPr>
      <w:r>
        <w:rPr>
          <w:rFonts w:ascii="Times New Roman" w:cs="Times New Roman" w:eastAsia="Times New Roman" w:hAnsi="Times New Roman"/>
          <w:sz w:val="19"/>
          <w:szCs w:val="19"/>
          <w:color w:val="auto"/>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The Federal Reserve’s regulations related to determinations of whether a company has ‘‘control’’ over another company, including a bank holding company or a bank, for purposes of the BHCA, include a tiered system of non-control presumptions based upon the percentage of any class of voting securities held by an acquirer and the presence of other indicia of control. The four categories of tiered presumptions of non-control, based upon the percentage of ownership of any class of voting securities held by an acquirer, are (i) less than 5%, (ii) 5% to 9.99%, (iii) 10% to 14.99%, and (iv) 15% to 24.99%. These regulations provide greater transparency with respect to the total level of equity, representative directors, management interlocks, limiting contractual provisions and business relationships that would be permissible to the Federal Reserve in order to avoid a determination of control. These regulations apply to control determinations under the BHCA, but do not apply to the Change in Bank Control Act, as amended (the ‘‘CIBC Act’’).</w:t>
      </w:r>
    </w:p>
    <w:p>
      <w:pPr>
        <w:spacing w:after="0" w:line="121"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CIBC Act and the related regulations of the Federal Reserve generally provide that a person, which includes a natural person or entity, directly or indirectly, has ‘‘control’’ of a bank or bank holding company if it (i) owns, controls, or has the power to vote 25% or more of the voting securities of the bank or bank holding company,</w:t>
      </w:r>
    </w:p>
    <w:p>
      <w:pPr>
        <w:spacing w:after="0" w:line="2" w:lineRule="exact"/>
        <w:rPr>
          <w:sz w:val="20"/>
          <w:szCs w:val="20"/>
          <w:color w:val="auto"/>
        </w:rPr>
      </w:pPr>
    </w:p>
    <w:p>
      <w:pPr>
        <w:jc w:val="both"/>
        <w:ind w:right="7" w:firstLine="5"/>
        <w:spacing w:after="0" w:line="245" w:lineRule="auto"/>
        <w:tabs>
          <w:tab w:leader="none" w:pos="28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spacing w:after="0" w:line="133"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Permissible Activities. </w:t>
      </w:r>
      <w:r>
        <w:rPr>
          <w:rFonts w:ascii="Times New Roman" w:cs="Times New Roman" w:eastAsia="Times New Roman" w:hAnsi="Times New Roman"/>
          <w:sz w:val="19"/>
          <w:szCs w:val="19"/>
          <w:color w:val="auto"/>
        </w:rPr>
        <w:t>The BHCA and the implementing regulations of the Federal Reserve generally prohibit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12</w:t>
      </w:r>
    </w:p>
    <w:p>
      <w:pPr>
        <w:sectPr>
          <w:pgSz w:w="12060" w:h="15667" w:orient="portrait"/>
          <w:cols w:equalWidth="0" w:num="1">
            <w:col w:w="9227"/>
          </w:cols>
          <w:pgMar w:left="1400" w:top="912" w:right="1440" w:bottom="203" w:gutter="0" w:footer="0" w:header="0"/>
          <w:type w:val="continuous"/>
        </w:sectPr>
      </w:pPr>
    </w:p>
    <w:bookmarkStart w:id="25" w:name="page26"/>
    <w:bookmarkEnd w:id="25"/>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139"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32" w:lineRule="exact"/>
        <w:rPr>
          <w:sz w:val="20"/>
          <w:szCs w:val="20"/>
          <w:color w:val="auto"/>
        </w:rPr>
      </w:pPr>
    </w:p>
    <w:p>
      <w:pPr>
        <w:jc w:val="both"/>
        <w:ind w:right="7" w:firstLine="394"/>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Source of Strength. </w:t>
      </w:r>
      <w:r>
        <w:rPr>
          <w:rFonts w:ascii="Times New Roman" w:cs="Times New Roman" w:eastAsia="Times New Roman" w:hAnsi="Times New Roman"/>
          <w:sz w:val="20"/>
          <w:szCs w:val="20"/>
          <w:color w:val="auto"/>
        </w:rPr>
        <w:t>Federal Reserve policy historically required bank holding companies to act as a source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financial and 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133" w:lineRule="exact"/>
        <w:rPr>
          <w:sz w:val="20"/>
          <w:szCs w:val="20"/>
          <w:color w:val="auto"/>
        </w:rPr>
      </w:pPr>
    </w:p>
    <w:p>
      <w:pPr>
        <w:jc w:val="both"/>
        <w:ind w:right="7" w:firstLine="394"/>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Imposition of Liability for Undercapitalized Subsidiaries. </w:t>
      </w:r>
      <w:r>
        <w:rPr>
          <w:rFonts w:ascii="Times New Roman" w:cs="Times New Roman" w:eastAsia="Times New Roman" w:hAnsi="Times New Roman"/>
          <w:sz w:val="19"/>
          <w:szCs w:val="19"/>
          <w:color w:val="auto"/>
        </w:rPr>
        <w:t>Bank regulators are required to take ‘‘prompt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corrective action’’ to resolve problems associated with insured depository institutions whose capital declines below certain levels. In the event an institution becomes ‘‘undercapitalized,’’ it must submit a capital restoration plan to its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13</w:t>
      </w:r>
    </w:p>
    <w:p>
      <w:pPr>
        <w:sectPr>
          <w:pgSz w:w="12060" w:h="15667" w:orient="portrait"/>
          <w:cols w:equalWidth="0" w:num="1">
            <w:col w:w="9227"/>
          </w:cols>
          <w:pgMar w:left="1400" w:top="912" w:right="1440" w:bottom="204" w:gutter="0" w:footer="0" w:header="0"/>
          <w:type w:val="continuous"/>
        </w:sectPr>
      </w:pPr>
    </w:p>
    <w:bookmarkStart w:id="26" w:name="page27"/>
    <w:bookmarkEnd w:id="26"/>
    <w:p>
      <w:pPr>
        <w:jc w:val="both"/>
        <w:ind w:right="7"/>
        <w:spacing w:after="0" w:line="252" w:lineRule="auto"/>
        <w:rPr>
          <w:sz w:val="20"/>
          <w:szCs w:val="20"/>
          <w:color w:val="auto"/>
        </w:rPr>
      </w:pPr>
      <w:r>
        <w:rPr>
          <w:rFonts w:ascii="Times New Roman" w:cs="Times New Roman" w:eastAsia="Times New Roman" w:hAnsi="Times New Roman"/>
          <w:sz w:val="20"/>
          <w:szCs w:val="20"/>
          <w:color w:val="auto"/>
        </w:rPr>
        <w:t>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11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 and Sound Banking Practices. </w:t>
      </w:r>
      <w:r>
        <w:rPr>
          <w:rFonts w:ascii="Times New Roman" w:cs="Times New Roman" w:eastAsia="Times New Roman" w:hAnsi="Times New Roman"/>
          <w:sz w:val="20"/>
          <w:szCs w:val="20"/>
          <w:color w:val="auto"/>
        </w:rPr>
        <w:t>Bank holding companies and their non-banking subsidiaries are prohibited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34" w:lineRule="exact"/>
        <w:rPr>
          <w:sz w:val="20"/>
          <w:szCs w:val="20"/>
          <w:color w:val="auto"/>
        </w:rPr>
      </w:pPr>
    </w:p>
    <w:p>
      <w:pPr>
        <w:jc w:val="both"/>
        <w:ind w:right="7" w:firstLine="394"/>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 xml:space="preserve">Tie in Arrangements. </w:t>
      </w:r>
      <w:r>
        <w:rPr>
          <w:rFonts w:ascii="Times New Roman" w:cs="Times New Roman" w:eastAsia="Times New Roman" w:hAnsi="Times New Roman"/>
          <w:sz w:val="19"/>
          <w:szCs w:val="19"/>
          <w:color w:val="auto"/>
        </w:rPr>
        <w:t>Federal law prohibits bank holding companies and any subsidiary banks from engaging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certain tie in 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112"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Dividend Payments, Stock Redemptions and Repurchases. </w:t>
      </w:r>
      <w:r>
        <w:rPr>
          <w:rFonts w:ascii="Times New Roman" w:cs="Times New Roman" w:eastAsia="Times New Roman" w:hAnsi="Times New Roman"/>
          <w:sz w:val="20"/>
          <w:szCs w:val="20"/>
          <w:color w:val="auto"/>
        </w:rPr>
        <w:t>The Company’s ability to pay dividends to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shareholders is 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136"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35"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14</w:t>
      </w:r>
    </w:p>
    <w:p>
      <w:pPr>
        <w:sectPr>
          <w:pgSz w:w="12060" w:h="15667" w:orient="portrait"/>
          <w:cols w:equalWidth="0" w:num="1">
            <w:col w:w="9227"/>
          </w:cols>
          <w:pgMar w:left="1400" w:top="912" w:right="1440" w:bottom="203"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The Bank</w:t>
      </w:r>
    </w:p>
    <w:p>
      <w:pPr>
        <w:spacing w:after="0" w:line="123"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City Bank is a Texas banking association and is subject to supervision, regulation and examination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TDB and the FDIC. City Bank is 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134" w:lineRule="exact"/>
        <w:rPr>
          <w:sz w:val="20"/>
          <w:szCs w:val="20"/>
          <w:color w:val="auto"/>
        </w:rPr>
      </w:pPr>
    </w:p>
    <w:p>
      <w:pPr>
        <w:jc w:val="both"/>
        <w:ind w:right="7" w:firstLine="394"/>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Depositor Preference. </w:t>
      </w:r>
      <w:r>
        <w:rPr>
          <w:rFonts w:ascii="Times New Roman" w:cs="Times New Roman" w:eastAsia="Times New Roman" w:hAnsi="Times New Roman"/>
          <w:sz w:val="19"/>
          <w:szCs w:val="19"/>
          <w:color w:val="auto"/>
        </w:rPr>
        <w:t>In the event of the ‘‘liquidation or other resolution’’ of an insured depository institution,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16" w:lineRule="exact"/>
        <w:rPr>
          <w:sz w:val="20"/>
          <w:szCs w:val="20"/>
          <w:color w:val="auto"/>
        </w:rPr>
      </w:pPr>
    </w:p>
    <w:p>
      <w:pPr>
        <w:jc w:val="both"/>
        <w:ind w:right="7" w:firstLine="394"/>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Brokered Deposit Restrictions. </w:t>
      </w:r>
      <w:r>
        <w:rPr>
          <w:rFonts w:ascii="Times New Roman" w:cs="Times New Roman" w:eastAsia="Times New Roman" w:hAnsi="Times New Roman"/>
          <w:sz w:val="19"/>
          <w:szCs w:val="19"/>
          <w:color w:val="auto"/>
        </w:rPr>
        <w:t>Well-capitalized institutions are not subject to limitations on brokered deposits,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while 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2022, the Bank was eligible to accept brokered deposits without a waiver from the FDIC as the Bank was a well-capitalized institution.</w:t>
      </w:r>
    </w:p>
    <w:p>
      <w:pPr>
        <w:spacing w:after="0" w:line="11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Deposit Insurance. </w:t>
      </w:r>
      <w:r>
        <w:rPr>
          <w:rFonts w:ascii="Times New Roman" w:cs="Times New Roman" w:eastAsia="Times New Roman" w:hAnsi="Times New Roman"/>
          <w:sz w:val="20"/>
          <w:szCs w:val="20"/>
          <w:color w:val="auto"/>
        </w:rPr>
        <w:t>As an FDIC-insured institution, the Bank is required to pay deposit insurance premiums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FDIC. The 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40"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On October 18, 2022, the FDIC adopted a final rule applicable to all insured depository institutions increasing initial base deposit insurance assessment rate schedules by 2 basis points, beginning in the first quarterly assessment period of 2023. The FDIC also issued a notice maintaining a DIF reserve ratio of 2.0% for 2023. The increase in assessment rate schedules is intended to increase the likelihood that the DIF reserve ratio reaches the statutory minimum of 1.35% by September 30, 2028, the statutory deadline set by the Dodd-Frank Act. The new assessment rate schedules will remain in effect unless and until the DIF reserve ratio meets or exceeds 2.0% in order to support growth in the DIF in progressing toward the FDIC’s long-term goal of a 2.0% designated reserve ratio for the DIF. FDIC staff may in the future recommend additional assessment rate adjustments if deemed necessary.</w:t>
      </w:r>
    </w:p>
    <w:p>
      <w:pPr>
        <w:spacing w:after="0" w:line="132"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2022, the Bank paid $1,199,000 in FDIC deposit insurance premiums.</w:t>
      </w:r>
    </w:p>
    <w:p>
      <w:pPr>
        <w:spacing w:after="0" w:line="133"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Audit Reports. </w:t>
      </w:r>
      <w:r>
        <w:rPr>
          <w:rFonts w:ascii="Times New Roman" w:cs="Times New Roman" w:eastAsia="Times New Roman" w:hAnsi="Times New Roman"/>
          <w:sz w:val="19"/>
          <w:szCs w:val="19"/>
          <w:color w:val="auto"/>
        </w:rPr>
        <w:t>For insured institutions with total assets of $1.0 billion or more, financial statements prepared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accordance with generally accepted 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15</w:t>
      </w:r>
    </w:p>
    <w:p>
      <w:pPr>
        <w:sectPr>
          <w:pgSz w:w="12060" w:h="15667" w:orient="portrait"/>
          <w:cols w:equalWidth="0" w:num="1">
            <w:col w:w="9227"/>
          </w:cols>
          <w:pgMar w:left="1400" w:top="900" w:right="1440" w:bottom="203" w:gutter="0" w:footer="0" w:header="0"/>
          <w:type w:val="continuous"/>
        </w:sectPr>
      </w:pPr>
    </w:p>
    <w:bookmarkStart w:id="28" w:name="page29"/>
    <w:bookmarkEnd w:id="28"/>
    <w:p>
      <w:pPr>
        <w:jc w:val="both"/>
        <w:ind w:right="7"/>
        <w:spacing w:after="0" w:line="250" w:lineRule="auto"/>
        <w:rPr>
          <w:sz w:val="20"/>
          <w:szCs w:val="20"/>
          <w:color w:val="auto"/>
        </w:rPr>
      </w:pPr>
      <w:r>
        <w:rPr>
          <w:rFonts w:ascii="Times New Roman" w:cs="Times New Roman" w:eastAsia="Times New Roman" w:hAnsi="Times New Roman"/>
          <w:sz w:val="20"/>
          <w:szCs w:val="20"/>
          <w:color w:val="auto"/>
        </w:rPr>
        <w:t>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35"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Examination Assessments. </w:t>
      </w:r>
      <w:r>
        <w:rPr>
          <w:rFonts w:ascii="Times New Roman" w:cs="Times New Roman" w:eastAsia="Times New Roman" w:hAnsi="Times New Roman"/>
          <w:sz w:val="20"/>
          <w:szCs w:val="20"/>
          <w:color w:val="auto"/>
        </w:rPr>
        <w:t>Texas-chartered banks are required to pay an annual assessment fee to the TDB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 its operations. The fee is based on the amount of the bank’s assets at rates established by the Finance Commission of Texas. During the year ended December 31, 2022, the Bank paid examination assessments to the TDB totaling $261,000.</w:t>
      </w:r>
    </w:p>
    <w:p>
      <w:pPr>
        <w:spacing w:after="0" w:line="130" w:lineRule="exact"/>
        <w:rPr>
          <w:sz w:val="20"/>
          <w:szCs w:val="20"/>
          <w:color w:val="auto"/>
        </w:rPr>
      </w:pPr>
    </w:p>
    <w:p>
      <w:pPr>
        <w:jc w:val="both"/>
        <w:ind w:right="7" w:firstLine="394"/>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Requirements. </w:t>
      </w:r>
      <w:r>
        <w:rPr>
          <w:rFonts w:ascii="Times New Roman" w:cs="Times New Roman" w:eastAsia="Times New Roman" w:hAnsi="Times New Roman"/>
          <w:sz w:val="20"/>
          <w:szCs w:val="20"/>
          <w:color w:val="auto"/>
        </w:rPr>
        <w:t>Banks are generally required to maintain minimum capital ratios. For a discussion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capital requirements applicable to the Bank, see ‘‘Regulatory Capital Requirements’’ above.</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Bank Reserves. </w:t>
      </w:r>
      <w:r>
        <w:rPr>
          <w:rFonts w:ascii="Times New Roman" w:cs="Times New Roman" w:eastAsia="Times New Roman" w:hAnsi="Times New Roman"/>
          <w:sz w:val="20"/>
          <w:szCs w:val="20"/>
          <w:color w:val="auto"/>
        </w:rPr>
        <w:t>The Federal Reserve requires all depository institutions to maintain reserves against some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accounts (primarily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133"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Liquidity Requirements. </w:t>
      </w:r>
      <w:r>
        <w:rPr>
          <w:rFonts w:ascii="Times New Roman" w:cs="Times New Roman" w:eastAsia="Times New Roman" w:hAnsi="Times New Roman"/>
          <w:sz w:val="20"/>
          <w:szCs w:val="20"/>
          <w:color w:val="auto"/>
        </w:rPr>
        <w:t>Historically, regulation and monitoring of bank and bank holding company liquidity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has been 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130"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134"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Dividend Payments. </w:t>
      </w:r>
      <w:r>
        <w:rPr>
          <w:rFonts w:ascii="Times New Roman" w:cs="Times New Roman" w:eastAsia="Times New Roman" w:hAnsi="Times New Roman"/>
          <w:sz w:val="20"/>
          <w:szCs w:val="20"/>
          <w:color w:val="auto"/>
        </w:rPr>
        <w:t>The primary source of funds for the Company is dividends from the Bank. Unless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approval of the 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39"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2022.</w:t>
      </w:r>
    </w:p>
    <w:p>
      <w:pPr>
        <w:spacing w:after="0" w:line="132"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Transactions with Affiliates. </w:t>
      </w:r>
      <w:r>
        <w:rPr>
          <w:rFonts w:ascii="Times New Roman" w:cs="Times New Roman" w:eastAsia="Times New Roman" w:hAnsi="Times New Roman"/>
          <w:sz w:val="19"/>
          <w:szCs w:val="19"/>
          <w:color w:val="auto"/>
        </w:rPr>
        <w:t>The Bank is subject to sections 23A and 23B of the Federal Reserve Act,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Affiliates Act, 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16</w:t>
      </w:r>
    </w:p>
    <w:p>
      <w:pPr>
        <w:sectPr>
          <w:pgSz w:w="12060" w:h="15667" w:orient="portrait"/>
          <w:cols w:equalWidth="0" w:num="1">
            <w:col w:w="9227"/>
          </w:cols>
          <w:pgMar w:left="1400" w:top="912" w:right="1440" w:bottom="203" w:gutter="0" w:footer="0" w:header="0"/>
          <w:type w:val="continuous"/>
        </w:sectPr>
      </w:pPr>
    </w:p>
    <w:bookmarkStart w:id="29" w:name="page30"/>
    <w:bookmarkEnd w:id="29"/>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132"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Financial Subsidiaries. </w:t>
      </w:r>
      <w:r>
        <w:rPr>
          <w:rFonts w:ascii="Times New Roman" w:cs="Times New Roman" w:eastAsia="Times New Roman" w:hAnsi="Times New Roman"/>
          <w:sz w:val="20"/>
          <w:szCs w:val="20"/>
          <w:color w:val="auto"/>
        </w:rPr>
        <w:t>Under the Gramm-Leach-Bliley Act (‘‘GLBA’’), subject to certain conditions imposed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their respective banking regulators, 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2022, the Bank did not have any financial subsidiaries.</w:t>
      </w:r>
    </w:p>
    <w:p>
      <w:pPr>
        <w:spacing w:after="0" w:line="136" w:lineRule="exact"/>
        <w:rPr>
          <w:sz w:val="20"/>
          <w:szCs w:val="20"/>
          <w:color w:val="auto"/>
        </w:rPr>
      </w:pPr>
    </w:p>
    <w:p>
      <w:pPr>
        <w:jc w:val="both"/>
        <w:ind w:right="7" w:firstLine="394"/>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Loans to Directors, Executive Officers and Principal Shareholders. </w:t>
      </w:r>
      <w:r>
        <w:rPr>
          <w:rFonts w:ascii="Times New Roman" w:cs="Times New Roman" w:eastAsia="Times New Roman" w:hAnsi="Times New Roman"/>
          <w:sz w:val="20"/>
          <w:szCs w:val="20"/>
          <w:color w:val="auto"/>
        </w:rPr>
        <w:t>The authority of the Bank to extend credit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its directors, 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Furthermore, the Bank must periodically report all loans made to directors and other insiders to the bank regulators. As of December 31, 2022, the Bank’s total amount of lines of credit for loans to insiders and loans outstanding to insiders was $9.7 million.</w:t>
      </w:r>
    </w:p>
    <w:p>
      <w:pPr>
        <w:spacing w:after="0" w:line="130" w:lineRule="exact"/>
        <w:rPr>
          <w:sz w:val="20"/>
          <w:szCs w:val="20"/>
          <w:color w:val="auto"/>
        </w:rPr>
      </w:pPr>
    </w:p>
    <w:p>
      <w:pPr>
        <w:jc w:val="both"/>
        <w:ind w:right="7" w:firstLine="394"/>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Limits on Loans to One Borrower. </w:t>
      </w:r>
      <w:r>
        <w:rPr>
          <w:rFonts w:ascii="Times New Roman" w:cs="Times New Roman" w:eastAsia="Times New Roman" w:hAnsi="Times New Roman"/>
          <w:sz w:val="19"/>
          <w:szCs w:val="19"/>
          <w:color w:val="auto"/>
        </w:rPr>
        <w:t>As a Texas banking association, the Bank is subject to limits on the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loans it can 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$103.6 million as of December 31, 2022.</w:t>
      </w:r>
    </w:p>
    <w:p>
      <w:pPr>
        <w:spacing w:after="0" w:line="11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Safety and Soundness Standards / Risk Management. </w:t>
      </w:r>
      <w:r>
        <w:rPr>
          <w:rFonts w:ascii="Times New Roman" w:cs="Times New Roman" w:eastAsia="Times New Roman" w:hAnsi="Times New Roman"/>
          <w:sz w:val="20"/>
          <w:szCs w:val="20"/>
          <w:color w:val="auto"/>
        </w:rPr>
        <w:t>The federal banking agencies have adopted guidelines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3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17</w:t>
      </w:r>
    </w:p>
    <w:p>
      <w:pPr>
        <w:sectPr>
          <w:pgSz w:w="12060" w:h="15667" w:orient="portrait"/>
          <w:cols w:equalWidth="0" w:num="1">
            <w:col w:w="9227"/>
          </w:cols>
          <w:pgMar w:left="1400" w:top="912" w:right="1440" w:bottom="204" w:gutter="0" w:footer="0" w:header="0"/>
          <w:type w:val="continuous"/>
        </w:sectPr>
      </w:pPr>
    </w:p>
    <w:bookmarkStart w:id="30" w:name="page31"/>
    <w:bookmarkEnd w:id="30"/>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21"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Branching Authority. </w:t>
      </w:r>
      <w:r>
        <w:rPr>
          <w:rFonts w:ascii="Times New Roman" w:cs="Times New Roman" w:eastAsia="Times New Roman" w:hAnsi="Times New Roman"/>
          <w:sz w:val="20"/>
          <w:szCs w:val="20"/>
          <w:color w:val="auto"/>
        </w:rPr>
        <w:t>Deposit-taking banking offices must be approved by the FDIC and, if such office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established within 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132"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Interstate Deposit Restrictions. </w:t>
      </w:r>
      <w:r>
        <w:rPr>
          <w:rFonts w:ascii="Times New Roman" w:cs="Times New Roman" w:eastAsia="Times New Roman" w:hAnsi="Times New Roman"/>
          <w:sz w:val="20"/>
          <w:szCs w:val="20"/>
          <w:color w:val="auto"/>
        </w:rPr>
        <w:t>The Riegle-Neal Interstate Banking and Branching Efficiency Act of 1994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(‘‘Interstate Act’’), together with the Dodd-Frank Act, relaxed prior branching restrictions under federal law by permitting, subject to regulatory approval, banks to establish branches in states where the laws permit banks chartered in such states to establish branches.</w:t>
      </w:r>
    </w:p>
    <w:p>
      <w:pPr>
        <w:spacing w:after="0" w:line="134"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140"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For purposes of Section 109, the Bank’s home state is Texas and the Bank operates branches in one host state: New Mexico. The most recently published host state loan-to-deposit ratio using data as of June 30, 2021 reflects a statewide loan-to-deposit ratio in New Mexico of 56%. As of December 31, 2022, the Bank’s statewide loan-to-deposit ratio in New Mexico was 39%. Accordingly, management believes that the Bank is in compliance with Section 109 in New Mexico after application of the first step of the two-step test.</w:t>
      </w:r>
    </w:p>
    <w:p>
      <w:pPr>
        <w:spacing w:after="0" w:line="134"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Community Reinvestment Act. </w:t>
      </w:r>
      <w:r>
        <w:rPr>
          <w:rFonts w:ascii="Times New Roman" w:cs="Times New Roman" w:eastAsia="Times New Roman" w:hAnsi="Times New Roman"/>
          <w:sz w:val="20"/>
          <w:szCs w:val="20"/>
          <w:color w:val="auto"/>
        </w:rPr>
        <w:t>The CRA and the regulations issued thereunder are intended to encourage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38"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federal banking agencies have adopted regulations which measure a bank’s compliance with its CRA obligations on a performance based evaluation system. This system bases CRA ratings on an institution’s actual</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18</w:t>
      </w:r>
    </w:p>
    <w:p>
      <w:pPr>
        <w:sectPr>
          <w:pgSz w:w="12060" w:h="15667" w:orient="portrait"/>
          <w:cols w:equalWidth="0" w:num="1">
            <w:col w:w="9227"/>
          </w:cols>
          <w:pgMar w:left="1400" w:top="912" w:right="1440" w:bottom="204" w:gutter="0" w:footer="0" w:header="0"/>
          <w:type w:val="continuous"/>
        </w:sectPr>
      </w:pPr>
    </w:p>
    <w:bookmarkStart w:id="31" w:name="page32"/>
    <w:bookmarkEnd w:id="31"/>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38" w:lineRule="exact"/>
        <w:rPr>
          <w:sz w:val="20"/>
          <w:szCs w:val="20"/>
          <w:color w:val="auto"/>
        </w:rPr>
      </w:pPr>
    </w:p>
    <w:p>
      <w:pPr>
        <w:jc w:val="both"/>
        <w:ind w:right="20" w:firstLine="394"/>
        <w:spacing w:after="0" w:line="252" w:lineRule="auto"/>
        <w:rPr>
          <w:sz w:val="20"/>
          <w:szCs w:val="20"/>
          <w:color w:val="auto"/>
        </w:rPr>
      </w:pPr>
      <w:r>
        <w:rPr>
          <w:rFonts w:ascii="Times New Roman" w:cs="Times New Roman" w:eastAsia="Times New Roman" w:hAnsi="Times New Roman"/>
          <w:sz w:val="20"/>
          <w:szCs w:val="20"/>
          <w:color w:val="auto"/>
        </w:rPr>
        <w:t>On May 5, 2022, the federal banking regulators issued a joint proposed rule to revise regulations implementing the CRA, which seeks to strengthen the purpose of the CRA, adapt to changes in the banking industry, including the expanded role of mobile and online banking, provide clarity and consistency in the application of CRA regulations, tailor performance standards to account for differences in bank size, business model, and local conditions, tailor data collection and reporting requirements, promote transparency and public engagement, confirm that CRA and fair lending are mutually reinforcing, and create a consistent regulatory approach that applies to banks regulated by all of the federal banking regulators. While the comment period for the proposed rule expired in August 2022, a final rule has not yet been implemented by the federal banking regulators. The Company and the Bank will continue to monitor these developments.</w:t>
      </w:r>
    </w:p>
    <w:p>
      <w:pPr>
        <w:spacing w:after="0" w:line="128"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Bank Secrecy Act, Anti-Money Laundering and the Office of Foreign Assets Control Regulation. </w:t>
      </w:r>
      <w:r>
        <w:rPr>
          <w:rFonts w:ascii="Times New Roman" w:cs="Times New Roman" w:eastAsia="Times New Roman" w:hAnsi="Times New Roman"/>
          <w:sz w:val="20"/>
          <w:szCs w:val="20"/>
          <w:color w:val="auto"/>
        </w:rPr>
        <w:t>The Uniting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Strengthening America by Providing 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136" w:lineRule="exact"/>
        <w:rPr>
          <w:sz w:val="20"/>
          <w:szCs w:val="20"/>
          <w:color w:val="auto"/>
        </w:rPr>
      </w:pPr>
    </w:p>
    <w:p>
      <w:pPr>
        <w:jc w:val="both"/>
        <w:ind w:right="20" w:firstLine="394"/>
        <w:spacing w:after="0" w:line="242" w:lineRule="auto"/>
        <w:rPr>
          <w:sz w:val="20"/>
          <w:szCs w:val="20"/>
          <w:color w:val="auto"/>
        </w:rPr>
      </w:pPr>
      <w:r>
        <w:rPr>
          <w:rFonts w:ascii="Times New Roman" w:cs="Times New Roman" w:eastAsia="Times New Roman" w:hAnsi="Times New Roman"/>
          <w:sz w:val="20"/>
          <w:szCs w:val="20"/>
          <w:color w:val="auto"/>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spacing w:after="0" w:line="137" w:lineRule="exact"/>
        <w:rPr>
          <w:sz w:val="20"/>
          <w:szCs w:val="20"/>
          <w:color w:val="auto"/>
        </w:rPr>
      </w:pPr>
    </w:p>
    <w:p>
      <w:pPr>
        <w:jc w:val="both"/>
        <w:ind w:left="800" w:right="20" w:hanging="400"/>
        <w:spacing w:after="0" w:line="235" w:lineRule="auto"/>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internal policies, procedures and controls designed to implement and maintain the bank’s compliance with all of the requirements of the BSA, the USA PATRIOT Act, the National Defense Authorization Act and related laws and regulations;</w:t>
      </w:r>
    </w:p>
    <w:p>
      <w:pPr>
        <w:spacing w:after="0" w:line="110" w:lineRule="exact"/>
        <w:rPr>
          <w:rFonts w:ascii="Symbol" w:cs="Symbol" w:eastAsia="Symbol" w:hAnsi="Symbol"/>
          <w:sz w:val="20"/>
          <w:szCs w:val="20"/>
          <w:color w:val="auto"/>
        </w:rPr>
      </w:pPr>
    </w:p>
    <w:p>
      <w:pPr>
        <w:ind w:left="800" w:hanging="400"/>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systems and procedures for monitoring and reporting suspicious transactions and activities;</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a designated compliance officer;</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employee training;</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an independent audit function to test the AML program;</w:t>
      </w:r>
    </w:p>
    <w:p>
      <w:pPr>
        <w:spacing w:after="0" w:line="109" w:lineRule="exact"/>
        <w:rPr>
          <w:rFonts w:ascii="Symbol" w:cs="Symbol" w:eastAsia="Symbol" w:hAnsi="Symbol"/>
          <w:sz w:val="20"/>
          <w:szCs w:val="20"/>
          <w:color w:val="auto"/>
        </w:rPr>
      </w:pPr>
    </w:p>
    <w:p>
      <w:pPr>
        <w:ind w:left="800" w:hanging="400"/>
        <w:spacing w:after="0"/>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procedures to verify the identity of each customer upon the opening of accounts; and</w:t>
      </w:r>
    </w:p>
    <w:p>
      <w:pPr>
        <w:spacing w:after="0" w:line="136" w:lineRule="exact"/>
        <w:rPr>
          <w:rFonts w:ascii="Symbol" w:cs="Symbol" w:eastAsia="Symbol" w:hAnsi="Symbol"/>
          <w:sz w:val="20"/>
          <w:szCs w:val="20"/>
          <w:color w:val="auto"/>
        </w:rPr>
      </w:pPr>
    </w:p>
    <w:p>
      <w:pPr>
        <w:ind w:left="800" w:right="20" w:hanging="400"/>
        <w:spacing w:after="0" w:line="229" w:lineRule="auto"/>
        <w:tabs>
          <w:tab w:leader="none" w:pos="80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color w:val="auto"/>
        </w:rPr>
        <w:t>heightened due diligence policies, procedures and controls applicable to certain foreign accounts and relationships.</w:t>
      </w:r>
    </w:p>
    <w:p>
      <w:pPr>
        <w:spacing w:after="0" w:line="138"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w:t>
      </w:r>
    </w:p>
    <w:p>
      <w:pPr>
        <w:sectPr>
          <w:pgSz w:w="12060" w:h="15667" w:orient="portrait"/>
          <w:cols w:equalWidth="0" w:num="1">
            <w:col w:w="9240"/>
          </w:cols>
          <w:pgMar w:left="1400" w:top="912" w:right="1427"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060" w:h="15667" w:orient="portrait"/>
          <w:cols w:equalWidth="0" w:num="1">
            <w:col w:w="9240"/>
          </w:cols>
          <w:pgMar w:left="1400" w:top="912" w:right="1427" w:bottom="203" w:gutter="0" w:footer="0" w:header="0"/>
          <w:type w:val="continuous"/>
        </w:sectPr>
      </w:pPr>
    </w:p>
    <w:bookmarkStart w:id="32" w:name="page33"/>
    <w:bookmarkEnd w:id="32"/>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134" w:lineRule="exact"/>
        <w:rPr>
          <w:sz w:val="20"/>
          <w:szCs w:val="20"/>
          <w:color w:val="auto"/>
        </w:rPr>
      </w:pPr>
    </w:p>
    <w:p>
      <w:pPr>
        <w:jc w:val="both"/>
        <w:ind w:right="7" w:firstLine="394"/>
        <w:spacing w:after="0" w:line="269" w:lineRule="auto"/>
        <w:rPr>
          <w:sz w:val="20"/>
          <w:szCs w:val="20"/>
          <w:color w:val="auto"/>
        </w:rPr>
      </w:pPr>
      <w:r>
        <w:rPr>
          <w:rFonts w:ascii="Times New Roman" w:cs="Times New Roman" w:eastAsia="Times New Roman" w:hAnsi="Times New Roman"/>
          <w:sz w:val="19"/>
          <w:szCs w:val="19"/>
          <w:color w:val="auto"/>
        </w:rPr>
        <w:t>Further, on January 1, 2021, Congress passed the National Defense Authorization Act, which enacted the most significant overhaul of the BSA and related AML laws since the USA PATRIOT Act. Notable amendments include</w:t>
      </w:r>
    </w:p>
    <w:p>
      <w:pPr>
        <w:spacing w:after="0" w:line="3" w:lineRule="exact"/>
        <w:rPr>
          <w:sz w:val="20"/>
          <w:szCs w:val="20"/>
          <w:color w:val="auto"/>
        </w:rPr>
      </w:pPr>
    </w:p>
    <w:p>
      <w:pPr>
        <w:jc w:val="both"/>
        <w:ind w:right="7" w:firstLine="5"/>
        <w:spacing w:after="0" w:line="256" w:lineRule="auto"/>
        <w:tabs>
          <w:tab w:leader="none" w:pos="29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34" w:lineRule="exact"/>
        <w:rPr>
          <w:sz w:val="20"/>
          <w:szCs w:val="20"/>
          <w:color w:val="auto"/>
        </w:rPr>
      </w:pPr>
    </w:p>
    <w:p>
      <w:pPr>
        <w:jc w:val="both"/>
        <w:ind w:right="7" w:firstLine="394"/>
        <w:spacing w:after="0" w:line="269" w:lineRule="auto"/>
        <w:rPr>
          <w:sz w:val="20"/>
          <w:szCs w:val="20"/>
          <w:color w:val="auto"/>
        </w:rPr>
      </w:pPr>
      <w:r>
        <w:rPr>
          <w:rFonts w:ascii="Times New Roman" w:cs="Times New Roman" w:eastAsia="Times New Roman" w:hAnsi="Times New Roman"/>
          <w:sz w:val="19"/>
          <w:szCs w:val="19"/>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17"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Concentrations in Commercial Real Estate. </w:t>
      </w:r>
      <w:r>
        <w:rPr>
          <w:rFonts w:ascii="Times New Roman" w:cs="Times New Roman" w:eastAsia="Times New Roman" w:hAnsi="Times New Roman"/>
          <w:sz w:val="19"/>
          <w:szCs w:val="19"/>
          <w:color w:val="auto"/>
        </w:rPr>
        <w:t>The federal banking agencies have promulgated guidance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governing financial 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20</w:t>
      </w:r>
    </w:p>
    <w:p>
      <w:pPr>
        <w:sectPr>
          <w:pgSz w:w="12060" w:h="15667" w:orient="portrait"/>
          <w:cols w:equalWidth="0" w:num="1">
            <w:col w:w="9227"/>
          </w:cols>
          <w:pgMar w:left="1400" w:top="912" w:right="1440" w:bottom="204" w:gutter="0" w:footer="0" w:header="0"/>
          <w:type w:val="continuous"/>
        </w:sectPr>
      </w:pPr>
    </w:p>
    <w:bookmarkStart w:id="33" w:name="page34"/>
    <w:bookmarkEnd w:id="33"/>
    <w:p>
      <w:pPr>
        <w:jc w:val="both"/>
        <w:ind w:right="7"/>
        <w:spacing w:after="0" w:line="242" w:lineRule="auto"/>
        <w:rPr>
          <w:sz w:val="20"/>
          <w:szCs w:val="20"/>
          <w:color w:val="auto"/>
        </w:rPr>
      </w:pPr>
      <w:r>
        <w:rPr>
          <w:rFonts w:ascii="Times New Roman" w:cs="Times New Roman" w:eastAsia="Times New Roman" w:hAnsi="Times New Roman"/>
          <w:sz w:val="20"/>
          <w:szCs w:val="20"/>
          <w:color w:val="auto"/>
        </w:rPr>
        <w:t>the federal banking agencies jointly issued a ‘‘statement on prudent risk management for commercial real estate lending’’. As of December 31, 2022, the Company did not exceed the levels to be considered to have a concentration in commercial real estate lending and believes its credit administration to be consistent with the published policy statement.</w:t>
      </w:r>
    </w:p>
    <w:p>
      <w:pPr>
        <w:spacing w:after="0" w:line="137"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The Basel III Capital Rules also require loans categorized as ‘‘high-volatility commercial real estate,’’ or HVCRE, to be assigned a 150% risk weighting and require additional capital support. However, the EGRRCPA prohibits federal banking regulators from imposing higher capital standards on HVCRE exposures unless they are for ADC and clarifying ADC status. As of December 31, 2022, we had $413.7 million in ADC loans and $6.3 million in HVCRE loans.</w:t>
      </w:r>
    </w:p>
    <w:p>
      <w:pPr>
        <w:spacing w:after="0" w:line="136"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Effective April 1, 2020, federal banking regulators implemented a final rule revising the definition of a HVCRE exposure and providing interpretations of certain aspects of Acquisition Development and Construction loans. This final rule became effective on April 1, 2020 and did not have a material impact on the Banks’ Consolidated Report of Condition and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Consumer Financial Services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366"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123"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21</w:t>
      </w:r>
    </w:p>
    <w:p>
      <w:pPr>
        <w:sectPr>
          <w:pgSz w:w="12060" w:h="15667" w:orient="portrait"/>
          <w:cols w:equalWidth="0" w:num="1">
            <w:col w:w="9227"/>
          </w:cols>
          <w:pgMar w:left="1400" w:top="912" w:right="1440" w:bottom="203" w:gutter="0" w:footer="0" w:header="0"/>
          <w:type w:val="continuous"/>
        </w:sectPr>
      </w:pPr>
    </w:p>
    <w:bookmarkStart w:id="34" w:name="page35"/>
    <w:bookmarkEnd w:id="34"/>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 Significant recent CFPB developments include:</w:t>
      </w:r>
    </w:p>
    <w:p>
      <w:pPr>
        <w:spacing w:after="0" w:line="129" w:lineRule="exact"/>
        <w:rPr>
          <w:sz w:val="20"/>
          <w:szCs w:val="20"/>
          <w:color w:val="auto"/>
        </w:rPr>
      </w:pPr>
    </w:p>
    <w:p>
      <w:pPr>
        <w:ind w:left="800" w:right="7" w:hanging="400"/>
        <w:spacing w:after="0" w:line="229" w:lineRule="auto"/>
        <w:tabs>
          <w:tab w:leader="none" w:pos="8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continued focus on fair lending, including promoting racial and economic equity for underserved, vulnerable and marginalized communities;</w:t>
      </w:r>
    </w:p>
    <w:p>
      <w:pPr>
        <w:spacing w:after="0" w:line="137"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focused efforts on enforcing certain compliance obligations the CFPB deems a priority, such as automobile loan servicing, debt collection, deposit, overdraft, non-sufficient funds, representment fees and other services fees, mortgage origination and servicing, and remittances, among others; and</w:t>
      </w:r>
    </w:p>
    <w:p>
      <w:pPr>
        <w:spacing w:after="0" w:line="137" w:lineRule="exact"/>
        <w:rPr>
          <w:rFonts w:ascii="Symbol" w:cs="Symbol" w:eastAsia="Symbol" w:hAnsi="Symbol"/>
          <w:sz w:val="20"/>
          <w:szCs w:val="20"/>
          <w:color w:val="auto"/>
        </w:rPr>
      </w:pPr>
    </w:p>
    <w:p>
      <w:pPr>
        <w:jc w:val="both"/>
        <w:ind w:left="800" w:right="7" w:hanging="400"/>
        <w:spacing w:after="0" w:line="235" w:lineRule="auto"/>
        <w:tabs>
          <w:tab w:leader="none" w:pos="80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0"/>
          <w:szCs w:val="20"/>
          <w:color w:val="auto"/>
        </w:rPr>
        <w:t>rulemaking plans concerning, among others, consumers’ access to their financial information and requirements for financial institutions to collect, report and make public certain information concerning credit applications made by women-owned, minority-owned and small businesses.</w:t>
      </w:r>
    </w:p>
    <w:p>
      <w:pPr>
        <w:spacing w:after="0" w:line="147"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35"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Mortgage and Mortgage-Related Products, </w:t>
      </w:r>
      <w:r>
        <w:rPr>
          <w:rFonts w:ascii="Times New Roman" w:cs="Times New Roman" w:eastAsia="Times New Roman" w:hAnsi="Times New Roman"/>
          <w:sz w:val="20"/>
          <w:szCs w:val="20"/>
          <w:color w:val="auto"/>
        </w:rPr>
        <w:t>Generally. Because abuses in connection with home mortgages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were a significant 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139"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Ability-to-Repay Requirement and Qualified Mortgage Rule. </w:t>
      </w:r>
      <w:r>
        <w:rPr>
          <w:rFonts w:ascii="Times New Roman" w:cs="Times New Roman" w:eastAsia="Times New Roman" w:hAnsi="Times New Roman"/>
          <w:sz w:val="19"/>
          <w:szCs w:val="19"/>
          <w:color w:val="auto"/>
        </w:rPr>
        <w:t>In January 2013, the CFPB issued a final rule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implementing 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w:t>
      </w:r>
    </w:p>
    <w:p>
      <w:pPr>
        <w:spacing w:after="0" w:line="2"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monthly  payment  on  any  simultaneous  loan;  (v)  monthly  payment  for  all  mortgage-related  obligations;</w:t>
      </w:r>
    </w:p>
    <w:p>
      <w:pPr>
        <w:spacing w:after="0" w:line="17" w:lineRule="exact"/>
        <w:rPr>
          <w:rFonts w:ascii="Times New Roman" w:cs="Times New Roman" w:eastAsia="Times New Roman" w:hAnsi="Times New Roman"/>
          <w:sz w:val="19"/>
          <w:szCs w:val="19"/>
          <w:color w:val="auto"/>
        </w:rPr>
      </w:pPr>
    </w:p>
    <w:p>
      <w:pPr>
        <w:ind w:left="340" w:hanging="335"/>
        <w:spacing w:after="0"/>
        <w:tabs>
          <w:tab w:leader="none" w:pos="3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current debt obligations, alimony, and child support; (vii) monthly debt-to-income ratio or residual income; and</w:t>
      </w:r>
    </w:p>
    <w:p>
      <w:pPr>
        <w:spacing w:after="0" w:line="18" w:lineRule="exact"/>
        <w:rPr>
          <w:rFonts w:ascii="Times New Roman" w:cs="Times New Roman" w:eastAsia="Times New Roman" w:hAnsi="Times New Roman"/>
          <w:sz w:val="19"/>
          <w:szCs w:val="19"/>
          <w:color w:val="auto"/>
        </w:rPr>
      </w:pPr>
    </w:p>
    <w:p>
      <w:pPr>
        <w:jc w:val="both"/>
        <w:ind w:right="7" w:firstLine="5"/>
        <w:spacing w:after="0" w:line="244" w:lineRule="auto"/>
        <w:tabs>
          <w:tab w:leader="none" w:pos="45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30"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Home Mortgage Disclosure Act (‘‘HMDA’’). </w:t>
      </w:r>
      <w:r>
        <w:rPr>
          <w:rFonts w:ascii="Times New Roman" w:cs="Times New Roman" w:eastAsia="Times New Roman" w:hAnsi="Times New Roman"/>
          <w:sz w:val="19"/>
          <w:szCs w:val="19"/>
          <w:color w:val="auto"/>
        </w:rPr>
        <w:t>On October 15, 2015, pursuant to Section 1094 of the Dodd-Frank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Act, the CFPB issued amended rules in regard 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Most of the provisions of the HMDA Rule went into effect on January 1, 2018 and apply to data collected in 2018 and reporting in 2019 and later years. The HMDA Rule adopts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 to exempt certain insured institutions from most of the expanded data collection requirements required of the Dodd-Frank Act.</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22</w:t>
      </w:r>
    </w:p>
    <w:p>
      <w:pPr>
        <w:sectPr>
          <w:pgSz w:w="12060" w:h="15667" w:orient="portrait"/>
          <w:cols w:equalWidth="0" w:num="1">
            <w:col w:w="9227"/>
          </w:cols>
          <w:pgMar w:left="1400" w:top="912" w:right="1440" w:bottom="203" w:gutter="0" w:footer="0" w:header="0"/>
          <w:type w:val="continuous"/>
        </w:sectPr>
      </w:pPr>
    </w:p>
    <w:bookmarkStart w:id="35" w:name="page36"/>
    <w:bookmarkEnd w:id="35"/>
    <w:p>
      <w:pPr>
        <w:jc w:val="both"/>
        <w:ind w:right="7"/>
        <w:spacing w:after="0" w:line="255" w:lineRule="auto"/>
        <w:rPr>
          <w:sz w:val="20"/>
          <w:szCs w:val="20"/>
          <w:color w:val="auto"/>
        </w:rPr>
      </w:pPr>
      <w:r>
        <w:rPr>
          <w:rFonts w:ascii="Times New Roman" w:cs="Times New Roman" w:eastAsia="Times New Roman" w:hAnsi="Times New Roman"/>
          <w:sz w:val="20"/>
          <w:szCs w:val="20"/>
          <w:color w:val="auto"/>
        </w:rPr>
        <w:t>The CFPB further amended the HMDA Rules in April 2020 so that, effective January 1, 2022, institutions originating fewer than 100 dwelling secured closed-end mortgage loans or fewer than 200 dwelling secured open-end lines are exempt from the expanded data collection requirements that went into effect January 1, 2018. On February 1, 2023, the Office of the Comptroller of the Currency issued OCC Bulletin 2023-5 which clarified that, following a recent court decision vacating the 2020 HMDA Final Rule as to the loan volume reporting threshold for closed-end mortgage loans, the loan origination threshold for reporting HMDA data on closed-end mortgage loans reverted to the 25 loan threshold established by the 2015 HMDA Final Rule. The Bank does not receive this reporting relief based on the number of dwelling secured mortgage loans reported annually.</w:t>
      </w:r>
    </w:p>
    <w:p>
      <w:pPr>
        <w:spacing w:after="0" w:line="130" w:lineRule="exact"/>
        <w:rPr>
          <w:sz w:val="20"/>
          <w:szCs w:val="20"/>
          <w:color w:val="auto"/>
        </w:rPr>
      </w:pPr>
    </w:p>
    <w:p>
      <w:pPr>
        <w:jc w:val="both"/>
        <w:ind w:right="7" w:firstLine="394"/>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UDAP and UDAAP. </w:t>
      </w:r>
      <w:r>
        <w:rPr>
          <w:rFonts w:ascii="Times New Roman" w:cs="Times New Roman" w:eastAsia="Times New Roman" w:hAnsi="Times New Roman"/>
          <w:sz w:val="20"/>
          <w:szCs w:val="20"/>
          <w:color w:val="auto"/>
        </w:rPr>
        <w:t>Banking regulatory agencies have increasingly used a general consumer protection statute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address ‘‘unfair,’’ ‘‘deceptive’’ or ‘‘abusive’’ acts and business practices that may not necessarily fall directly under the purview of a specific banking or consumer finance law. The law of choice for enforcement against such business practices has been Section 5 of the Federal Trade Commission Act, referred to as the FTC Act, which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and were delegated to the CFPB for rule-making. The federal banking agencies have the authority to enforce such rules and regulations. Under the Dodd-Frank Act, the CFPB looks to various factors to assess whether an act or practice is unfair, including whether it causes or is likely to cause substantial injury to consumers, the injury is not reasonably avoidable by consumers, and the injury is not outweighed by countervailing benefits to consumers or to competition. A key focus of the CFPB is whether an act or practice hinders a consumer’s decision-making.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Incentive Compensation Guidance</w:t>
      </w:r>
    </w:p>
    <w:p>
      <w:pPr>
        <w:spacing w:after="0" w:line="127"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w:t>
      </w:r>
    </w:p>
    <w:p>
      <w:pPr>
        <w:spacing w:after="0" w:line="3" w:lineRule="exact"/>
        <w:rPr>
          <w:sz w:val="20"/>
          <w:szCs w:val="20"/>
          <w:color w:val="auto"/>
        </w:rPr>
      </w:pPr>
    </w:p>
    <w:p>
      <w:pPr>
        <w:jc w:val="both"/>
        <w:ind w:right="7" w:firstLine="6"/>
        <w:spacing w:after="0" w:line="254" w:lineRule="auto"/>
        <w:tabs>
          <w:tab w:leader="none" w:pos="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spacing w:after="0" w:line="139" w:lineRule="exact"/>
        <w:rPr>
          <w:sz w:val="20"/>
          <w:szCs w:val="20"/>
          <w:color w:val="auto"/>
        </w:rPr>
      </w:pPr>
    </w:p>
    <w:p>
      <w:pPr>
        <w:jc w:val="both"/>
        <w:ind w:right="7" w:firstLine="394"/>
        <w:spacing w:after="0" w:line="260" w:lineRule="auto"/>
        <w:rPr>
          <w:sz w:val="20"/>
          <w:szCs w:val="20"/>
          <w:color w:val="auto"/>
        </w:rPr>
      </w:pPr>
      <w:r>
        <w:rPr>
          <w:rFonts w:ascii="Times New Roman" w:cs="Times New Roman" w:eastAsia="Times New Roman" w:hAnsi="Times New Roman"/>
          <w:sz w:val="19"/>
          <w:szCs w:val="19"/>
          <w:color w:val="auto"/>
        </w:rPr>
        <w:t>The Dodd-Frank Act directs the federal banking regulators to promulgate rules prohibiting excessive compensation paid to executives of depository institutions and their holding companies with assets in excess of $1 billion, regardless of whether the company is publicly traded or not. In May 2016, the federal banking regulators, joined by the SEC, proposed such a rule that is tailored based on the asset size of the institution. All covered financial institutions would be subject to a prohibition on paying compensation, fees, and benefits that are ‘‘unreasonable’’ or ‘‘disproportionate’’ to the value of the services performed by a person covered by the proposed rule (generally, senior executive officers and employees who are significant risk-takers). As of the date of this Form 10-K, the federal banking regulators have not yet implemented a final rule with respect to excessive compensation paid to executives of depository institutions and their holding companies. The scope and content of the U.S. banking regulators’ policies on executive compensation are continuing to develop and are likely to continue evolving in the near future.</w:t>
      </w:r>
    </w:p>
    <w:p>
      <w:pPr>
        <w:spacing w:after="0" w:line="12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23</w:t>
      </w:r>
    </w:p>
    <w:p>
      <w:pPr>
        <w:sectPr>
          <w:pgSz w:w="12060" w:h="15667" w:orient="portrait"/>
          <w:cols w:equalWidth="0" w:num="1">
            <w:col w:w="9227"/>
          </w:cols>
          <w:pgMar w:left="1400" w:top="912" w:right="1440" w:bottom="203" w:gutter="0" w:footer="0" w:header="0"/>
          <w:type w:val="continuous"/>
        </w:sectPr>
      </w:pPr>
    </w:p>
    <w:bookmarkStart w:id="36" w:name="page37"/>
    <w:bookmarkEnd w:id="36"/>
    <w:p>
      <w:pPr>
        <w:jc w:val="both"/>
        <w:ind w:right="7"/>
        <w:spacing w:after="0"/>
        <w:rPr>
          <w:sz w:val="20"/>
          <w:szCs w:val="20"/>
          <w:color w:val="auto"/>
        </w:rPr>
      </w:pPr>
      <w:r>
        <w:rPr>
          <w:rFonts w:ascii="Times New Roman" w:cs="Times New Roman" w:eastAsia="Times New Roman" w:hAnsi="Times New Roman"/>
          <w:sz w:val="20"/>
          <w:szCs w:val="20"/>
          <w:color w:val="auto"/>
        </w:rPr>
        <w:t>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w:t>
      </w:r>
    </w:p>
    <w:p>
      <w:pPr>
        <w:spacing w:after="0" w:line="138"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August 2022, the SEC adopted the final ‘‘pay versus performance’’ rule mandated by the Dodd-Frank Act. Among other disclosure requirements, the rule requires public companies (other than emerging growth companies, registered investment companies and foreign private issuers) to disclose the relationships among named executive officer compensation ‘‘actually paid,’’ total shareholder return and certain financial performance measures that the company uses to link compensation to company performance for its five most recent fiscal years. The rule will not apply to the Company while it is an emerging growth company and, accordingly, management anticipates that the rule will first apply to disclosures in the Company’s proxy statement for the 2025 annual meeting of shareholders.</w:t>
      </w:r>
    </w:p>
    <w:p>
      <w:pPr>
        <w:spacing w:after="0" w:line="13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October 2022, the SEC adopted a final rule directing national securities exchanges and associations, including the NASDAQ, to implement listing standards that require listed companies to adopt policies mandating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The final rule requires the Company to adopt a clawback policy within 60 days after such listing standard becomes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Privacy</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Monetary Policy</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Laws Potentially Impacting the Bank</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Banking Reform Legislation</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 (ii) 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24</w:t>
      </w:r>
    </w:p>
    <w:p>
      <w:pPr>
        <w:sectPr>
          <w:pgSz w:w="12060" w:h="15667" w:orient="portrait"/>
          <w:cols w:equalWidth="0" w:num="1">
            <w:col w:w="9227"/>
          </w:cols>
          <w:pgMar w:left="1400" w:top="912" w:right="1440" w:bottom="203" w:gutter="0" w:footer="0" w:header="0"/>
          <w:type w:val="continuous"/>
        </w:sectPr>
      </w:pPr>
    </w:p>
    <w:bookmarkStart w:id="37" w:name="page38"/>
    <w:bookmarkEnd w:id="37"/>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Pending and Proposed Legislation</w:t>
      </w:r>
    </w:p>
    <w:p>
      <w:pPr>
        <w:spacing w:after="0" w:line="12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34"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25</w:t>
      </w:r>
    </w:p>
    <w:p>
      <w:pPr>
        <w:sectPr>
          <w:pgSz w:w="12060" w:h="15667" w:orient="portrait"/>
          <w:cols w:equalWidth="0" w:num="1">
            <w:col w:w="9227"/>
          </w:cols>
          <w:pgMar w:left="1400" w:top="912" w:right="1440" w:bottom="204" w:gutter="0" w:footer="0" w:header="0"/>
          <w:type w:val="continuous"/>
        </w:sectPr>
      </w:pPr>
    </w:p>
    <w:bookmarkStart w:id="38" w:name="page39"/>
    <w:bookmarkEnd w:id="38"/>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3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information contained on, or that may be accessed through, the Company’s web site is not incorporated by reference into, and is not a part of, this Report.</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26</w:t>
      </w:r>
    </w:p>
    <w:p>
      <w:pPr>
        <w:sectPr>
          <w:pgSz w:w="12060" w:h="15667" w:orient="portrait"/>
          <w:cols w:equalWidth="0" w:num="1">
            <w:col w:w="9227"/>
          </w:cols>
          <w:pgMar w:left="1400" w:top="900" w:right="1440" w:bottom="204" w:gutter="0" w:footer="0" w:header="0"/>
          <w:type w:val="continuous"/>
        </w:sectPr>
      </w:pPr>
    </w:p>
    <w:bookmarkStart w:id="39" w:name="page40"/>
    <w:bookmarkEnd w:id="39"/>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19" w:lineRule="exact"/>
        <w:rPr>
          <w:sz w:val="20"/>
          <w:szCs w:val="20"/>
          <w:color w:val="auto"/>
        </w:rPr>
      </w:pPr>
    </w:p>
    <w:p>
      <w:pPr>
        <w:jc w:val="both"/>
        <w:ind w:right="7"/>
        <w:spacing w:after="0" w:line="237" w:lineRule="auto"/>
        <w:rPr>
          <w:sz w:val="20"/>
          <w:szCs w:val="20"/>
          <w:color w:val="auto"/>
        </w:rPr>
      </w:pPr>
      <w:r>
        <w:rPr>
          <w:rFonts w:ascii="Times New Roman" w:cs="Times New Roman" w:eastAsia="Times New Roman" w:hAnsi="Times New Roman"/>
          <w:sz w:val="19"/>
          <w:szCs w:val="19"/>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13" w:lineRule="exact"/>
        <w:rPr>
          <w:sz w:val="20"/>
          <w:szCs w:val="20"/>
          <w:color w:val="auto"/>
        </w:rPr>
      </w:pPr>
    </w:p>
    <w:p>
      <w:pPr>
        <w:jc w:val="both"/>
        <w:ind w:right="7"/>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The Company is subject to interest rate risk and changes in market interest rates or capital markets could affect our revenues and expenses, the value of assets and obligations, and the availability and cost of capital or liquidity.</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Given our business mix, and the fact that most of our assets and liabilities are financial in nature, we tend to be sensitive to market interest rate movements and the performance of the financial markets. Our primary source of income is net interest income, meaning the difference or spread between interest income earned and interest expense paid.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2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Interest rates are highly sensitive to many factors that are beyond the Company’s control, including competition, the monetary policy of the Federal Reserve, inflation and deflation, and volatility of domestic and global financial and credit markets, due to any number of factors including, among other things, the persistence of the ongoing inflationary environment in the United States and in our market areas and current geopolitical tensions.</w:t>
      </w:r>
    </w:p>
    <w:p>
      <w:pPr>
        <w:spacing w:after="0" w:line="121"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In the current environment of increasing interest rates,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periods of decreasing interest rates, our borrowers may experience difficulties meeting their obligations or seek to refinance their loans for lower rates, which may adversely affect income from these lending activities and negatively impact our net interest margin.</w:t>
      </w:r>
    </w:p>
    <w:p>
      <w:pPr>
        <w:spacing w:after="0" w:line="13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A prolonged period of volatile and unstable financial market conditions could increase our funding costs and negatively affect our asset-liability management strategies. Higher volatility in interest rates and spreads to benchmark indices could cause decreases in the fair market values of our investment portfolio, and of assets the Company manages for others and may impair our ability to attract and retain funds from current and prospective customers, which could lower fee income. Fluctuations in interest rates could impact both the level of income and expense recorded on most of our assets and liabilities, and the market value of all interest-earning assets and interest-bearing liabilities, any of which in turn could have a material adverse effect on our liquidity and ability to fund future growth, our operating results, and financial condition.</w:t>
      </w:r>
    </w:p>
    <w:p>
      <w:pPr>
        <w:spacing w:after="0" w:line="140"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231" w:lineRule="exact"/>
        <w:rPr>
          <w:sz w:val="20"/>
          <w:szCs w:val="20"/>
          <w:color w:val="auto"/>
        </w:rPr>
      </w:pPr>
    </w:p>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Our business has been and may continue to be adversely affected by current conditions in the financial markets and economic conditions generally.</w:t>
      </w:r>
    </w:p>
    <w:p>
      <w:pPr>
        <w:spacing w:after="0" w:line="119" w:lineRule="exact"/>
        <w:rPr>
          <w:sz w:val="20"/>
          <w:szCs w:val="20"/>
          <w:color w:val="auto"/>
        </w:rPr>
      </w:pPr>
    </w:p>
    <w:p>
      <w:pPr>
        <w:jc w:val="both"/>
        <w:ind w:right="7" w:firstLine="394"/>
        <w:spacing w:after="0" w:line="258" w:lineRule="auto"/>
        <w:rPr>
          <w:sz w:val="20"/>
          <w:szCs w:val="20"/>
          <w:color w:val="auto"/>
        </w:rPr>
      </w:pPr>
      <w:r>
        <w:rPr>
          <w:rFonts w:ascii="Times New Roman" w:cs="Times New Roman" w:eastAsia="Times New Roman" w:hAnsi="Times New Roman"/>
          <w:sz w:val="19"/>
          <w:szCs w:val="19"/>
          <w:color w:val="auto"/>
        </w:rPr>
        <w:t>Our business and operations, which primarily consist of lending money to customers in the form of loans, borrowing money from customers in the form of deposits and investing in securities, are sensitive to general business</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27</w:t>
      </w:r>
    </w:p>
    <w:p>
      <w:pPr>
        <w:sectPr>
          <w:pgSz w:w="12060" w:h="15667" w:orient="portrait"/>
          <w:cols w:equalWidth="0" w:num="1">
            <w:col w:w="9227"/>
          </w:cols>
          <w:pgMar w:left="1400" w:top="900" w:right="1440" w:bottom="203" w:gutter="0" w:footer="0" w:header="0"/>
          <w:type w:val="continuous"/>
        </w:sectPr>
      </w:pPr>
    </w:p>
    <w:bookmarkStart w:id="40" w:name="page41"/>
    <w:bookmarkEnd w:id="40"/>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During the year ended December 31, 2022, the Federal Open Market Committee (‘‘FOMC’’) of the Federal Reserve repeatedly raised their target benchmark interest rate in response to the ongoing inflationary environment in the United States, resulting in subsequent prime rate increases of 425 basis points between March and December of 2022. Further increases in market interest rates may have an adverse effect on our business, financial condition and results of operations as it could reduce the demand for loans and affect the ability of our borrowers to repay their indebtedness subjecting us to potential loan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2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In addition, the inflationary outlook in the United States remains uncertain. Inflation, which at December 31, 2022, has been reported at the highest level in nearly 40 years, and could result in higher interest rates, which expose the Company to interest rate risk. In addition, higher interest rates could slow economic growth and lead to a recessionary environment, which could negatively impact the Company’s growth, credit quality, net interest margin and its financial results.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Company’s Investment Portfolio Could Incur Additional Losses or Fair Value Could Deteriorate.</w:t>
      </w:r>
    </w:p>
    <w:p>
      <w:pPr>
        <w:spacing w:after="0" w:line="117"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There are inherent risks associated with the Company’s investment activities. These risks include the impact from changes in interest rates, credit risk related to weakness in real estate values, municipalities, government sponsored enterprises, or other industries, the impact of changes in income tax rates on the value of tax-exempt securities, adverse changes in regional or national economic conditions, and general turbulence in domestic and foreign financial markets, among other things. If an investment’s value is in an unrealized loss position, the Company is required to assess the security to determine if a valuation allowance for the credit exposure of the debt security is necessary, which is recorded as a charge to earnings. These conditions could adversely impact the ultimate collectability of the Company’s investments.</w:t>
      </w:r>
    </w:p>
    <w:p>
      <w:pPr>
        <w:spacing w:after="0" w:line="139"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As discussed above, the FOMC repeatedly raised their target benchmark interest rate in 2022, resulting in subsequent prime rate increases of 425 basis points between March and December of 2022, and further resulting in a significant increase in market interest rates during the year ended December 31, 2022. If market interest rates continue to rise, the market value of the fixed income bond portfolio will decrease, resulting in unrealized losses, and depending on the extent of the rise in interest rates, the increase in unrealized losses could be significant over the short-term. The non-credit portion of unrealized losses are booked to Accumulated Other Comprehensive Income (‘‘AOCI’’), a component of shareholders’ equity. A significant increase in market rates may have a negative impact on book value per common share and return on average shareholders’ equity ratios. The Company’s bond portfolio is expected to mature at par and therefore the unrealized losses in the portfolio that result from higher market interest rates will decrease as the bonds become closer to maturity.</w:t>
      </w:r>
    </w:p>
    <w:p>
      <w:pPr>
        <w:spacing w:after="0" w:line="15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may grow through acquisitions, a strategy which may not be successful or, if successful, may produce risks in successfully integrating and managing the acquisitions and may dilute our shareholders.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060" w:h="15667" w:orient="portrait"/>
          <w:cols w:equalWidth="0" w:num="1">
            <w:col w:w="9240"/>
          </w:cols>
          <w:pgMar w:left="1400" w:top="912" w:right="1427" w:bottom="204" w:gutter="0" w:footer="0" w:header="0"/>
          <w:type w:val="continuous"/>
        </w:sectPr>
      </w:pPr>
    </w:p>
    <w:bookmarkStart w:id="41" w:name="page42"/>
    <w:bookmarkEnd w:id="41"/>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measure and limit our credit risk, which could lead to unexpected losses.</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Accordingly, we maintain an allowance for loan losses that represents management’s judgment of probable losses and risks inherent in our loan portfolio. 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126"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In addition, we may further experience increased delinquencies, credit losses, and corresponding charges to capital, which could require us to increase our provision for loan losses associated with impacts related to the coronavirus outbreak due to inflationary pressures, quarantines, market downturns, increased unemployment rates, changes in consumer behavior related to pandemic fears, and related emergency response legislation, including the Families First Coronavirus Response Act. Further, 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35"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addition, effective January 1, 2023, our methodology for determining our allowance for loan losses changed due to the implementation of the Current Expected Credit Losses, or CECL, accounting standard. As a result, we anticipate recognizing a one-time, after tax cumulative effect charge of approximately $900 thousand to retained earnings at the beginning of the first quarter of 2023, increasing the allowance for credit losses by approximately $100 thousand and increasing the off-balance sheet reserve for unfunded commitments by approximately $1.0 million. Our adjustment to the allowance for credit losses at the transition date may vary from our estimate due to refinements in the loss estimation models or factors.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As of December 31, 2022, loans to commercial borrowers represent approximately 68.6%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29</w:t>
      </w:r>
    </w:p>
    <w:p>
      <w:pPr>
        <w:sectPr>
          <w:pgSz w:w="12060" w:h="15667" w:orient="portrait"/>
          <w:cols w:equalWidth="0" w:num="1">
            <w:col w:w="9227"/>
          </w:cols>
          <w:pgMar w:left="1400" w:top="912" w:right="1440" w:bottom="203" w:gutter="0" w:footer="0" w:header="0"/>
          <w:type w:val="continuous"/>
        </w:sectPr>
      </w:pPr>
    </w:p>
    <w:bookmarkStart w:id="42" w:name="page43"/>
    <w:bookmarkEnd w:id="42"/>
    <w:p>
      <w:pPr>
        <w:jc w:val="both"/>
        <w:ind w:right="7"/>
        <w:spacing w:after="0" w:line="269" w:lineRule="auto"/>
        <w:rPr>
          <w:sz w:val="20"/>
          <w:szCs w:val="20"/>
          <w:color w:val="auto"/>
        </w:rPr>
      </w:pPr>
      <w:r>
        <w:rPr>
          <w:rFonts w:ascii="Times New Roman" w:cs="Times New Roman" w:eastAsia="Times New Roman" w:hAnsi="Times New Roman"/>
          <w:sz w:val="19"/>
          <w:szCs w:val="19"/>
          <w:color w:val="auto"/>
        </w:rPr>
        <w:t>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additional credit risk with respect to loans that we make to other lenders.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357" w:lineRule="exact"/>
        <w:rPr>
          <w:sz w:val="20"/>
          <w:szCs w:val="20"/>
          <w:color w:val="auto"/>
        </w:rPr>
      </w:pPr>
    </w:p>
    <w:p>
      <w:pPr>
        <w:jc w:val="both"/>
        <w:ind w:right="7"/>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20"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As of December 31, 2022, approximately 69.8%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357" w:lineRule="exact"/>
        <w:rPr>
          <w:sz w:val="20"/>
          <w:szCs w:val="20"/>
          <w:color w:val="auto"/>
        </w:rPr>
      </w:pPr>
    </w:p>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Our commercial real estate loan portfolio exposes us to risks that may be greater than the risks related to other mortgage loans.</w:t>
      </w:r>
    </w:p>
    <w:p>
      <w:pPr>
        <w:spacing w:after="0" w:line="119"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Our loan portfolio includes non-owner-occupied commercial real estate loans for individuals and businesses for various purposes, which are secured by commercial properties, as well as real estate construction and development loans. As of December 31, 2022, our non-owner-occupied commercial real estate loans totaled approximately 38.7%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30</w:t>
      </w:r>
    </w:p>
    <w:p>
      <w:pPr>
        <w:sectPr>
          <w:pgSz w:w="12060" w:h="15667" w:orient="portrait"/>
          <w:cols w:equalWidth="0" w:num="1">
            <w:col w:w="9227"/>
          </w:cols>
          <w:pgMar w:left="1400" w:top="912" w:right="1440" w:bottom="203"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auto"/>
        </w:rPr>
        <w:t>Our portfolio of indirect dealer lending exposes us to increased credit risks.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At December 31, 2022, approximately 10.5%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279" w:lineRule="exact"/>
        <w:rPr>
          <w:sz w:val="20"/>
          <w:szCs w:val="20"/>
          <w:color w:val="auto"/>
        </w:rPr>
      </w:pPr>
    </w:p>
    <w:p>
      <w:pPr>
        <w:jc w:val="both"/>
        <w:ind w:right="7"/>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120"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290" w:lineRule="exact"/>
        <w:rPr>
          <w:sz w:val="20"/>
          <w:szCs w:val="20"/>
          <w:color w:val="auto"/>
        </w:rPr>
      </w:pPr>
    </w:p>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Agricultural lending and volatility in commodity prices may adversely affect our financial condition and results of operations.</w:t>
      </w:r>
    </w:p>
    <w:p>
      <w:pPr>
        <w:spacing w:after="0" w:line="119"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At December 31, 2022, agricultural loans were approximately 2.4%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295" w:lineRule="exact"/>
        <w:rPr>
          <w:sz w:val="20"/>
          <w:szCs w:val="20"/>
          <w:color w:val="auto"/>
        </w:rPr>
      </w:pPr>
    </w:p>
    <w:p>
      <w:pPr>
        <w:jc w:val="both"/>
        <w:ind w:right="7"/>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Through the Federal Crop Insurance Corporation, the federal government subsidizes insurance companies by assuming an increasingly higher portion of losses incurred by farmers as a result of weather-related and other perils as well as commodity price fluctuations. The federal government also subsidizes the premium cost to farmers for multi-peril crop yield and revenue insurance. Without this risk assumption, losses incurred by insurers would be</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31</w:t>
      </w:r>
    </w:p>
    <w:p>
      <w:pPr>
        <w:sectPr>
          <w:pgSz w:w="12060" w:h="15667" w:orient="portrait"/>
          <w:cols w:equalWidth="0" w:num="1">
            <w:col w:w="9227"/>
          </w:cols>
          <w:pgMar w:left="1400" w:top="900" w:right="1440" w:bottom="203" w:gutter="0" w:footer="0" w:header="0"/>
          <w:type w:val="continuous"/>
        </w:sectPr>
      </w:pPr>
    </w:p>
    <w:bookmarkStart w:id="44" w:name="page45"/>
    <w:bookmarkEnd w:id="44"/>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higher, increasing the premium on such insurance, and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2022, the Bank had approximately $10.6 million in noninterest income attributable to sales of crop insurance.</w:t>
      </w:r>
    </w:p>
    <w:p>
      <w:pPr>
        <w:spacing w:after="0" w:line="25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Sustained volatility in oil prices and the energy industry, including in Texas, could lead to increased credit losses in our energy portfolio, weaker demand for energy lending, and adversely affect our business, results of operations and financial condition.</w:t>
      </w:r>
    </w:p>
    <w:p>
      <w:pPr>
        <w:spacing w:after="0" w:line="120" w:lineRule="exact"/>
        <w:rPr>
          <w:sz w:val="20"/>
          <w:szCs w:val="20"/>
          <w:color w:val="auto"/>
        </w:rPr>
      </w:pPr>
    </w:p>
    <w:p>
      <w:pPr>
        <w:jc w:val="both"/>
        <w:ind w:right="20" w:firstLine="394"/>
        <w:spacing w:after="0" w:line="246" w:lineRule="auto"/>
        <w:rPr>
          <w:sz w:val="20"/>
          <w:szCs w:val="20"/>
          <w:color w:val="auto"/>
        </w:rPr>
      </w:pPr>
      <w:r>
        <w:rPr>
          <w:rFonts w:ascii="Times New Roman" w:cs="Times New Roman" w:eastAsia="Times New Roman" w:hAnsi="Times New Roman"/>
          <w:sz w:val="20"/>
          <w:szCs w:val="20"/>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spacing w:after="0" w:line="24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119"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spacing w:after="0" w:line="25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Climate change and related legislative and regulatory initiatives may materially affect the Company’s business and results of operations.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The effects of climate change continue to create an alarming level of concern for the state of the global environment. As a result, the global business community has increased its political and social awareness surrounding the issue. Further, the U.S. Congress, state legislatures and federal and state regulatory agencies continue to propose numerous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w:t>
      </w: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060" w:h="15667" w:orient="portrait"/>
          <w:cols w:equalWidth="0" w:num="1">
            <w:col w:w="9240"/>
          </w:cols>
          <w:pgMar w:left="1400" w:top="912" w:right="1427" w:bottom="204" w:gutter="0" w:footer="0" w:header="0"/>
          <w:type w:val="continuous"/>
        </w:sectPr>
      </w:pPr>
    </w:p>
    <w:bookmarkStart w:id="45" w:name="page46"/>
    <w:bookmarkEnd w:id="45"/>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impossible to predict how specifically climate change may impact our financial condition and results of operations; however, the physical effects of climate change may also directly impact us. Specifically, unpredictable and more frequent weather disasters may adversely impact the value of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which could impact our financial condition and results of operations. Further, the effects of climate change may negatively impact regional and local economic activity, which could lead to an adverse effect on our customers and impact the communities in which we operate. Overall, climate change, its effects and the resulting, unknown impact could have a material adverse effect on our financial condition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amount of nonperforming assets may increase and can take significant time and resources to resolve.</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spacing w:after="0" w:line="319"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The properties that we own and certain foreclosed real estate assets could subject us to environmental risks and associated costs.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32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19" w:lineRule="exact"/>
        <w:rPr>
          <w:sz w:val="20"/>
          <w:szCs w:val="20"/>
          <w:color w:val="auto"/>
        </w:rPr>
      </w:pPr>
    </w:p>
    <w:p>
      <w:pPr>
        <w:jc w:val="both"/>
        <w:ind w:right="20" w:firstLine="394"/>
        <w:spacing w:after="0" w:line="242" w:lineRule="auto"/>
        <w:rPr>
          <w:sz w:val="20"/>
          <w:szCs w:val="20"/>
          <w:color w:val="auto"/>
        </w:rPr>
      </w:pPr>
      <w:r>
        <w:rPr>
          <w:rFonts w:ascii="Times New Roman" w:cs="Times New Roman" w:eastAsia="Times New Roman" w:hAnsi="Times New Roman"/>
          <w:sz w:val="20"/>
          <w:szCs w:val="20"/>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060" w:h="15667" w:orient="portrait"/>
          <w:cols w:equalWidth="0" w:num="1">
            <w:col w:w="9240"/>
          </w:cols>
          <w:pgMar w:left="1400" w:top="912" w:right="1427" w:bottom="204" w:gutter="0" w:footer="0" w:header="0"/>
          <w:type w:val="continuous"/>
        </w:sectPr>
      </w:pPr>
    </w:p>
    <w:bookmarkStart w:id="46" w:name="page47"/>
    <w:bookmarkEnd w:id="46"/>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spacing w:after="0" w:line="122"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largest loan relationships make up a material percentage of our total loan portfolio.</w:t>
      </w:r>
    </w:p>
    <w:p>
      <w:pPr>
        <w:spacing w:after="0" w:line="117" w:lineRule="exact"/>
        <w:rPr>
          <w:sz w:val="20"/>
          <w:szCs w:val="20"/>
          <w:color w:val="auto"/>
        </w:rPr>
      </w:pPr>
    </w:p>
    <w:p>
      <w:pPr>
        <w:jc w:val="both"/>
        <w:ind w:right="20" w:firstLine="394"/>
        <w:spacing w:after="0" w:line="243" w:lineRule="auto"/>
        <w:rPr>
          <w:sz w:val="20"/>
          <w:szCs w:val="20"/>
          <w:color w:val="auto"/>
        </w:rPr>
      </w:pPr>
      <w:r>
        <w:rPr>
          <w:rFonts w:ascii="Times New Roman" w:cs="Times New Roman" w:eastAsia="Times New Roman" w:hAnsi="Times New Roman"/>
          <w:sz w:val="20"/>
          <w:szCs w:val="20"/>
          <w:color w:val="auto"/>
        </w:rPr>
        <w:t>We have extended significant amounts of credit to a limited number of borrowers As of December 31, 2022, our 20 largest borrowing relationships ranged from approximately $22.2 million to $50.9 million (including unfunded commitments) and totaled approximately 18.1% of our outstanding commitments. If any of these relationships become delinquent or suffer default, we could be exposed to material losses which may have a material adverse effect on our business, financial condition and results of operations.</w:t>
      </w:r>
    </w:p>
    <w:p>
      <w:pPr>
        <w:spacing w:after="0" w:line="1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20"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At December 31, 2022, our 20 largest deposit relationships accounted for approximately 16.7%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7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Liquidity risk could impair our ability to fund operations and meet our obligations as they become due and could jeopardize our financial condition.</w:t>
      </w:r>
    </w:p>
    <w:p>
      <w:pPr>
        <w:spacing w:after="0" w:line="119"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Liquidity is essential to the business of the Bank.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spacing w:after="0" w:line="137"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If, as a result of general economic conditions or other events, sources of external funding become restricted or are eliminated, the Company may not be able to raise adequate funds or may incur substantially higher funding costs in order to raise the necessary funds to support the Company’s operations and growth or may be required to sell or restrict operations, or restrict the payment of dividends. Furthermore, if the Company is unable to raise adequate funds through external sources, the Company may need to sell assets with unrealized losses in order to generate additional liquidity, which could decrease the capital of the Company and have an adverse effect on our business, financial condition and results of operations.</w:t>
      </w:r>
    </w:p>
    <w:p>
      <w:pPr>
        <w:spacing w:after="0" w:line="16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Customers could pursue alternatives to bank deposits, causing us to lose a relatively inexpensive source of funding.</w:t>
      </w:r>
    </w:p>
    <w:p>
      <w:pPr>
        <w:spacing w:after="0" w:line="119" w:lineRule="exact"/>
        <w:rPr>
          <w:sz w:val="20"/>
          <w:szCs w:val="20"/>
          <w:color w:val="auto"/>
        </w:rPr>
      </w:pPr>
    </w:p>
    <w:p>
      <w:pPr>
        <w:jc w:val="both"/>
        <w:ind w:right="20" w:firstLine="394"/>
        <w:spacing w:after="0" w:line="236" w:lineRule="auto"/>
        <w:rPr>
          <w:sz w:val="20"/>
          <w:szCs w:val="20"/>
          <w:color w:val="auto"/>
        </w:rPr>
      </w:pPr>
      <w:r>
        <w:rPr>
          <w:rFonts w:ascii="Times New Roman" w:cs="Times New Roman" w:eastAsia="Times New Roman" w:hAnsi="Times New Roman"/>
          <w:sz w:val="20"/>
          <w:szCs w:val="20"/>
          <w:color w:val="auto"/>
        </w:rPr>
        <w:t>Technology has made it more convenient for bank customers to transfer funds into alternative investments or other deposit accounts, including products offered by other financial institutions or non-bank service providers. In</w:t>
      </w:r>
    </w:p>
    <w:p>
      <w:pPr>
        <w:sectPr>
          <w:pgSz w:w="12060" w:h="15667" w:orient="portrait"/>
          <w:cols w:equalWidth="0" w:num="1">
            <w:col w:w="9240"/>
          </w:cols>
          <w:pgMar w:left="1400" w:top="912" w:right="1427" w:bottom="203"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060" w:h="15667" w:orient="portrait"/>
          <w:cols w:equalWidth="0" w:num="1">
            <w:col w:w="9240"/>
          </w:cols>
          <w:pgMar w:left="1400" w:top="912" w:right="1427" w:bottom="203" w:gutter="0" w:footer="0" w:header="0"/>
          <w:type w:val="continuous"/>
        </w:sectPr>
      </w:pPr>
    </w:p>
    <w:bookmarkStart w:id="47" w:name="page48"/>
    <w:bookmarkEnd w:id="47"/>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spacing w:after="0" w:line="19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continually encounter technological changes which could result in us having fewer resources than many of our competitors to continue to invest in technological improvements.</w:t>
      </w:r>
    </w:p>
    <w:p>
      <w:pPr>
        <w:spacing w:after="0" w:line="119"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impacted by the transition from LIBOR as a reference rate.</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The United Kingdom’s Financial Conduct Authority (the authority that regulates LIBOR) previously announced it intends to stop compelling banks to submit rates for the calculation of LIBOR after December 31, 2021 and the publication of the most commonly used U.S. dollar LIBOR settings will cease to be published after June 2023. While there is no consensus on what rate or rates may become accepted alternatives to LIBOR, the Alternative Reference Rates Committee has proposed the Secured Overnight Financing Rate (‘‘SOFR’’) as the alternative rate for use in derivatives and other financial contracts currently being indexed to LIBOR. SOFR is a daily index of the interest rate banks and hedge funds pay to borrow money overnight, secured by U.S. Treasury securities. At this time, it is not possible to predict whether SOFR will attain market traction as a LIBOR replacement tool, and the future of LIBOR is still uncertain.</w:t>
      </w:r>
    </w:p>
    <w:p>
      <w:pPr>
        <w:spacing w:after="0" w:line="134"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In October 2021, the federal bank regulatory agencies issued a Joint Statement on Managing the LIBOR Transition. In that guidance, the agencies offered their regulatory expectations and outlined potential supervisory and enforcement consequences for banks that fail to adequately plan for and implement the transition away from LIBOR. The failure to properly transition away from LIBOR may result in increased supervisory scrutiny. In addition, the implementation of LIBOR reform proposals may result in increased compliance costs and operational costs, including costs related to continued participation in LIBOR and the transition to a replacement reference rate or rates. We cannot reasonably estimate the expected cost. At December 31, 2022, we had interest-rate swap contracts and other borrowings indexed to LIBOR.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Deposit outflows may increase reliance on borrowings and brokered deposits as sources of funds.</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18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may be adversely impacted by an economic downturn or a natural disaster affecting one or more of our market areas.</w:t>
      </w:r>
    </w:p>
    <w:p>
      <w:pPr>
        <w:spacing w:after="0" w:line="119" w:lineRule="exact"/>
        <w:rPr>
          <w:sz w:val="20"/>
          <w:szCs w:val="20"/>
          <w:color w:val="auto"/>
        </w:rPr>
      </w:pPr>
    </w:p>
    <w:p>
      <w:pPr>
        <w:jc w:val="both"/>
        <w:ind w:right="20" w:firstLine="394"/>
        <w:spacing w:after="0" w:line="258" w:lineRule="auto"/>
        <w:rPr>
          <w:sz w:val="20"/>
          <w:szCs w:val="20"/>
          <w:color w:val="auto"/>
        </w:rPr>
      </w:pPr>
      <w:r>
        <w:rPr>
          <w:rFonts w:ascii="Times New Roman" w:cs="Times New Roman" w:eastAsia="Times New Roman" w:hAnsi="Times New Roman"/>
          <w:sz w:val="19"/>
          <w:szCs w:val="19"/>
          <w:color w:val="auto"/>
        </w:rPr>
        <w:t>Because most of our business activities are conducted in Texas and New Mexico and most of our credit exposure is there, we are at risk to adverse economic, political or business developments, including a downturn in real estate</w:t>
      </w:r>
    </w:p>
    <w:p>
      <w:pPr>
        <w:sectPr>
          <w:pgSz w:w="12060" w:h="15667" w:orient="portrait"/>
          <w:cols w:equalWidth="0" w:num="1">
            <w:col w:w="9240"/>
          </w:cols>
          <w:pgMar w:left="1400" w:top="912" w:right="1427" w:bottom="203"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060" w:h="15667" w:orient="portrait"/>
          <w:cols w:equalWidth="0" w:num="1">
            <w:col w:w="9240"/>
          </w:cols>
          <w:pgMar w:left="1400" w:top="912" w:right="1427" w:bottom="203" w:gutter="0" w:footer="0" w:header="0"/>
          <w:type w:val="continuous"/>
        </w:sectPr>
      </w:pPr>
    </w:p>
    <w:bookmarkStart w:id="48" w:name="page49"/>
    <w:bookmarkEnd w:id="48"/>
    <w:p>
      <w:pPr>
        <w:jc w:val="both"/>
        <w:ind w:right="7"/>
        <w:spacing w:after="0" w:line="259" w:lineRule="auto"/>
        <w:rPr>
          <w:sz w:val="20"/>
          <w:szCs w:val="20"/>
          <w:color w:val="auto"/>
        </w:rPr>
      </w:pPr>
      <w:r>
        <w:rPr>
          <w:rFonts w:ascii="Times New Roman" w:cs="Times New Roman" w:eastAsia="Times New Roman" w:hAnsi="Times New Roman"/>
          <w:sz w:val="19"/>
          <w:szCs w:val="19"/>
          <w:color w:val="auto"/>
        </w:rPr>
        <w:t>values, agricultural activities, the oil and gas industry and natural hazards such as floods, ice storms and tornadoes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Mortgage originations have decreased due to declines in refinance activity, and this trend may continue.</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Mortgage revenues, which are primarily recognized from the sale in the secondary market of mortgage loans, are a source of noninterest income for the Bank and a contributor to the Bank’s net income. Mortgage revenues for the year ended December 31, 2022 were $31.4 million.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spacing w:after="0" w:line="140" w:lineRule="exact"/>
        <w:rPr>
          <w:sz w:val="20"/>
          <w:szCs w:val="20"/>
          <w:color w:val="auto"/>
        </w:rPr>
      </w:pPr>
    </w:p>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Market conditions could have a material impact on our ability to sell originated mortgages in the secondary market.</w:t>
      </w:r>
    </w:p>
    <w:p>
      <w:pPr>
        <w:spacing w:after="0" w:line="119"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value of our mortgage servicing rights can be volatile.</w:t>
      </w:r>
    </w:p>
    <w:p>
      <w:pPr>
        <w:spacing w:after="0" w:line="11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13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$27.5 million of mortgage servicing rights as of December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framework may not be effective in mitigating risks or losses to us.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33" w:lineRule="exact"/>
        <w:rPr>
          <w:sz w:val="20"/>
          <w:szCs w:val="20"/>
          <w:color w:val="auto"/>
        </w:rPr>
      </w:pPr>
    </w:p>
    <w:p>
      <w:pPr>
        <w:jc w:val="both"/>
        <w:ind w:right="7"/>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20"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36</w:t>
      </w:r>
    </w:p>
    <w:p>
      <w:pPr>
        <w:sectPr>
          <w:pgSz w:w="12060" w:h="15667" w:orient="portrait"/>
          <w:cols w:equalWidth="0" w:num="1">
            <w:col w:w="9227"/>
          </w:cols>
          <w:pgMar w:left="1400" w:top="912" w:right="1440" w:bottom="203" w:gutter="0" w:footer="0" w:header="0"/>
          <w:type w:val="continuous"/>
        </w:sectPr>
      </w:pPr>
    </w:p>
    <w:bookmarkStart w:id="49" w:name="page50"/>
    <w:bookmarkEnd w:id="49"/>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137"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are investment performance, fiduciary and asset servicing risks associated with our trust operations.</w:t>
      </w:r>
    </w:p>
    <w:p>
      <w:pPr>
        <w:spacing w:after="0" w:line="117"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cybersecurity risks associated with our internet-based systems and online commerce security.</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125"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6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Our operations could be interrupted if our third-party service providers experience difficulty, terminate their services or fail to comply with banking regulations.</w:t>
      </w:r>
    </w:p>
    <w:p>
      <w:pPr>
        <w:spacing w:after="0" w:line="119"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spacing w:after="0" w:line="155"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operating risks related to employee error and customer, employee and third party misconduct, which could harm our reputation and business.</w:t>
      </w:r>
    </w:p>
    <w:p>
      <w:pPr>
        <w:spacing w:after="0" w:line="119" w:lineRule="exact"/>
        <w:rPr>
          <w:sz w:val="20"/>
          <w:szCs w:val="20"/>
          <w:color w:val="auto"/>
        </w:rPr>
      </w:pPr>
    </w:p>
    <w:p>
      <w:pPr>
        <w:jc w:val="both"/>
        <w:ind w:right="20" w:firstLine="394"/>
        <w:spacing w:after="0" w:line="258" w:lineRule="auto"/>
        <w:rPr>
          <w:sz w:val="20"/>
          <w:szCs w:val="20"/>
          <w:color w:val="auto"/>
        </w:rPr>
      </w:pPr>
      <w:r>
        <w:rPr>
          <w:rFonts w:ascii="Times New Roman" w:cs="Times New Roman" w:eastAsia="Times New Roman" w:hAnsi="Times New Roman"/>
          <w:sz w:val="19"/>
          <w:szCs w:val="19"/>
          <w:color w:val="auto"/>
        </w:rPr>
        <w:t>Employee error or employee and customer misconduct could subject us to financial losses or regulatory sanctions and harm our reputation. Misconduct by our employees could include hiding unauthorized activities from</w:t>
      </w: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060" w:h="15667" w:orient="portrait"/>
          <w:cols w:equalWidth="0" w:num="1">
            <w:col w:w="9240"/>
          </w:cols>
          <w:pgMar w:left="1400" w:top="912" w:right="1427" w:bottom="204" w:gutter="0" w:footer="0" w:header="0"/>
          <w:type w:val="continuous"/>
        </w:sectPr>
      </w:pPr>
    </w:p>
    <w:bookmarkStart w:id="50" w:name="page51"/>
    <w:bookmarkEnd w:id="50"/>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370"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We rely heavily on our management team and the unexpected loss of key officers may adversely affect our operations.</w:t>
      </w:r>
    </w:p>
    <w:p>
      <w:pPr>
        <w:spacing w:after="0" w:line="129" w:lineRule="exact"/>
        <w:rPr>
          <w:sz w:val="20"/>
          <w:szCs w:val="20"/>
          <w:color w:val="auto"/>
        </w:rPr>
      </w:pPr>
    </w:p>
    <w:p>
      <w:pPr>
        <w:jc w:val="both"/>
        <w:ind w:right="20" w:firstLine="394"/>
        <w:spacing w:after="0" w:line="255" w:lineRule="auto"/>
        <w:rPr>
          <w:sz w:val="20"/>
          <w:szCs w:val="20"/>
          <w:color w:val="auto"/>
        </w:rPr>
      </w:pPr>
      <w:r>
        <w:rPr>
          <w:rFonts w:ascii="Times New Roman" w:cs="Times New Roman" w:eastAsia="Times New Roman" w:hAnsi="Times New Roman"/>
          <w:sz w:val="20"/>
          <w:szCs w:val="20"/>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3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ability to develop, retain and recruit additional successful bankers is critical to the success of our business strategy, and any failure to do so could adversely affect our business, financial condition, results of operations and future prospects.</w:t>
      </w:r>
    </w:p>
    <w:p>
      <w:pPr>
        <w:spacing w:after="0" w:line="129" w:lineRule="exact"/>
        <w:rPr>
          <w:sz w:val="20"/>
          <w:szCs w:val="20"/>
          <w:color w:val="auto"/>
        </w:rPr>
      </w:pPr>
    </w:p>
    <w:p>
      <w:pPr>
        <w:jc w:val="both"/>
        <w:ind w:right="20" w:firstLine="394"/>
        <w:spacing w:after="0" w:line="253" w:lineRule="auto"/>
        <w:rPr>
          <w:sz w:val="20"/>
          <w:szCs w:val="20"/>
          <w:color w:val="auto"/>
        </w:rPr>
      </w:pPr>
      <w:r>
        <w:rPr>
          <w:rFonts w:ascii="Times New Roman" w:cs="Times New Roman" w:eastAsia="Times New Roman" w:hAnsi="Times New Roman"/>
          <w:sz w:val="20"/>
          <w:szCs w:val="20"/>
          <w:color w:val="auto"/>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it is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from other financial intermediaries may adversely affect our profitability.</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060" w:h="15667" w:orient="portrait"/>
          <w:cols w:equalWidth="0" w:num="1">
            <w:col w:w="9240"/>
          </w:cols>
          <w:pgMar w:left="1400" w:top="912" w:right="1427" w:bottom="204" w:gutter="0" w:footer="0" w:header="0"/>
          <w:type w:val="continuous"/>
        </w:sectPr>
      </w:pPr>
    </w:p>
    <w:bookmarkStart w:id="51" w:name="page52"/>
    <w:bookmarkEnd w:id="51"/>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 over financial reporting, we may not be able to accurately report its financial results or prevent fraud.</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obligations associated with being a public company require significant resources and management attention.</w:t>
      </w:r>
    </w:p>
    <w:p>
      <w:pPr>
        <w:spacing w:after="0" w:line="121"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equity compensation plan will cause dilution and increase our costs, which will reduce our income.</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public opinion could damage our reputation and adversely impact our earnings.</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companies are facing increased scrutiny from customers, regulators, investors, and other stakeholders related to their environmental, social and governance (‘‘ESG’’) practices and disclosure. Investor advocacy groups, investment funds and influential</w:t>
      </w:r>
    </w:p>
    <w:p>
      <w:pPr>
        <w:sectPr>
          <w:pgSz w:w="12060" w:h="15667" w:orient="portrait"/>
          <w:cols w:equalWidth="0" w:num="1">
            <w:col w:w="9240"/>
          </w:cols>
          <w:pgMar w:left="1400" w:top="908" w:right="1427" w:bottom="204"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060" w:h="15667" w:orient="portrait"/>
          <w:cols w:equalWidth="0" w:num="1">
            <w:col w:w="9240"/>
          </w:cols>
          <w:pgMar w:left="1400" w:top="908" w:right="1427" w:bottom="204" w:gutter="0" w:footer="0" w:header="0"/>
          <w:type w:val="continuous"/>
        </w:sectPr>
      </w:pPr>
    </w:p>
    <w:bookmarkStart w:id="52" w:name="page53"/>
    <w:bookmarkEnd w:id="52"/>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investors are also increasingly focused on these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new government regulations could also result in new or more stringent forms of ESG oversight and expanding mandatory and voluntary reporting, diligence, and disclosure. Increased ESG-related compliance costs could result in increases to our overall operational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affected by the soundness of other financial institutions.</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Until May 31, 2018, our Company was an S Corporation, and claims of taxing authorities related to our prior status as an S Corporation could harm us.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Regulatory Environment</w:t>
      </w:r>
    </w:p>
    <w:p>
      <w:pPr>
        <w:spacing w:after="0" w:line="113"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environment and the laws and regulations that govern our operations, corporate governance, executive compensation and accounting principles, or changes in them, or failure to comply with them, could adversely affect us.</w:t>
      </w:r>
    </w:p>
    <w:p>
      <w:pPr>
        <w:spacing w:after="0" w:line="120" w:lineRule="exact"/>
        <w:rPr>
          <w:sz w:val="20"/>
          <w:szCs w:val="20"/>
          <w:color w:val="auto"/>
        </w:rPr>
      </w:pPr>
    </w:p>
    <w:p>
      <w:pPr>
        <w:jc w:val="both"/>
        <w:ind w:right="20" w:firstLine="394"/>
        <w:spacing w:after="0" w:line="246" w:lineRule="auto"/>
        <w:rPr>
          <w:sz w:val="20"/>
          <w:szCs w:val="20"/>
          <w:color w:val="auto"/>
        </w:rPr>
      </w:pPr>
      <w:r>
        <w:rPr>
          <w:rFonts w:ascii="Times New Roman" w:cs="Times New Roman" w:eastAsia="Times New Roman" w:hAnsi="Times New Roman"/>
          <w:sz w:val="20"/>
          <w:szCs w:val="20"/>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sectPr>
          <w:pgSz w:w="12060" w:h="15667" w:orient="portrait"/>
          <w:cols w:equalWidth="0" w:num="1">
            <w:col w:w="9240"/>
          </w:cols>
          <w:pgMar w:left="1400" w:top="912" w:right="1427" w:bottom="203"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060" w:h="15667" w:orient="portrait"/>
          <w:cols w:equalWidth="0" w:num="1">
            <w:col w:w="9240"/>
          </w:cols>
          <w:pgMar w:left="1400" w:top="912" w:right="1427" w:bottom="203" w:gutter="0" w:footer="0" w:header="0"/>
          <w:type w:val="continuous"/>
        </w:sectPr>
      </w:pPr>
    </w:p>
    <w:bookmarkStart w:id="53" w:name="page54"/>
    <w:bookmarkEnd w:id="53"/>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commercial real estate lending guidance issued by the federal banking regulators that impacts our operations and capital requirements.</w:t>
      </w:r>
    </w:p>
    <w:p>
      <w:pPr>
        <w:spacing w:after="0" w:line="119"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As of December 31, 2022, our ADC loans comprised 99.8% of the Bank’s capital, and our non-owner occupied commercial real estate loans comprised 256.2% of the Bank’s capital.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29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Legislative and regulatory actions taken now or in the future may increase our costs and impact our business, governance structure, financial condition or results of operations.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28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Many of our new activities and expansion plans require regulatory approvals, and failure to obtain them may restrict our growth.</w:t>
      </w:r>
    </w:p>
    <w:p>
      <w:pPr>
        <w:spacing w:after="0" w:line="119"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Federal Reserve may require the Company to commit capital resources to support the Bank.</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sectPr>
          <w:pgSz w:w="12060" w:h="15667" w:orient="portrait"/>
          <w:cols w:equalWidth="0" w:num="1">
            <w:col w:w="9240"/>
          </w:cols>
          <w:pgMar w:left="1400" w:top="908" w:right="1427" w:bottom="204"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060" w:h="15667" w:orient="portrait"/>
          <w:cols w:equalWidth="0" w:num="1">
            <w:col w:w="9240"/>
          </w:cols>
          <w:pgMar w:left="1400" w:top="908" w:right="1427" w:bottom="204" w:gutter="0" w:footer="0" w:header="0"/>
          <w:type w:val="continuous"/>
        </w:sectPr>
      </w:pPr>
    </w:p>
    <w:bookmarkStart w:id="54" w:name="page55"/>
    <w:bookmarkEnd w:id="54"/>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As a regulated entity, we and the Bank must maintain certain required levels of regulatory capital that may limit our and the Bank’s operations and potential growth.</w:t>
      </w:r>
    </w:p>
    <w:p>
      <w:pPr>
        <w:spacing w:after="0" w:line="119"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245" w:lineRule="exact"/>
        <w:rPr>
          <w:sz w:val="20"/>
          <w:szCs w:val="20"/>
          <w:color w:val="auto"/>
        </w:rPr>
      </w:pPr>
    </w:p>
    <w:p>
      <w:pPr>
        <w:jc w:val="both"/>
        <w:ind w:right="7"/>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120"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221" w:lineRule="exact"/>
        <w:rPr>
          <w:sz w:val="20"/>
          <w:szCs w:val="20"/>
          <w:color w:val="auto"/>
        </w:rPr>
      </w:pPr>
    </w:p>
    <w:p>
      <w:pPr>
        <w:jc w:val="both"/>
        <w:ind w:right="7"/>
        <w:spacing w:after="0" w:line="22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120"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218" w:lineRule="exact"/>
        <w:rPr>
          <w:sz w:val="20"/>
          <w:szCs w:val="20"/>
          <w:color w:val="auto"/>
        </w:rPr>
      </w:pPr>
    </w:p>
    <w:p>
      <w:pPr>
        <w:jc w:val="both"/>
        <w:ind w:right="7"/>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and implement adequate programs to combat money laundering and terrorist financing could have serious reputational consequences for us.</w:t>
      </w:r>
    </w:p>
    <w:p>
      <w:pPr>
        <w:spacing w:after="0" w:line="119"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ectPr>
          <w:pgSz w:w="12060" w:h="15667" w:orient="portrait"/>
          <w:cols w:equalWidth="0" w:num="1">
            <w:col w:w="9227"/>
          </w:cols>
          <w:pgMar w:left="1400" w:top="908" w:right="1440" w:bottom="203"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42</w:t>
      </w:r>
    </w:p>
    <w:p>
      <w:pPr>
        <w:sectPr>
          <w:pgSz w:w="12060" w:h="15667" w:orient="portrait"/>
          <w:cols w:equalWidth="0" w:num="1">
            <w:col w:w="9227"/>
          </w:cols>
          <w:pgMar w:left="1400" w:top="908" w:right="1440" w:bottom="203" w:gutter="0" w:footer="0" w:header="0"/>
          <w:type w:val="continuous"/>
        </w:sectPr>
      </w:pPr>
    </w:p>
    <w:bookmarkStart w:id="55" w:name="page56"/>
    <w:bookmarkEnd w:id="55"/>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increased risk under the terms of the CRA, as we accept additional deposits in new geographic markets.</w:t>
      </w:r>
    </w:p>
    <w:p>
      <w:pPr>
        <w:spacing w:after="0" w:line="11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spacing w:after="0" w:line="278"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federal and state fair lending laws, and failure to comply with these laws could lead to material penalties.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277"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Our financial condition, earnings and asset quality could be adversely affected if our consumer facing operations do not operate in compliance with applicable regulations.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sectPr>
          <w:pgSz w:w="12060" w:h="15667" w:orient="portrait"/>
          <w:cols w:equalWidth="0" w:num="1">
            <w:col w:w="9240"/>
          </w:cols>
          <w:pgMar w:left="1400" w:top="908" w:right="1427" w:bottom="204"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060" w:h="15667" w:orient="portrait"/>
          <w:cols w:equalWidth="0" w:num="1">
            <w:col w:w="9240"/>
          </w:cols>
          <w:pgMar w:left="1400" w:top="908" w:right="1427" w:bottom="204"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public trading market may not be sustained.</w:t>
      </w:r>
    </w:p>
    <w:p>
      <w:pPr>
        <w:spacing w:after="0" w:line="117" w:lineRule="exact"/>
        <w:rPr>
          <w:sz w:val="20"/>
          <w:szCs w:val="20"/>
          <w:color w:val="auto"/>
        </w:rPr>
      </w:pPr>
    </w:p>
    <w:p>
      <w:pPr>
        <w:jc w:val="both"/>
        <w:ind w:right="20" w:firstLine="394"/>
        <w:spacing w:after="0" w:line="243" w:lineRule="auto"/>
        <w:rPr>
          <w:sz w:val="20"/>
          <w:szCs w:val="20"/>
          <w:color w:val="auto"/>
        </w:rPr>
      </w:pPr>
      <w:r>
        <w:rPr>
          <w:rFonts w:ascii="Times New Roman" w:cs="Times New Roman" w:eastAsia="Times New Roman" w:hAnsi="Times New Roman"/>
          <w:sz w:val="20"/>
          <w:szCs w:val="20"/>
          <w:color w:val="auto"/>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spacing w:after="0" w:line="3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pacing w:after="0" w:line="34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119"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350"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19"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directors and executive officers have significant control over our business.</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ectPr>
          <w:pgSz w:w="12060" w:h="15667" w:orient="portrait"/>
          <w:cols w:equalWidth="0" w:num="1">
            <w:col w:w="9240"/>
          </w:cols>
          <w:pgMar w:left="1400" w:top="900" w:right="1427" w:bottom="203"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060" w:h="15667" w:orient="portrait"/>
          <w:cols w:equalWidth="0" w:num="1">
            <w:col w:w="9240"/>
          </w:cols>
          <w:pgMar w:left="1400" w:top="900" w:right="1427" w:bottom="203" w:gutter="0" w:footer="0" w:header="0"/>
          <w:type w:val="continuous"/>
        </w:sectPr>
      </w:pPr>
    </w:p>
    <w:bookmarkStart w:id="57" w:name="page58"/>
    <w:bookmarkEnd w:id="57"/>
    <w:p>
      <w:pPr>
        <w:jc w:val="both"/>
        <w:ind w:right="2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129" w:lineRule="exact"/>
        <w:rPr>
          <w:sz w:val="20"/>
          <w:szCs w:val="20"/>
          <w:color w:val="auto"/>
        </w:rPr>
      </w:pPr>
    </w:p>
    <w:p>
      <w:pPr>
        <w:jc w:val="both"/>
        <w:ind w:right="20" w:firstLine="394"/>
        <w:spacing w:after="0" w:line="262" w:lineRule="auto"/>
        <w:rPr>
          <w:sz w:val="20"/>
          <w:szCs w:val="20"/>
          <w:color w:val="auto"/>
        </w:rPr>
      </w:pPr>
      <w:r>
        <w:rPr>
          <w:rFonts w:ascii="Times New Roman" w:cs="Times New Roman" w:eastAsia="Times New Roman" w:hAnsi="Times New Roman"/>
          <w:sz w:val="19"/>
          <w:szCs w:val="19"/>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dividend policy may change without notice, and our future ability to pay dividends is subject to restrictions.</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spacing w:after="0" w:line="37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are a bank holding company and our only source of cash, other than issuances of securities, is distributions from the Bank.</w:t>
      </w:r>
    </w:p>
    <w:p>
      <w:pPr>
        <w:spacing w:after="0" w:line="119" w:lineRule="exact"/>
        <w:rPr>
          <w:sz w:val="20"/>
          <w:szCs w:val="20"/>
          <w:color w:val="auto"/>
        </w:rPr>
      </w:pPr>
    </w:p>
    <w:p>
      <w:pPr>
        <w:jc w:val="both"/>
        <w:ind w:right="20" w:firstLine="394"/>
        <w:spacing w:after="0" w:line="242" w:lineRule="auto"/>
        <w:rPr>
          <w:sz w:val="20"/>
          <w:szCs w:val="20"/>
          <w:color w:val="auto"/>
        </w:rPr>
      </w:pPr>
      <w:r>
        <w:rPr>
          <w:rFonts w:ascii="Times New Roman" w:cs="Times New Roman" w:eastAsia="Times New Roman" w:hAnsi="Times New Roman"/>
          <w:sz w:val="20"/>
          <w:szCs w:val="20"/>
          <w:color w:val="auto"/>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spacing w:after="0" w:line="369"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the reduced reporting requirements applicable to emerging growth companies may make our common stock less attractive to investors.</w:t>
      </w:r>
    </w:p>
    <w:p>
      <w:pPr>
        <w:spacing w:after="0" w:line="119"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We are an ‘‘emerging growth company,’’ as defined in The Jumpstart Our Business Startups Act (‘‘JOBS Act’’), and we have taken advantage of certain reduced regulatory and reporting requirements that are otherwise generally applicable to public companies that are not emerging growth companies. 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Investors and securities analysts may find it more difficult to evaluate our common stock because we may rely on one or more of these exemptions, and, as a result, investor confidence and the market price of our common stock may be materially and adversely affected.</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investment in our common stock is not an insured deposit and is subject to risk of loss.</w:t>
      </w:r>
    </w:p>
    <w:p>
      <w:pPr>
        <w:spacing w:after="0" w:line="117" w:lineRule="exact"/>
        <w:rPr>
          <w:sz w:val="20"/>
          <w:szCs w:val="20"/>
          <w:color w:val="auto"/>
        </w:rPr>
      </w:pPr>
    </w:p>
    <w:p>
      <w:pPr>
        <w:jc w:val="both"/>
        <w:ind w:right="20" w:firstLine="394"/>
        <w:spacing w:after="0"/>
        <w:rPr>
          <w:sz w:val="20"/>
          <w:szCs w:val="20"/>
          <w:color w:val="auto"/>
        </w:rPr>
      </w:pPr>
      <w:r>
        <w:rPr>
          <w:rFonts w:ascii="Times New Roman" w:cs="Times New Roman" w:eastAsia="Times New Roman" w:hAnsi="Times New Roman"/>
          <w:sz w:val="20"/>
          <w:szCs w:val="20"/>
          <w:color w:val="auto"/>
        </w:rPr>
        <w:t>An investment in our common stock is not a bank deposit and is not insured against loss or guaranteed by the FDIC, any deposit insurance fund or by any other public or private entity. As a result, you could lose some or all of your investment.</w:t>
      </w:r>
    </w:p>
    <w:p>
      <w:pPr>
        <w:spacing w:after="0" w:line="3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ectPr>
          <w:pgSz w:w="12060" w:h="15667" w:orient="portrait"/>
          <w:cols w:equalWidth="0" w:num="1">
            <w:col w:w="9240"/>
          </w:cols>
          <w:pgMar w:left="1400" w:top="908" w:right="1427" w:bottom="204"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060" w:h="15667" w:orient="portrait"/>
          <w:cols w:equalWidth="0" w:num="1">
            <w:col w:w="9240"/>
          </w:cols>
          <w:pgMar w:left="1400" w:top="908" w:right="1427" w:bottom="204" w:gutter="0" w:footer="0" w:header="0"/>
          <w:type w:val="continuous"/>
        </w:sectPr>
      </w:pPr>
    </w:p>
    <w:bookmarkStart w:id="58" w:name="page59"/>
    <w:bookmarkEnd w:id="58"/>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1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ectPr>
          <w:pgSz w:w="12060" w:h="15667" w:orient="portrait"/>
          <w:cols w:equalWidth="0" w:num="1">
            <w:col w:w="9227"/>
          </w:cols>
          <w:pgMar w:left="1400" w:top="900" w:right="1440" w:bottom="203"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center"/>
              <w:ind w:right="1345"/>
              <w:spacing w:after="0"/>
              <w:rPr>
                <w:sz w:val="20"/>
                <w:szCs w:val="20"/>
                <w:color w:val="auto"/>
              </w:rPr>
            </w:pPr>
            <w:r>
              <w:rPr>
                <w:rFonts w:ascii="Times New Roman" w:cs="Times New Roman" w:eastAsia="Times New Roman" w:hAnsi="Times New Roman"/>
                <w:sz w:val="16"/>
                <w:szCs w:val="16"/>
                <w:b w:val="1"/>
                <w:bCs w:val="1"/>
                <w:color w:val="auto"/>
                <w:w w:val="98"/>
              </w:rPr>
              <w:t>Lubbock/South Plains</w:t>
            </w:r>
          </w:p>
        </w:tc>
      </w:tr>
      <w:tr>
        <w:trPr>
          <w:trHeight w:val="251"/>
        </w:trPr>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Main Branch</w:t>
            </w:r>
          </w:p>
        </w:tc>
      </w:tr>
      <w:tr>
        <w:trPr>
          <w:trHeight w:val="26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Pr>
          <w:p>
            <w:pPr>
              <w:jc w:val="center"/>
              <w:spacing w:after="0" w:line="263" w:lineRule="exact"/>
              <w:rPr>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Branch</w:t>
            </w:r>
          </w:p>
        </w:tc>
      </w:tr>
      <w:tr>
        <w:trPr>
          <w:trHeight w:val="27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tcPr>
          <w:p>
            <w:pPr>
              <w:jc w:val="center"/>
              <w:spacing w:after="0" w:line="272" w:lineRule="exact"/>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and Indiana Branch</w:t>
            </w:r>
          </w:p>
        </w:tc>
      </w:tr>
      <w:tr>
        <w:trPr>
          <w:trHeight w:val="218"/>
        </w:trPr>
        <w:tc>
          <w:tcPr>
            <w:tcW w:w="144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jc w:val="center"/>
              <w:spacing w:after="0" w:line="218" w:lineRule="exact"/>
              <w:rPr>
                <w:sz w:val="20"/>
                <w:szCs w:val="20"/>
                <w:color w:val="auto"/>
              </w:rPr>
            </w:pPr>
            <w:r>
              <w:rPr>
                <w:rFonts w:ascii="Times New Roman" w:cs="Times New Roman" w:eastAsia="Times New Roman" w:hAnsi="Times New Roman"/>
                <w:sz w:val="20"/>
                <w:szCs w:val="20"/>
                <w:color w:val="auto"/>
              </w:rPr>
              <w:t>Kingsgate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Milwaukee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Overton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Lubbock</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University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Morton</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Idalou</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Levelland</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453"/>
        </w:trPr>
        <w:tc>
          <w:tcPr>
            <w:tcW w:w="14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center"/>
              <w:ind w:right="1325"/>
              <w:spacing w:after="0"/>
              <w:rPr>
                <w:sz w:val="20"/>
                <w:szCs w:val="20"/>
                <w:color w:val="auto"/>
              </w:rPr>
            </w:pPr>
            <w:r>
              <w:rPr>
                <w:rFonts w:ascii="Times New Roman" w:cs="Times New Roman" w:eastAsia="Times New Roman" w:hAnsi="Times New Roman"/>
                <w:sz w:val="16"/>
                <w:szCs w:val="16"/>
                <w:b w:val="1"/>
                <w:bCs w:val="1"/>
                <w:color w:val="auto"/>
              </w:rPr>
              <w:t>El Paso</w:t>
            </w:r>
          </w:p>
        </w:tc>
      </w:tr>
      <w:tr>
        <w:trPr>
          <w:trHeight w:val="251"/>
        </w:trPr>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El Paso</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East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El Paso</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West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El Paso</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Mesa Hills LPO</w:t>
            </w:r>
          </w:p>
        </w:tc>
      </w:tr>
      <w:tr>
        <w:trPr>
          <w:trHeight w:val="453"/>
        </w:trPr>
        <w:tc>
          <w:tcPr>
            <w:tcW w:w="14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center"/>
              <w:ind w:right="1345"/>
              <w:spacing w:after="0"/>
              <w:rPr>
                <w:sz w:val="20"/>
                <w:szCs w:val="20"/>
                <w:color w:val="auto"/>
              </w:rPr>
            </w:pPr>
            <w:r>
              <w:rPr>
                <w:rFonts w:ascii="Times New Roman" w:cs="Times New Roman" w:eastAsia="Times New Roman" w:hAnsi="Times New Roman"/>
                <w:sz w:val="16"/>
                <w:szCs w:val="16"/>
                <w:b w:val="1"/>
                <w:bCs w:val="1"/>
                <w:color w:val="auto"/>
                <w:w w:val="99"/>
              </w:rPr>
              <w:t>Bryan/College Station</w:t>
            </w:r>
          </w:p>
        </w:tc>
      </w:tr>
      <w:tr>
        <w:trPr>
          <w:trHeight w:val="251"/>
        </w:trPr>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College Station</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College Station</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LPO</w:t>
            </w:r>
          </w:p>
        </w:tc>
      </w:tr>
      <w:tr>
        <w:trPr>
          <w:trHeight w:val="453"/>
        </w:trPr>
        <w:tc>
          <w:tcPr>
            <w:tcW w:w="14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center"/>
              <w:ind w:right="1325"/>
              <w:spacing w:after="0"/>
              <w:rPr>
                <w:sz w:val="20"/>
                <w:szCs w:val="20"/>
                <w:color w:val="auto"/>
              </w:rPr>
            </w:pPr>
            <w:r>
              <w:rPr>
                <w:rFonts w:ascii="Times New Roman" w:cs="Times New Roman" w:eastAsia="Times New Roman" w:hAnsi="Times New Roman"/>
                <w:sz w:val="16"/>
                <w:szCs w:val="16"/>
                <w:b w:val="1"/>
                <w:bCs w:val="1"/>
                <w:color w:val="auto"/>
              </w:rPr>
              <w:t>The Permian Basin</w:t>
            </w:r>
          </w:p>
        </w:tc>
      </w:tr>
      <w:tr>
        <w:trPr>
          <w:trHeight w:val="251"/>
        </w:trPr>
        <w:tc>
          <w:tcPr>
            <w:tcW w:w="14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Odessa</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University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Odessa</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Grandview 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Midland</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Kermit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Fort Stockton</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r>
        <w:trPr>
          <w:trHeight w:val="251"/>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Monahans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Branch</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Dallas/Ft. Worth</w:t>
            </w:r>
          </w:p>
        </w:tc>
      </w:tr>
      <w:tr>
        <w:trPr>
          <w:trHeight w:val="251"/>
        </w:trPr>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Plano</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Branch</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Dallas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Uptown Branch</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Forney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Branch</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Arlington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Dallas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Hillcrest 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Ft. Worth</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Grand Prairie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Southlake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955"/>
        </w:trPr>
        <w:tc>
          <w:tcPr>
            <w:tcW w:w="1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w w:val="96"/>
              </w:rPr>
              <w:t>Houston</w:t>
            </w:r>
          </w:p>
        </w:tc>
      </w:tr>
      <w:tr>
        <w:trPr>
          <w:trHeight w:val="251"/>
        </w:trPr>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Houston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Branch</w:t>
            </w:r>
          </w:p>
        </w:tc>
      </w:tr>
      <w:tr>
        <w:trPr>
          <w:trHeight w:val="955"/>
        </w:trPr>
        <w:tc>
          <w:tcPr>
            <w:tcW w:w="4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Ruidoso, New Mexico</w:t>
            </w:r>
          </w:p>
        </w:tc>
      </w:tr>
      <w:tr>
        <w:trPr>
          <w:trHeight w:val="251"/>
        </w:trPr>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Ruidoso</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Gateway Branch</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Ruidoso</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River Crossing Branch</w:t>
            </w:r>
          </w:p>
        </w:tc>
      </w:tr>
      <w:tr>
        <w:trPr>
          <w:trHeight w:val="453"/>
        </w:trPr>
        <w:tc>
          <w:tcPr>
            <w:tcW w:w="4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Other Markets</w:t>
            </w:r>
          </w:p>
        </w:tc>
      </w:tr>
      <w:tr>
        <w:trPr>
          <w:trHeight w:val="251"/>
        </w:trPr>
        <w:tc>
          <w:tcPr>
            <w:tcW w:w="1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Branch or LPO</w:t>
            </w:r>
          </w:p>
        </w:tc>
      </w:tr>
      <w:tr>
        <w:trPr>
          <w:trHeight w:val="286"/>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Abilene, Texas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Austin, Texas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w w:val="97"/>
              </w:rPr>
              <w:t>Dripping Springs, Texas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r>
        <w:trPr>
          <w:trHeight w:val="251"/>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Waco, Texas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LPO</w:t>
            </w:r>
          </w:p>
        </w:tc>
      </w:tr>
    </w:tbl>
    <w:p>
      <w:pPr>
        <w:spacing w:after="0" w:line="654" w:lineRule="exact"/>
        <w:rPr>
          <w:sz w:val="20"/>
          <w:szCs w:val="20"/>
          <w:color w:val="auto"/>
        </w:rPr>
      </w:pPr>
    </w:p>
    <w:p>
      <w:pPr>
        <w:sectPr>
          <w:pgSz w:w="12060" w:h="15667" w:orient="portrait"/>
          <w:cols w:equalWidth="0" w:num="2">
            <w:col w:w="4500" w:space="240"/>
            <w:col w:w="4487"/>
          </w:cols>
          <w:pgMar w:left="1400" w:top="900" w:right="1440" w:bottom="203" w:gutter="0" w:footer="0" w:header="0"/>
          <w:type w:val="continuous"/>
        </w:sect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As previously disclosed, in response to a Notice of Termination received from Kasasa, Ltd. f/k/a Moneyvue Financial, Inc., Bankvue Financial, Inc., and BancVue, Ltd. (‘‘Kasasa’’) purporting to terminate a Software License and Maintenance Agreement (the ‘‘Software License Agreement’’), Trademark License Agreement (the ‘‘Trademark License Agreement’’), and Addendum to Software License Agreement (‘‘Addendum’’) between the Company’s wholly-owned banking subsidiary City Bank (the ‘‘Bank’’) and Kasasa, the Bank filed suit against Kasasa in Travis County, Texas, styled City Bank v. Kasasa, Ltd., Cause No. D-1-GN-20-003630, 53rd Judicial District, Travis County, Texas.</w:t>
      </w:r>
    </w:p>
    <w:p>
      <w:pPr>
        <w:spacing w:after="0" w:line="137" w:lineRule="exact"/>
        <w:rPr>
          <w:sz w:val="20"/>
          <w:szCs w:val="20"/>
          <w:color w:val="auto"/>
        </w:rPr>
      </w:pPr>
    </w:p>
    <w:p>
      <w:pPr>
        <w:jc w:val="both"/>
        <w:ind w:right="7" w:firstLine="394"/>
        <w:spacing w:after="0" w:line="258" w:lineRule="auto"/>
        <w:rPr>
          <w:sz w:val="20"/>
          <w:szCs w:val="20"/>
          <w:color w:val="auto"/>
        </w:rPr>
      </w:pPr>
      <w:r>
        <w:rPr>
          <w:rFonts w:ascii="Times New Roman" w:cs="Times New Roman" w:eastAsia="Times New Roman" w:hAnsi="Times New Roman"/>
          <w:sz w:val="19"/>
          <w:szCs w:val="19"/>
          <w:color w:val="auto"/>
        </w:rPr>
        <w:t>On or about September 23, 2022, the parties entered into a Settlement Agreement and Mutual Release (the ‘‘Settlement Agreement’’), pursuant to which the parties agreed to the settlement and release of all claims related to</w:t>
      </w:r>
    </w:p>
    <w:p>
      <w:pPr>
        <w:sectPr>
          <w:pgSz w:w="12060" w:h="15667" w:orient="portrait"/>
          <w:cols w:equalWidth="0" w:num="1">
            <w:col w:w="9227"/>
          </w:cols>
          <w:pgMar w:left="1400" w:top="900" w:right="1440" w:bottom="203"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46</w:t>
      </w:r>
    </w:p>
    <w:p>
      <w:pPr>
        <w:sectPr>
          <w:pgSz w:w="12060" w:h="15667" w:orient="portrait"/>
          <w:cols w:equalWidth="0" w:num="1">
            <w:col w:w="9227"/>
          </w:cols>
          <w:pgMar w:left="1400" w:top="900" w:right="1440" w:bottom="203" w:gutter="0" w:footer="0" w:header="0"/>
          <w:type w:val="continuous"/>
        </w:sectPr>
      </w:pPr>
    </w:p>
    <w:bookmarkStart w:id="59" w:name="page60"/>
    <w:bookmarkEnd w:id="59"/>
    <w:p>
      <w:pPr>
        <w:jc w:val="both"/>
        <w:ind w:right="7"/>
        <w:spacing w:after="0" w:line="250" w:lineRule="auto"/>
        <w:rPr>
          <w:sz w:val="20"/>
          <w:szCs w:val="20"/>
          <w:color w:val="auto"/>
        </w:rPr>
      </w:pPr>
      <w:r>
        <w:rPr>
          <w:rFonts w:ascii="Times New Roman" w:cs="Times New Roman" w:eastAsia="Times New Roman" w:hAnsi="Times New Roman"/>
          <w:sz w:val="20"/>
          <w:szCs w:val="20"/>
          <w:color w:val="auto"/>
        </w:rPr>
        <w:t>the Software License Agreement, Trademark License Agreement, and Addendum, including all claims and counterclaims in the lawsuit. Thereafter, the parties filed a joint motion to dismiss with prejudice and the court formally dismissed the case by order dated October 7, 2022.</w:t>
      </w:r>
    </w:p>
    <w:p>
      <w:pPr>
        <w:spacing w:after="0" w:line="139"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From time to time, the Company or the Bank is a party to claims and legal proceedings arising in the ordinary course of business. Except as described above,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3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47</w:t>
      </w:r>
    </w:p>
    <w:p>
      <w:pPr>
        <w:sectPr>
          <w:pgSz w:w="12060" w:h="15667" w:orient="portrait"/>
          <w:cols w:equalWidth="0" w:num="1">
            <w:col w:w="9227"/>
          </w:cols>
          <w:pgMar w:left="1400" w:top="912" w:right="1440" w:bottom="204" w:gutter="0" w:footer="0" w:header="0"/>
          <w:type w:val="continuous"/>
        </w:sectPr>
      </w:pPr>
    </w:p>
    <w:bookmarkStart w:id="60" w:name="page61"/>
    <w:bookmarkEnd w:id="60"/>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6" w:lineRule="exact"/>
        <w:rPr>
          <w:sz w:val="20"/>
          <w:szCs w:val="20"/>
          <w:color w:val="auto"/>
        </w:rPr>
      </w:pPr>
    </w:p>
    <w:p>
      <w:pPr>
        <w:jc w:val="both"/>
        <w:ind w:left="1000" w:right="7" w:hanging="984"/>
        <w:spacing w:after="0" w:line="230"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1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The Company’s common stock is traded on the NASDAQ Global Select Market. Quotations of the sales volume and the closing sales prices of the Company’s common stock are listed daily under the symbol ‘‘SPFI’’ in NASDAQ’s listings.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March 8, 2023, there were approximately 179 holders of record of the Company’s common stock.</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paid dividends of $0.11, $0.11, $0.12, and $0.12 per common share in the first, second, third, and fourth quarters of 2022, respectively. Additionally, the Company paid a dividend of $0.13 per common share in the first quarter of 2023.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1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sets forth information at December 31, 2022 with respect to compensation plans under which shares of our common stock may be issued.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 Shares to be</w:t>
            </w:r>
          </w:p>
        </w:tc>
        <w:tc>
          <w:tcPr>
            <w:tcW w:w="120" w:type="dxa"/>
            <w:vAlign w:val="bottom"/>
          </w:tcPr>
          <w:p>
            <w:pPr>
              <w:spacing w:after="0"/>
              <w:rPr>
                <w:sz w:val="16"/>
                <w:szCs w:val="16"/>
                <w:color w:val="auto"/>
              </w:rPr>
            </w:pP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340" w:type="dxa"/>
            <w:vAlign w:val="bottom"/>
            <w:gridSpan w:val="4"/>
          </w:tcPr>
          <w:p>
            <w:pPr>
              <w:jc w:val="center"/>
              <w:ind w:left="8"/>
              <w:spacing w:after="0"/>
              <w:rPr>
                <w:sz w:val="20"/>
                <w:szCs w:val="20"/>
                <w:color w:val="auto"/>
              </w:rPr>
            </w:pPr>
            <w:r>
              <w:rPr>
                <w:rFonts w:ascii="Times New Roman" w:cs="Times New Roman" w:eastAsia="Times New Roman" w:hAnsi="Times New Roman"/>
                <w:sz w:val="16"/>
                <w:szCs w:val="16"/>
                <w:b w:val="1"/>
                <w:bCs w:val="1"/>
                <w:color w:val="auto"/>
                <w:w w:val="99"/>
              </w:rPr>
              <w:t>Number of Shares</w:t>
            </w:r>
          </w:p>
        </w:tc>
      </w:tr>
      <w:tr>
        <w:trPr>
          <w:trHeight w:val="177"/>
        </w:trPr>
        <w:tc>
          <w:tcPr>
            <w:tcW w:w="4260" w:type="dxa"/>
            <w:vAlign w:val="bottom"/>
          </w:tcPr>
          <w:p>
            <w:pPr>
              <w:spacing w:after="0"/>
              <w:rPr>
                <w:sz w:val="15"/>
                <w:szCs w:val="15"/>
                <w:color w:val="auto"/>
              </w:rPr>
            </w:pPr>
          </w:p>
        </w:tc>
        <w:tc>
          <w:tcPr>
            <w:tcW w:w="1980" w:type="dxa"/>
            <w:vAlign w:val="bottom"/>
            <w:gridSpan w:val="5"/>
          </w:tcPr>
          <w:p>
            <w:pPr>
              <w:jc w:val="center"/>
              <w:ind w:left="28"/>
              <w:spacing w:after="0" w:line="178"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20" w:type="dxa"/>
            <w:vAlign w:val="bottom"/>
          </w:tcPr>
          <w:p>
            <w:pPr>
              <w:spacing w:after="0"/>
              <w:rPr>
                <w:sz w:val="15"/>
                <w:szCs w:val="15"/>
                <w:color w:val="auto"/>
              </w:rPr>
            </w:pPr>
          </w:p>
        </w:tc>
        <w:tc>
          <w:tcPr>
            <w:tcW w:w="1520" w:type="dxa"/>
            <w:vAlign w:val="bottom"/>
            <w:gridSpan w:val="4"/>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100" w:type="dxa"/>
            <w:vAlign w:val="bottom"/>
          </w:tcPr>
          <w:p>
            <w:pPr>
              <w:spacing w:after="0"/>
              <w:rPr>
                <w:sz w:val="15"/>
                <w:szCs w:val="15"/>
                <w:color w:val="auto"/>
              </w:rPr>
            </w:pPr>
          </w:p>
        </w:tc>
        <w:tc>
          <w:tcPr>
            <w:tcW w:w="124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83"/>
        </w:trPr>
        <w:tc>
          <w:tcPr>
            <w:tcW w:w="42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220" w:type="dxa"/>
            <w:vAlign w:val="bottom"/>
          </w:tcPr>
          <w:p>
            <w:pPr>
              <w:spacing w:after="0"/>
              <w:rPr>
                <w:sz w:val="15"/>
                <w:szCs w:val="15"/>
                <w:color w:val="auto"/>
              </w:rPr>
            </w:pPr>
          </w:p>
        </w:tc>
        <w:tc>
          <w:tcPr>
            <w:tcW w:w="1760" w:type="dxa"/>
            <w:vAlign w:val="bottom"/>
            <w:gridSpan w:val="4"/>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8"/>
              </w:rPr>
              <w:t>Outstanding Awards</w:t>
            </w:r>
          </w:p>
        </w:tc>
        <w:tc>
          <w:tcPr>
            <w:tcW w:w="1640" w:type="dxa"/>
            <w:vAlign w:val="bottom"/>
            <w:gridSpan w:val="5"/>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Outstanding Awards</w:t>
            </w:r>
          </w:p>
        </w:tc>
        <w:tc>
          <w:tcPr>
            <w:tcW w:w="100" w:type="dxa"/>
            <w:vAlign w:val="bottom"/>
          </w:tcPr>
          <w:p>
            <w:pPr>
              <w:spacing w:after="0"/>
              <w:rPr>
                <w:sz w:val="15"/>
                <w:szCs w:val="15"/>
                <w:color w:val="auto"/>
              </w:rPr>
            </w:pPr>
          </w:p>
        </w:tc>
        <w:tc>
          <w:tcPr>
            <w:tcW w:w="124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Future Grants</w:t>
            </w:r>
          </w:p>
        </w:tc>
      </w:tr>
      <w:tr>
        <w:trPr>
          <w:trHeight w:val="283"/>
        </w:trPr>
        <w:tc>
          <w:tcPr>
            <w:tcW w:w="4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Equity compensation plans approved by</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273"/>
        </w:trPr>
        <w:tc>
          <w:tcPr>
            <w:tcW w:w="4260" w:type="dxa"/>
            <w:vAlign w:val="bottom"/>
          </w:tcPr>
          <w:p>
            <w:pPr>
              <w:ind w:left="200"/>
              <w:spacing w:after="0" w:line="272" w:lineRule="exact"/>
              <w:rPr>
                <w:sz w:val="20"/>
                <w:szCs w:val="20"/>
                <w:color w:val="auto"/>
              </w:rPr>
            </w:pPr>
            <w:r>
              <w:rPr>
                <w:rFonts w:ascii="Times New Roman" w:cs="Times New Roman" w:eastAsia="Times New Roman" w:hAnsi="Times New Roman"/>
                <w:sz w:val="20"/>
                <w:szCs w:val="20"/>
                <w:color w:val="auto"/>
                <w:w w:val="97"/>
              </w:rPr>
              <w:t>shareholders</w:t>
            </w:r>
            <w:r>
              <w:rPr>
                <w:rFonts w:ascii="Times New Roman" w:cs="Times New Roman" w:eastAsia="Times New Roman" w:hAnsi="Times New Roman"/>
                <w:sz w:val="25"/>
                <w:szCs w:val="25"/>
                <w:color w:val="auto"/>
                <w:w w:val="97"/>
                <w:vertAlign w:val="superscript"/>
              </w:rPr>
              <w:t>(1)</w:t>
            </w:r>
            <w:r>
              <w:rPr>
                <w:rFonts w:ascii="Times New Roman" w:cs="Times New Roman" w:eastAsia="Times New Roman" w:hAnsi="Times New Roman"/>
                <w:sz w:val="20"/>
                <w:szCs w:val="20"/>
                <w:color w:val="auto"/>
                <w:w w:val="97"/>
              </w:rPr>
              <w:t xml:space="preserve">  . . . . . . . . . . . . . . . . . . . . . . . . . . . .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1,438,531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1,649,373</w:t>
            </w:r>
          </w:p>
        </w:tc>
        <w:tc>
          <w:tcPr>
            <w:tcW w:w="220" w:type="dxa"/>
            <w:vAlign w:val="bottom"/>
          </w:tcPr>
          <w:p>
            <w:pPr>
              <w:spacing w:after="0"/>
              <w:rPr>
                <w:sz w:val="23"/>
                <w:szCs w:val="23"/>
                <w:color w:val="auto"/>
              </w:rPr>
            </w:pPr>
          </w:p>
        </w:tc>
      </w:tr>
      <w:tr>
        <w:trPr>
          <w:trHeight w:val="218"/>
        </w:trPr>
        <w:tc>
          <w:tcPr>
            <w:tcW w:w="426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Equity compensation plans not approved by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4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shareholders . . . . . . . . . . . . . . . . . . . . . . . . . . . . . . .</w:t>
            </w:r>
          </w:p>
        </w:tc>
        <w:tc>
          <w:tcPr>
            <w:tcW w:w="440" w:type="dxa"/>
            <w:vAlign w:val="bottom"/>
          </w:tcPr>
          <w:p>
            <w:pPr>
              <w:spacing w:after="0"/>
              <w:rPr>
                <w:sz w:val="20"/>
                <w:szCs w:val="20"/>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81"/>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 . . . . . . . . . . . . . . . . . . . . . . . . . . . . . . . . . . . . .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1,438,531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15.17</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1,649,373</w:t>
            </w:r>
          </w:p>
        </w:tc>
        <w:tc>
          <w:tcPr>
            <w:tcW w:w="22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237490</wp:posOffset>
                </wp:positionV>
                <wp:extent cx="90106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7pt" to="71.2pt,18.7pt" o:allowincell="f" strokecolor="#000000" strokeweight="0.493pt"/>
            </w:pict>
          </mc:Fallback>
        </mc:AlternateContent>
      </w:r>
    </w:p>
    <w:p>
      <w:pPr>
        <w:spacing w:after="0" w:line="200" w:lineRule="exact"/>
        <w:rPr>
          <w:sz w:val="20"/>
          <w:szCs w:val="20"/>
          <w:color w:val="auto"/>
        </w:rPr>
      </w:pPr>
    </w:p>
    <w:p>
      <w:pPr>
        <w:spacing w:after="0" w:line="256" w:lineRule="exact"/>
        <w:rPr>
          <w:sz w:val="20"/>
          <w:szCs w:val="20"/>
          <w:color w:val="auto"/>
        </w:rPr>
      </w:pPr>
    </w:p>
    <w:p>
      <w:pPr>
        <w:ind w:left="400" w:right="7" w:hanging="395"/>
        <w:spacing w:after="0" w:line="229"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available for future issuance includes 1,649,373 shares available under the Company’s 2019 Equity Incentive Plan (which allows for the issuance of options, as well as various other stock-based awards).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Securities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On October 29, 2021, the Company approved a stock repurchase program pursuant to which the Company may, from time to time, purchase up to $10.0 million of its outstanding shares of common stock (the ‘‘Program’’). The shares could be repurchased from time to time in privately negotiated transactions or the open market, including pursuant to Rule 10b5-1 trading plans, and in accordance with applicable regulations of the SEC. The timing and exact amount of any repurchases depended on various factors including, the performance of the Company’s stock price, general market and other conditions, applicable legal requirements and other factors. The Program had an expiration date of November 6, 2022.</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On May 18, 2022, the Company’s board of directors approved a new stock repurchase program for up to $15.0 million of the outstanding shares of the Company’s common stock (the ‘‘New Repurchase Program’’). The New Repurchase Program began on the date on which the existing stock repurchase program expired due to depletion of funds previously allocated to it and has an expiration date of May 21, 2023, subject to earlier termination or extension of the New Repurchase Program by the Board. The shares could be repurchased from time to time in privately negotiated transactions or the open market, including pursuant to Rule 10b5-1 trading plans, and in</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48</w:t>
      </w:r>
    </w:p>
    <w:p>
      <w:pPr>
        <w:sectPr>
          <w:pgSz w:w="12060" w:h="15667" w:orient="portrait"/>
          <w:cols w:equalWidth="0" w:num="1">
            <w:col w:w="9227"/>
          </w:cols>
          <w:pgMar w:left="1400" w:top="900" w:right="1440" w:bottom="204" w:gutter="0" w:footer="0" w:header="0"/>
          <w:type w:val="continuous"/>
        </w:sectPr>
      </w:pPr>
    </w:p>
    <w:bookmarkStart w:id="61" w:name="page62"/>
    <w:bookmarkEnd w:id="61"/>
    <w:p>
      <w:pPr>
        <w:jc w:val="both"/>
        <w:ind w:right="7"/>
        <w:spacing w:after="0" w:line="242" w:lineRule="auto"/>
        <w:rPr>
          <w:sz w:val="20"/>
          <w:szCs w:val="20"/>
          <w:color w:val="auto"/>
        </w:rPr>
      </w:pPr>
      <w:r>
        <w:rPr>
          <w:rFonts w:ascii="Times New Roman" w:cs="Times New Roman" w:eastAsia="Times New Roman" w:hAnsi="Times New Roman"/>
          <w:sz w:val="20"/>
          <w:szCs w:val="20"/>
          <w:color w:val="auto"/>
        </w:rPr>
        <w:t>accordance with applicable regulations of the SEC. The timing and exact amount of any repurchases depended on various factors including, the performance of the Company’s stock price, general market and other conditions, applicable legal requirements and other factors. The New Repurchase Program terminated in December 2022 after all allocated funds had been spent.</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share repurchase activity for the three months ended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 Dollar Amount</w:t>
            </w: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Dollar Amount</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Remaining Available for</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10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Total Shares</w:t>
            </w:r>
          </w:p>
        </w:tc>
        <w:tc>
          <w:tcPr>
            <w:tcW w:w="11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20" w:type="dxa"/>
            <w:vAlign w:val="bottom"/>
          </w:tcPr>
          <w:p>
            <w:pPr>
              <w:spacing w:after="0"/>
              <w:rPr>
                <w:sz w:val="15"/>
                <w:szCs w:val="15"/>
                <w:color w:val="auto"/>
              </w:rPr>
            </w:pPr>
          </w:p>
        </w:tc>
        <w:tc>
          <w:tcPr>
            <w:tcW w:w="19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Purchased Pursuant to</w:t>
            </w:r>
          </w:p>
        </w:tc>
        <w:tc>
          <w:tcPr>
            <w:tcW w:w="120" w:type="dxa"/>
            <w:vAlign w:val="bottom"/>
          </w:tcPr>
          <w:p>
            <w:pPr>
              <w:spacing w:after="0"/>
              <w:rPr>
                <w:sz w:val="15"/>
                <w:szCs w:val="15"/>
                <w:color w:val="auto"/>
              </w:rPr>
            </w:pPr>
          </w:p>
        </w:tc>
        <w:tc>
          <w:tcPr>
            <w:tcW w:w="17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Repurchase Pursuant to</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11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Repurchased</w:t>
            </w:r>
          </w:p>
        </w:tc>
        <w:tc>
          <w:tcPr>
            <w:tcW w:w="11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202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Publicly-Announced Plans</w:t>
            </w:r>
          </w:p>
        </w:tc>
        <w:tc>
          <w:tcPr>
            <w:tcW w:w="1900" w:type="dxa"/>
            <w:vAlign w:val="bottom"/>
            <w:gridSpan w:val="2"/>
          </w:tcPr>
          <w:p>
            <w:pPr>
              <w:jc w:val="center"/>
              <w:ind w:left="31"/>
              <w:spacing w:after="0" w:line="181" w:lineRule="exact"/>
              <w:rPr>
                <w:sz w:val="20"/>
                <w:szCs w:val="20"/>
                <w:color w:val="auto"/>
              </w:rPr>
            </w:pPr>
            <w:r>
              <w:rPr>
                <w:rFonts w:ascii="Times New Roman" w:cs="Times New Roman" w:eastAsia="Times New Roman" w:hAnsi="Times New Roman"/>
                <w:sz w:val="16"/>
                <w:szCs w:val="16"/>
                <w:b w:val="1"/>
                <w:bCs w:val="1"/>
                <w:color w:val="auto"/>
                <w:w w:val="98"/>
              </w:rPr>
              <w:t>Publicly-Announced Plans</w:t>
            </w:r>
          </w:p>
        </w:tc>
        <w:tc>
          <w:tcPr>
            <w:tcW w:w="0" w:type="dxa"/>
            <w:vAlign w:val="bottom"/>
          </w:tcPr>
          <w:p>
            <w:pPr>
              <w:spacing w:after="0"/>
              <w:rPr>
                <w:sz w:val="1"/>
                <w:szCs w:val="1"/>
                <w:color w:val="auto"/>
              </w:rPr>
            </w:pPr>
          </w:p>
        </w:tc>
      </w:tr>
      <w:tr>
        <w:trPr>
          <w:trHeight w:val="28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October 2022 </w:t>
            </w:r>
            <w:r>
              <w:rPr>
                <w:rFonts w:ascii="Times New Roman" w:cs="Times New Roman" w:eastAsia="Times New Roman" w:hAnsi="Times New Roman"/>
                <w:sz w:val="20"/>
                <w:szCs w:val="20"/>
                <w:color w:val="auto"/>
              </w:rPr>
              <w:t>. . . . . . . . . . . . . . . . .</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64,799</w:t>
            </w: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20"/>
                <w:szCs w:val="20"/>
                <w:color w:val="auto"/>
              </w:rPr>
              <w:t>$28.79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20"/>
                <w:szCs w:val="20"/>
                <w:color w:val="auto"/>
              </w:rPr>
              <w:t>$1,865,289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20"/>
                <w:szCs w:val="20"/>
                <w:color w:val="auto"/>
              </w:rPr>
              <w:t>$1,929,500</w:t>
            </w:r>
          </w:p>
        </w:tc>
        <w:tc>
          <w:tcPr>
            <w:tcW w:w="0" w:type="dxa"/>
            <w:vAlign w:val="bottom"/>
          </w:tcPr>
          <w:p>
            <w:pPr>
              <w:spacing w:after="0"/>
              <w:rPr>
                <w:sz w:val="1"/>
                <w:szCs w:val="1"/>
                <w:color w:val="auto"/>
              </w:rPr>
            </w:pPr>
          </w:p>
        </w:tc>
      </w:tr>
      <w:tr>
        <w:trPr>
          <w:trHeight w:val="251"/>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November 2022 </w:t>
            </w:r>
            <w:r>
              <w:rPr>
                <w:rFonts w:ascii="Times New Roman" w:cs="Times New Roman" w:eastAsia="Times New Roman" w:hAnsi="Times New Roman"/>
                <w:sz w:val="20"/>
                <w:szCs w:val="20"/>
                <w:color w:val="auto"/>
              </w:rPr>
              <w:t>.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9"/>
              <w:spacing w:after="0"/>
              <w:rPr>
                <w:sz w:val="20"/>
                <w:szCs w:val="20"/>
                <w:color w:val="auto"/>
              </w:rPr>
            </w:pPr>
            <w:r>
              <w:rPr>
                <w:rFonts w:ascii="Times New Roman" w:cs="Times New Roman" w:eastAsia="Times New Roman" w:hAnsi="Times New Roman"/>
                <w:sz w:val="20"/>
                <w:szCs w:val="20"/>
                <w:color w:val="auto"/>
              </w:rPr>
              <w:t>30.29</w:t>
            </w:r>
          </w:p>
        </w:tc>
        <w:tc>
          <w:tcPr>
            <w:tcW w:w="100" w:type="dxa"/>
            <w:vAlign w:val="bottom"/>
          </w:tcPr>
          <w:p>
            <w:pPr>
              <w:spacing w:after="0"/>
              <w:rPr>
                <w:sz w:val="21"/>
                <w:szCs w:val="21"/>
                <w:color w:val="auto"/>
              </w:rPr>
            </w:pPr>
          </w:p>
        </w:tc>
        <w:tc>
          <w:tcPr>
            <w:tcW w:w="192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rPr>
              <w:t>74,416</w:t>
            </w:r>
          </w:p>
        </w:tc>
        <w:tc>
          <w:tcPr>
            <w:tcW w:w="100" w:type="dxa"/>
            <w:vAlign w:val="bottom"/>
          </w:tcPr>
          <w:p>
            <w:pPr>
              <w:spacing w:after="0"/>
              <w:rPr>
                <w:sz w:val="21"/>
                <w:szCs w:val="21"/>
                <w:color w:val="auto"/>
              </w:rPr>
            </w:pPr>
          </w:p>
        </w:tc>
        <w:tc>
          <w:tcPr>
            <w:tcW w:w="1900" w:type="dxa"/>
            <w:vAlign w:val="bottom"/>
            <w:gridSpan w:val="2"/>
          </w:tcPr>
          <w:p>
            <w:pPr>
              <w:jc w:val="right"/>
              <w:ind w:right="353"/>
              <w:spacing w:after="0"/>
              <w:rPr>
                <w:sz w:val="20"/>
                <w:szCs w:val="20"/>
                <w:color w:val="auto"/>
              </w:rPr>
            </w:pPr>
            <w:r>
              <w:rPr>
                <w:rFonts w:ascii="Times New Roman" w:cs="Times New Roman" w:eastAsia="Times New Roman" w:hAnsi="Times New Roman"/>
                <w:sz w:val="20"/>
                <w:szCs w:val="20"/>
                <w:color w:val="auto"/>
              </w:rPr>
              <w:t>1,855,084</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2022</w:t>
            </w:r>
            <w:r>
              <w:rPr>
                <w:rFonts w:ascii="Times New Roman" w:cs="Times New Roman" w:eastAsia="Times New Roman" w:hAnsi="Times New Roman"/>
                <w:sz w:val="20"/>
                <w:szCs w:val="20"/>
                <w:color w:val="auto"/>
              </w:rPr>
              <w:t>. . . . . . . . . . . . . . . .</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62,933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9"/>
              <w:spacing w:after="0"/>
              <w:rPr>
                <w:sz w:val="20"/>
                <w:szCs w:val="20"/>
                <w:color w:val="auto"/>
              </w:rPr>
            </w:pPr>
            <w:r>
              <w:rPr>
                <w:rFonts w:ascii="Times New Roman" w:cs="Times New Roman" w:eastAsia="Times New Roman" w:hAnsi="Times New Roman"/>
                <w:sz w:val="20"/>
                <w:szCs w:val="20"/>
                <w:color w:val="auto"/>
              </w:rPr>
              <w:t>29.48</w:t>
            </w:r>
          </w:p>
        </w:tc>
        <w:tc>
          <w:tcPr>
            <w:tcW w:w="100" w:type="dxa"/>
            <w:vAlign w:val="bottom"/>
          </w:tcPr>
          <w:p>
            <w:pPr>
              <w:spacing w:after="0"/>
              <w:rPr>
                <w:sz w:val="21"/>
                <w:szCs w:val="21"/>
                <w:color w:val="auto"/>
              </w:rPr>
            </w:pPr>
          </w:p>
        </w:tc>
        <w:tc>
          <w:tcPr>
            <w:tcW w:w="1920" w:type="dxa"/>
            <w:vAlign w:val="bottom"/>
            <w:gridSpan w:val="2"/>
          </w:tcPr>
          <w:p>
            <w:pPr>
              <w:jc w:val="right"/>
              <w:ind w:right="375"/>
              <w:spacing w:after="0"/>
              <w:rPr>
                <w:sz w:val="20"/>
                <w:szCs w:val="20"/>
                <w:color w:val="auto"/>
              </w:rPr>
            </w:pPr>
            <w:r>
              <w:rPr>
                <w:rFonts w:ascii="Times New Roman" w:cs="Times New Roman" w:eastAsia="Times New Roman" w:hAnsi="Times New Roman"/>
                <w:sz w:val="20"/>
                <w:szCs w:val="20"/>
                <w:color w:val="auto"/>
              </w:rPr>
              <w:t>1,855,084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35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1"/>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130,189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following performance graph compares total stockholders’ return on the Company’s common stock for the period beginning at the close of trading on May 9, 2019 and for the last trading date of each year from 2019 to 2022, with the cumulative total return of the S&amp;P 500 and the S&amp;P United States BMI Banks Index for the same periods. Cumulative total return is computed by dividing the difference between the Company’s share price at the end and the beginning of the measurement period by the share price at the beginning of the measurement period. The performance graph assumes $100 is invested on May 9,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spacing w:after="0" w:line="237" w:lineRule="exact"/>
        <w:rPr>
          <w:sz w:val="20"/>
          <w:szCs w:val="20"/>
          <w:color w:val="auto"/>
        </w:rPr>
      </w:pPr>
    </w:p>
    <w:p>
      <w:pPr>
        <w:jc w:val="center"/>
        <w:ind w:right="127"/>
        <w:spacing w:after="0"/>
        <w:rPr>
          <w:sz w:val="20"/>
          <w:szCs w:val="20"/>
          <w:color w:val="auto"/>
        </w:rPr>
      </w:pPr>
      <w:r>
        <w:rPr>
          <w:rFonts w:ascii="Arial" w:cs="Arial" w:eastAsia="Arial" w:hAnsi="Arial"/>
          <w:sz w:val="20"/>
          <w:szCs w:val="20"/>
          <w:b w:val="1"/>
          <w:bCs w:val="1"/>
          <w:color w:val="auto"/>
        </w:rPr>
        <w:t>Total Return Performance</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867" w:type="dxa"/>
        <w:tblCellMar>
          <w:top w:w="0" w:type="dxa"/>
          <w:left w:w="0" w:type="dxa"/>
          <w:bottom w:w="0" w:type="dxa"/>
          <w:right w:w="0" w:type="dxa"/>
        </w:tblCellMar>
      </w:tblPr>
      <w:tr>
        <w:trPr>
          <w:trHeight w:val="760"/>
        </w:trPr>
        <w:tc>
          <w:tcPr>
            <w:tcW w:w="161" w:type="dxa"/>
            <w:vAlign w:val="bottom"/>
            <w:textDirection w:val="btLr"/>
          </w:tcPr>
          <w:p>
            <w:pPr>
              <w:spacing w:after="0"/>
              <w:rPr>
                <w:sz w:val="20"/>
                <w:szCs w:val="20"/>
                <w:color w:val="auto"/>
              </w:rPr>
            </w:pPr>
            <w:r>
              <w:rPr>
                <w:rFonts w:ascii="Arial" w:cs="Arial" w:eastAsia="Arial" w:hAnsi="Arial"/>
                <w:sz w:val="14"/>
                <w:szCs w:val="14"/>
                <w:color w:val="auto"/>
              </w:rPr>
              <w:t>Index Value</w:t>
            </w: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190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229870</wp:posOffset>
                </wp:positionH>
                <wp:positionV relativeFrom="paragraph">
                  <wp:posOffset>-62865</wp:posOffset>
                </wp:positionV>
                <wp:extent cx="428434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4345" cy="4763"/>
                        </a:xfrm>
                        <a:prstGeom prst="line">
                          <a:avLst/>
                        </a:prstGeom>
                        <a:solidFill>
                          <a:srgbClr val="FFFFFF"/>
                        </a:solidFill>
                        <a:ln w="5245">
                          <a:solidFill>
                            <a:srgbClr val="C0C0C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pt,-4.9499pt" to="355.45pt,-4.9499pt" o:allowincell="f" strokecolor="#C0C0C0" strokeweight="0.413pt"/>
            </w:pict>
          </mc:Fallback>
        </mc:AlternateContent>
        <w:drawing>
          <wp:anchor simplePos="0" relativeHeight="251657728" behindDoc="1" locked="0" layoutInCell="0" allowOverlap="1">
            <wp:simplePos x="0" y="0"/>
            <wp:positionH relativeFrom="column">
              <wp:posOffset>229870</wp:posOffset>
            </wp:positionH>
            <wp:positionV relativeFrom="paragraph">
              <wp:posOffset>107950</wp:posOffset>
            </wp:positionV>
            <wp:extent cx="4284980" cy="1261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5">
                      <a:extLst>
                        <a:ext uri="{28A0092B-C50C-407E-A947-70E740481C1C}"/>
                      </a:extLst>
                    </a:blip>
                    <a:srcRect/>
                    <a:stretch>
                      <a:fillRect/>
                    </a:stretch>
                  </pic:blipFill>
                  <pic:spPr bwMode="auto">
                    <a:xfrm>
                      <a:off x="0" y="0"/>
                      <a:ext cx="4284980" cy="126174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170</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150</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130</w:t>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110</w:t>
      </w:r>
    </w:p>
    <w:p>
      <w:pPr>
        <w:spacing w:after="0" w:line="326" w:lineRule="exact"/>
        <w:rPr>
          <w:sz w:val="20"/>
          <w:szCs w:val="20"/>
          <w:color w:val="auto"/>
        </w:rPr>
      </w:pPr>
    </w:p>
    <w:p>
      <w:pPr>
        <w:jc w:val="right"/>
        <w:ind w:right="7887"/>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229870</wp:posOffset>
                </wp:positionH>
                <wp:positionV relativeFrom="paragraph">
                  <wp:posOffset>-67945</wp:posOffset>
                </wp:positionV>
                <wp:extent cx="42843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4345" cy="4763"/>
                        </a:xfrm>
                        <a:prstGeom prst="line">
                          <a:avLst/>
                        </a:prstGeom>
                        <a:solidFill>
                          <a:srgbClr val="FFFFFF"/>
                        </a:solidFill>
                        <a:ln w="5245">
                          <a:solidFill>
                            <a:srgbClr val="C0C0C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pt,-5.3499pt" to="355.45pt,-5.3499pt" o:allowincell="f" strokecolor="#C0C0C0" strokeweight="0.413pt"/>
            </w:pict>
          </mc:Fallback>
        </mc:AlternateContent>
      </w:r>
    </w:p>
    <w:p>
      <w:pPr>
        <w:spacing w:after="0" w:line="306" w:lineRule="exact"/>
        <w:rPr>
          <w:sz w:val="20"/>
          <w:szCs w:val="20"/>
          <w:color w:val="auto"/>
        </w:rPr>
      </w:pPr>
    </w:p>
    <w:p>
      <w:pPr>
        <w:jc w:val="right"/>
        <w:ind w:right="7887"/>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229870</wp:posOffset>
                </wp:positionH>
                <wp:positionV relativeFrom="paragraph">
                  <wp:posOffset>-68580</wp:posOffset>
                </wp:positionV>
                <wp:extent cx="428434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4345" cy="4763"/>
                        </a:xfrm>
                        <a:prstGeom prst="line">
                          <a:avLst/>
                        </a:prstGeom>
                        <a:solidFill>
                          <a:srgbClr val="FFFFFF"/>
                        </a:solidFill>
                        <a:ln w="5245">
                          <a:solidFill>
                            <a:srgbClr val="C0C0C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pt,-5.3999pt" to="355.45pt,-5.3999pt" o:allowincell="f" strokecolor="#C0C0C0" strokeweight="0.413pt"/>
            </w:pict>
          </mc:Fallback>
        </mc:AlternateContent>
      </w:r>
    </w:p>
    <w:tbl>
      <w:tblPr>
        <w:tblLayout w:type="fixed"/>
        <w:tblInd w:w="600" w:type="dxa"/>
        <w:tblCellMar>
          <w:top w:w="0" w:type="dxa"/>
          <w:left w:w="0" w:type="dxa"/>
          <w:bottom w:w="0" w:type="dxa"/>
          <w:right w:w="0" w:type="dxa"/>
        </w:tblCellMar>
      </w:tblPr>
      <w:tr>
        <w:trPr>
          <w:trHeight w:val="155"/>
        </w:trPr>
        <w:tc>
          <w:tcPr>
            <w:tcW w:w="1080" w:type="dxa"/>
            <w:vAlign w:val="bottom"/>
            <w:gridSpan w:val="2"/>
          </w:tcPr>
          <w:p>
            <w:pPr>
              <w:jc w:val="right"/>
              <w:ind w:right="314"/>
              <w:spacing w:after="0" w:line="155" w:lineRule="exact"/>
              <w:rPr>
                <w:sz w:val="20"/>
                <w:szCs w:val="20"/>
                <w:color w:val="auto"/>
              </w:rPr>
            </w:pPr>
            <w:r>
              <w:rPr>
                <w:rFonts w:ascii="Arial" w:cs="Arial" w:eastAsia="Arial" w:hAnsi="Arial"/>
                <w:sz w:val="14"/>
                <w:szCs w:val="14"/>
                <w:color w:val="auto"/>
              </w:rPr>
              <w:t>5/9/2019</w:t>
            </w:r>
          </w:p>
        </w:tc>
        <w:tc>
          <w:tcPr>
            <w:tcW w:w="1640" w:type="dxa"/>
            <w:vAlign w:val="bottom"/>
          </w:tcPr>
          <w:p>
            <w:pPr>
              <w:jc w:val="right"/>
              <w:ind w:right="510"/>
              <w:spacing w:after="0" w:line="155" w:lineRule="exact"/>
              <w:rPr>
                <w:sz w:val="20"/>
                <w:szCs w:val="20"/>
                <w:color w:val="auto"/>
              </w:rPr>
            </w:pPr>
            <w:r>
              <w:rPr>
                <w:rFonts w:ascii="Arial" w:cs="Arial" w:eastAsia="Arial" w:hAnsi="Arial"/>
                <w:sz w:val="14"/>
                <w:szCs w:val="14"/>
                <w:color w:val="auto"/>
              </w:rPr>
              <w:t>12/31/2019</w:t>
            </w:r>
          </w:p>
        </w:tc>
        <w:tc>
          <w:tcPr>
            <w:tcW w:w="1240" w:type="dxa"/>
            <w:vAlign w:val="bottom"/>
            <w:gridSpan w:val="2"/>
          </w:tcPr>
          <w:p>
            <w:pPr>
              <w:jc w:val="right"/>
              <w:ind w:right="434"/>
              <w:spacing w:after="0" w:line="155" w:lineRule="exact"/>
              <w:rPr>
                <w:sz w:val="20"/>
                <w:szCs w:val="20"/>
                <w:color w:val="auto"/>
              </w:rPr>
            </w:pPr>
            <w:r>
              <w:rPr>
                <w:rFonts w:ascii="Arial" w:cs="Arial" w:eastAsia="Arial" w:hAnsi="Arial"/>
                <w:sz w:val="14"/>
                <w:szCs w:val="14"/>
                <w:color w:val="auto"/>
              </w:rPr>
              <w:t>12/31/2020</w:t>
            </w:r>
          </w:p>
        </w:tc>
        <w:tc>
          <w:tcPr>
            <w:tcW w:w="1200" w:type="dxa"/>
            <w:vAlign w:val="bottom"/>
            <w:gridSpan w:val="2"/>
          </w:tcPr>
          <w:p>
            <w:pPr>
              <w:jc w:val="right"/>
              <w:ind w:right="254"/>
              <w:spacing w:after="0" w:line="155" w:lineRule="exact"/>
              <w:rPr>
                <w:sz w:val="20"/>
                <w:szCs w:val="20"/>
                <w:color w:val="auto"/>
              </w:rPr>
            </w:pPr>
            <w:r>
              <w:rPr>
                <w:rFonts w:ascii="Arial" w:cs="Arial" w:eastAsia="Arial" w:hAnsi="Arial"/>
                <w:sz w:val="14"/>
                <w:szCs w:val="14"/>
                <w:color w:val="auto"/>
              </w:rPr>
              <w:t>12/31/2021</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12/31/2021</w:t>
            </w:r>
          </w:p>
        </w:tc>
        <w:tc>
          <w:tcPr>
            <w:tcW w:w="0" w:type="dxa"/>
            <w:vAlign w:val="bottom"/>
          </w:tcPr>
          <w:p>
            <w:pPr>
              <w:spacing w:after="0"/>
              <w:rPr>
                <w:sz w:val="1"/>
                <w:szCs w:val="1"/>
                <w:color w:val="auto"/>
              </w:rPr>
            </w:pPr>
          </w:p>
        </w:tc>
      </w:tr>
      <w:tr>
        <w:trPr>
          <w:trHeight w:val="282"/>
        </w:trPr>
        <w:tc>
          <w:tcPr>
            <w:tcW w:w="340" w:type="dxa"/>
            <w:vAlign w:val="bottom"/>
            <w:tcBorders>
              <w:bottom w:val="single" w:sz="8" w:color="333333"/>
            </w:tcBorders>
          </w:tcPr>
          <w:p>
            <w:pPr>
              <w:spacing w:after="0"/>
              <w:rPr>
                <w:sz w:val="24"/>
                <w:szCs w:val="24"/>
                <w:color w:val="auto"/>
              </w:rPr>
            </w:pPr>
          </w:p>
        </w:tc>
        <w:tc>
          <w:tcPr>
            <w:tcW w:w="2380" w:type="dxa"/>
            <w:vAlign w:val="bottom"/>
            <w:gridSpan w:val="2"/>
            <w:vMerge w:val="restart"/>
          </w:tcPr>
          <w:p>
            <w:pPr>
              <w:jc w:val="right"/>
              <w:ind w:right="110"/>
              <w:spacing w:after="0"/>
              <w:rPr>
                <w:sz w:val="20"/>
                <w:szCs w:val="20"/>
                <w:color w:val="auto"/>
              </w:rPr>
            </w:pPr>
            <w:r>
              <w:rPr>
                <w:rFonts w:ascii="Arial" w:cs="Arial" w:eastAsia="Arial" w:hAnsi="Arial"/>
                <w:sz w:val="13"/>
                <w:szCs w:val="13"/>
                <w:color w:val="auto"/>
              </w:rPr>
              <w:t>S&amp;P United States BMI Banks Index</w:t>
            </w:r>
          </w:p>
        </w:tc>
        <w:tc>
          <w:tcPr>
            <w:tcW w:w="340" w:type="dxa"/>
            <w:vAlign w:val="bottom"/>
            <w:tcBorders>
              <w:bottom w:val="single" w:sz="8" w:color="B3B3B3"/>
            </w:tcBorders>
          </w:tcPr>
          <w:p>
            <w:pPr>
              <w:spacing w:after="0"/>
              <w:rPr>
                <w:sz w:val="24"/>
                <w:szCs w:val="2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3"/>
                <w:szCs w:val="13"/>
                <w:color w:val="auto"/>
              </w:rPr>
              <w:t>S&amp;P 500</w:t>
            </w:r>
          </w:p>
        </w:tc>
        <w:tc>
          <w:tcPr>
            <w:tcW w:w="320" w:type="dxa"/>
            <w:vAlign w:val="bottom"/>
            <w:tcBorders>
              <w:bottom w:val="single" w:sz="8" w:color="727272"/>
            </w:tcBorders>
          </w:tcPr>
          <w:p>
            <w:pPr>
              <w:spacing w:after="0"/>
              <w:rPr>
                <w:sz w:val="24"/>
                <w:szCs w:val="24"/>
                <w:color w:val="auto"/>
              </w:rPr>
            </w:pPr>
          </w:p>
        </w:tc>
        <w:tc>
          <w:tcPr>
            <w:tcW w:w="1920" w:type="dxa"/>
            <w:vAlign w:val="bottom"/>
            <w:gridSpan w:val="2"/>
            <w:vMerge w:val="restart"/>
          </w:tcPr>
          <w:p>
            <w:pPr>
              <w:jc w:val="right"/>
              <w:ind w:right="190"/>
              <w:spacing w:after="0"/>
              <w:rPr>
                <w:sz w:val="20"/>
                <w:szCs w:val="20"/>
                <w:color w:val="auto"/>
              </w:rPr>
            </w:pPr>
            <w:r>
              <w:rPr>
                <w:rFonts w:ascii="Arial" w:cs="Arial" w:eastAsia="Arial" w:hAnsi="Arial"/>
                <w:sz w:val="13"/>
                <w:szCs w:val="13"/>
                <w:color w:val="auto"/>
              </w:rPr>
              <w:t>South Plains Financial, Inc.</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23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-114935</wp:posOffset>
            </wp:positionV>
            <wp:extent cx="14605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-114935</wp:posOffset>
            </wp:positionV>
            <wp:extent cx="14605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7">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-114935</wp:posOffset>
            </wp:positionV>
            <wp:extent cx="14605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200" w:lineRule="exact"/>
        <w:rPr>
          <w:sz w:val="20"/>
          <w:szCs w:val="20"/>
          <w:color w:val="auto"/>
        </w:rPr>
      </w:pPr>
    </w:p>
    <w:p>
      <w:pPr>
        <w:sectPr>
          <w:pgSz w:w="12060" w:h="15667" w:orient="portrait"/>
          <w:cols w:equalWidth="0" w:num="2">
            <w:col w:w="1028" w:space="92"/>
            <w:col w:w="8107"/>
          </w:cols>
          <w:pgMar w:left="1400" w:top="912" w:right="1440" w:bottom="204" w:gutter="0" w:footer="0" w:header="0"/>
          <w:type w:val="continuous"/>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2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5/9/19</w:t>
            </w:r>
          </w:p>
        </w:tc>
        <w:tc>
          <w:tcPr>
            <w:tcW w:w="2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12/31/19</w:t>
            </w:r>
          </w:p>
        </w:tc>
        <w:tc>
          <w:tcPr>
            <w:tcW w:w="840" w:type="dxa"/>
            <w:vAlign w:val="bottom"/>
            <w:gridSpan w:val="2"/>
          </w:tcPr>
          <w:p>
            <w:pPr>
              <w:jc w:val="center"/>
              <w:ind w:left="186"/>
              <w:spacing w:after="0"/>
              <w:rPr>
                <w:sz w:val="20"/>
                <w:szCs w:val="20"/>
                <w:color w:val="auto"/>
              </w:rPr>
            </w:pPr>
            <w:r>
              <w:rPr>
                <w:rFonts w:ascii="Times New Roman" w:cs="Times New Roman" w:eastAsia="Times New Roman" w:hAnsi="Times New Roman"/>
                <w:sz w:val="16"/>
                <w:szCs w:val="16"/>
                <w:b w:val="1"/>
                <w:bCs w:val="1"/>
                <w:color w:val="auto"/>
                <w:w w:val="98"/>
              </w:rPr>
              <w:t>12/31/20</w:t>
            </w:r>
          </w:p>
        </w:tc>
        <w:tc>
          <w:tcPr>
            <w:tcW w:w="820" w:type="dxa"/>
            <w:vAlign w:val="bottom"/>
            <w:gridSpan w:val="2"/>
          </w:tcPr>
          <w:p>
            <w:pPr>
              <w:jc w:val="center"/>
              <w:ind w:left="166"/>
              <w:spacing w:after="0"/>
              <w:rPr>
                <w:sz w:val="20"/>
                <w:szCs w:val="20"/>
                <w:color w:val="auto"/>
              </w:rPr>
            </w:pPr>
            <w:r>
              <w:rPr>
                <w:rFonts w:ascii="Times New Roman" w:cs="Times New Roman" w:eastAsia="Times New Roman" w:hAnsi="Times New Roman"/>
                <w:sz w:val="16"/>
                <w:szCs w:val="16"/>
                <w:b w:val="1"/>
                <w:bCs w:val="1"/>
                <w:color w:val="auto"/>
                <w:w w:val="98"/>
              </w:rPr>
              <w:t>12/31/21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12/31/22</w:t>
            </w:r>
          </w:p>
        </w:tc>
      </w:tr>
      <w:tr>
        <w:trPr>
          <w:trHeight w:val="20"/>
        </w:trPr>
        <w:tc>
          <w:tcPr>
            <w:tcW w:w="5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86"/>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w w:val="99"/>
              </w:rPr>
              <w:t>South Plains Financial, Inc. . . . . . . . . . . . . . . . . . . . . . . . . . . . . . .</w:t>
            </w:r>
          </w:p>
        </w:tc>
        <w:tc>
          <w:tcPr>
            <w:tcW w:w="7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7"/>
              </w:rPr>
              <w:t>100.0</w:t>
            </w:r>
          </w:p>
        </w:tc>
        <w:tc>
          <w:tcPr>
            <w:tcW w:w="8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8"/>
              </w:rPr>
              <w:t>118.25</w:t>
            </w:r>
          </w:p>
        </w:tc>
        <w:tc>
          <w:tcPr>
            <w:tcW w:w="84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w w:val="98"/>
              </w:rPr>
              <w:t>108.42</w:t>
            </w:r>
          </w:p>
        </w:tc>
        <w:tc>
          <w:tcPr>
            <w:tcW w:w="82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rPr>
              <w:t>161.21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162.27</w:t>
            </w:r>
          </w:p>
        </w:tc>
      </w:tr>
      <w:tr>
        <w:trPr>
          <w:trHeight w:val="251"/>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w w:val="99"/>
              </w:rPr>
              <w:t>S&amp;P United States BMI Banks Index . . . . . . . . . . . . . . . . . . . . . .</w:t>
            </w:r>
          </w:p>
        </w:tc>
        <w:tc>
          <w:tcPr>
            <w:tcW w:w="7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7"/>
              </w:rPr>
              <w:t>100.0</w:t>
            </w:r>
          </w:p>
        </w:tc>
        <w:tc>
          <w:tcPr>
            <w:tcW w:w="8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8"/>
              </w:rPr>
              <w:t>117.22</w:t>
            </w:r>
          </w:p>
        </w:tc>
        <w:tc>
          <w:tcPr>
            <w:tcW w:w="84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w w:val="98"/>
              </w:rPr>
              <w:t>102.26</w:t>
            </w:r>
          </w:p>
        </w:tc>
        <w:tc>
          <w:tcPr>
            <w:tcW w:w="82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rPr>
              <w:t>139.04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115.32</w:t>
            </w:r>
          </w:p>
        </w:tc>
      </w:tr>
      <w:tr>
        <w:trPr>
          <w:trHeight w:val="251"/>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w w:val="99"/>
              </w:rPr>
              <w:t>S&amp;P 500 . . . . . . . . . . . . . . . . . . . . . . . . . . . . . . . . . . . . . . . . . . . . .</w:t>
            </w:r>
          </w:p>
        </w:tc>
        <w:tc>
          <w:tcPr>
            <w:tcW w:w="7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7"/>
              </w:rPr>
              <w:t>100.0</w:t>
            </w:r>
          </w:p>
        </w:tc>
        <w:tc>
          <w:tcPr>
            <w:tcW w:w="820" w:type="dxa"/>
            <w:vAlign w:val="bottom"/>
            <w:gridSpan w:val="2"/>
          </w:tcPr>
          <w:p>
            <w:pPr>
              <w:jc w:val="center"/>
              <w:ind w:left="181"/>
              <w:spacing w:after="0"/>
              <w:rPr>
                <w:sz w:val="20"/>
                <w:szCs w:val="20"/>
                <w:color w:val="auto"/>
              </w:rPr>
            </w:pPr>
            <w:r>
              <w:rPr>
                <w:rFonts w:ascii="Times New Roman" w:cs="Times New Roman" w:eastAsia="Times New Roman" w:hAnsi="Times New Roman"/>
                <w:sz w:val="20"/>
                <w:szCs w:val="20"/>
                <w:color w:val="auto"/>
                <w:w w:val="98"/>
              </w:rPr>
              <w:t>114.03</w:t>
            </w:r>
          </w:p>
        </w:tc>
        <w:tc>
          <w:tcPr>
            <w:tcW w:w="84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w w:val="98"/>
              </w:rPr>
              <w:t>135.01</w:t>
            </w:r>
          </w:p>
        </w:tc>
        <w:tc>
          <w:tcPr>
            <w:tcW w:w="820" w:type="dxa"/>
            <w:vAlign w:val="bottom"/>
            <w:gridSpan w:val="2"/>
          </w:tcPr>
          <w:p>
            <w:pPr>
              <w:jc w:val="center"/>
              <w:ind w:left="166"/>
              <w:spacing w:after="0"/>
              <w:rPr>
                <w:sz w:val="20"/>
                <w:szCs w:val="20"/>
                <w:color w:val="auto"/>
              </w:rPr>
            </w:pPr>
            <w:r>
              <w:rPr>
                <w:rFonts w:ascii="Times New Roman" w:cs="Times New Roman" w:eastAsia="Times New Roman" w:hAnsi="Times New Roman"/>
                <w:sz w:val="20"/>
                <w:szCs w:val="20"/>
                <w:color w:val="auto"/>
              </w:rPr>
              <w:t>173.77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210820</wp:posOffset>
                </wp:positionV>
                <wp:extent cx="9010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6.6pt" to="71.2pt,16.6pt" o:allowincell="f" strokecolor="#000000" strokeweight="0.493pt"/>
            </w:pict>
          </mc:Fallback>
        </mc:AlternateConten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S&amp;P Global Market Intelligence © 2022</w:t>
      </w:r>
    </w:p>
    <w:p>
      <w:pPr>
        <w:spacing w:after="0" w:line="34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2060" w:h="15667" w:orient="portrait"/>
          <w:cols w:equalWidth="0" w:num="1">
            <w:col w:w="9227"/>
          </w:cols>
          <w:pgMar w:left="1400" w:top="912" w:right="1440" w:bottom="204"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49</w:t>
      </w:r>
    </w:p>
    <w:p>
      <w:pPr>
        <w:sectPr>
          <w:pgSz w:w="12060" w:h="15667" w:orient="portrait"/>
          <w:cols w:equalWidth="0" w:num="1">
            <w:col w:w="9227"/>
          </w:cols>
          <w:pgMar w:left="1400" w:top="912" w:right="1440" w:bottom="204" w:gutter="0" w:footer="0" w:header="0"/>
          <w:type w:val="continuous"/>
        </w:sectPr>
      </w:pPr>
    </w:p>
    <w:bookmarkStart w:id="62" w:name="page63"/>
    <w:bookmarkEnd w:id="6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19" w:lineRule="exact"/>
        <w:rPr>
          <w:sz w:val="20"/>
          <w:szCs w:val="20"/>
          <w:color w:val="auto"/>
        </w:rPr>
      </w:pPr>
    </w:p>
    <w:p>
      <w:pPr>
        <w:jc w:val="both"/>
        <w:ind w:right="180" w:firstLine="394"/>
        <w:spacing w:after="0" w:line="259"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our financial condition and results of operations should be read in conjunction with our consolidated financial statements and the accompanying notes included elsewhere in this Report.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7"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Financial Data</w:t>
      </w:r>
    </w:p>
    <w:p>
      <w:pPr>
        <w:spacing w:after="0" w:line="117" w:lineRule="exact"/>
        <w:rPr>
          <w:sz w:val="20"/>
          <w:szCs w:val="20"/>
          <w:color w:val="auto"/>
        </w:rPr>
      </w:pPr>
    </w:p>
    <w:p>
      <w:pPr>
        <w:jc w:val="both"/>
        <w:ind w:right="180" w:firstLine="394"/>
        <w:spacing w:after="0"/>
        <w:rPr>
          <w:sz w:val="20"/>
          <w:szCs w:val="20"/>
          <w:color w:val="auto"/>
        </w:rPr>
      </w:pPr>
      <w:r>
        <w:rPr>
          <w:rFonts w:ascii="Times New Roman" w:cs="Times New Roman" w:eastAsia="Times New Roman" w:hAnsi="Times New Roman"/>
          <w:sz w:val="20"/>
          <w:szCs w:val="20"/>
          <w:color w:val="auto"/>
        </w:rPr>
        <w:t>The following table sets forth certain of our selected financial data for, and as of the end of, each of the periods indicated. This information should be read in conjunction with ‘‘Item 8. Financial Statements and Supplementary Data’’ included elsewhere in this Report (dollars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10"/>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tc>
      </w:tr>
      <w:tr>
        <w:trPr>
          <w:trHeight w:val="209"/>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r>
      <w:tr>
        <w:trPr>
          <w:trHeight w:val="289"/>
        </w:trPr>
        <w:tc>
          <w:tcPr>
            <w:tcW w:w="6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Selected Income Statement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interest income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138,476</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121,764</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122,285</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Provision for loan losses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(2,619)</w:t>
            </w: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25,570</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Noninterest income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97,469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101,603</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Noninterest expense.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144,089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141,715</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14,507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58,614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45,353</w:t>
            </w:r>
          </w:p>
        </w:tc>
        <w:tc>
          <w:tcPr>
            <w:tcW w:w="180" w:type="dxa"/>
            <w:vAlign w:val="bottom"/>
          </w:tcPr>
          <w:p>
            <w:pPr>
              <w:spacing w:after="0"/>
              <w:rPr>
                <w:sz w:val="21"/>
                <w:szCs w:val="21"/>
                <w:color w:val="auto"/>
              </w:rPr>
            </w:pPr>
          </w:p>
        </w:tc>
      </w:tr>
      <w:tr>
        <w:trPr>
          <w:trHeight w:val="251"/>
        </w:trPr>
        <w:tc>
          <w:tcPr>
            <w:tcW w:w="6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 and Per Share Data:</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Earnings per share (basic)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Earnings per share (diluted)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Dividends per share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180" w:type="dxa"/>
            <w:vAlign w:val="bottom"/>
          </w:tcPr>
          <w:p>
            <w:pPr>
              <w:spacing w:after="0"/>
              <w:rPr>
                <w:sz w:val="21"/>
                <w:szCs w:val="21"/>
                <w:color w:val="auto"/>
              </w:rPr>
            </w:pPr>
          </w:p>
        </w:tc>
      </w:tr>
      <w:tr>
        <w:trPr>
          <w:trHeight w:val="277"/>
        </w:trPr>
        <w:tc>
          <w:tcPr>
            <w:tcW w:w="6020" w:type="dxa"/>
            <w:vAlign w:val="bottom"/>
          </w:tcPr>
          <w:p>
            <w:pPr>
              <w:ind w:left="200"/>
              <w:spacing w:after="0" w:line="276" w:lineRule="exact"/>
              <w:rPr>
                <w:sz w:val="20"/>
                <w:szCs w:val="20"/>
                <w:color w:val="auto"/>
              </w:rPr>
            </w:pPr>
            <w:r>
              <w:rPr>
                <w:rFonts w:ascii="Times New Roman" w:cs="Times New Roman" w:eastAsia="Times New Roman" w:hAnsi="Times New Roman"/>
                <w:sz w:val="20"/>
                <w:szCs w:val="20"/>
                <w:color w:val="auto"/>
              </w:rPr>
              <w:t>Tangible book value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 . . . . . . . . . . . . . . . . . . . . . . . . . . . . .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21.51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18.97</w:t>
            </w:r>
          </w:p>
        </w:tc>
        <w:tc>
          <w:tcPr>
            <w:tcW w:w="180" w:type="dxa"/>
            <w:vAlign w:val="bottom"/>
          </w:tcPr>
          <w:p>
            <w:pPr>
              <w:spacing w:after="0"/>
              <w:rPr>
                <w:sz w:val="24"/>
                <w:szCs w:val="24"/>
                <w:color w:val="auto"/>
              </w:rPr>
            </w:pPr>
          </w:p>
        </w:tc>
      </w:tr>
      <w:tr>
        <w:trPr>
          <w:trHeight w:val="226"/>
        </w:trPr>
        <w:tc>
          <w:tcPr>
            <w:tcW w:w="6020" w:type="dxa"/>
            <w:vAlign w:val="bottom"/>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Selected Period End Balance Sheet Data: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234,883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486,821</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300,307</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Investment securities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701,711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724,504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803,087</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Gross loans held for investment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2,748,081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2,437,577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2,221,583</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Allowance for loan losses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42,098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45,553</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3,944,063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3,901,855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3,599,160</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Total deposits . . . . .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3,406,430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3,341,222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2,974,351</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Borrowings. . . . . . . . . . .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122,354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122,168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223,532</w:t>
            </w: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Total stockholders’ equity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357,014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407,427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370,048</w:t>
            </w:r>
          </w:p>
        </w:tc>
        <w:tc>
          <w:tcPr>
            <w:tcW w:w="180" w:type="dxa"/>
            <w:vAlign w:val="bottom"/>
          </w:tcPr>
          <w:p>
            <w:pPr>
              <w:spacing w:after="0"/>
              <w:rPr>
                <w:sz w:val="21"/>
                <w:szCs w:val="21"/>
                <w:color w:val="auto"/>
              </w:rPr>
            </w:pPr>
          </w:p>
        </w:tc>
      </w:tr>
      <w:tr>
        <w:trPr>
          <w:trHeight w:val="251"/>
        </w:trPr>
        <w:tc>
          <w:tcPr>
            <w:tcW w:w="6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Ratios: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Return on average assets . . . . . . . . . . . .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1.47%</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1"/>
        </w:trPr>
        <w:tc>
          <w:tcPr>
            <w:tcW w:w="60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Return on average stockholders’ equity . . . . .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15.79%</w:t>
            </w:r>
          </w:p>
        </w:tc>
        <w:tc>
          <w:tcPr>
            <w:tcW w:w="1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13.40%</w:t>
            </w:r>
          </w:p>
        </w:tc>
      </w:tr>
      <w:tr>
        <w:trPr>
          <w:trHeight w:val="263"/>
        </w:trPr>
        <w:tc>
          <w:tcPr>
            <w:tcW w:w="6020" w:type="dxa"/>
            <w:vAlign w:val="bottom"/>
          </w:tcPr>
          <w:p>
            <w:pPr>
              <w:ind w:left="200"/>
              <w:spacing w:after="0" w:line="263" w:lineRule="exact"/>
              <w:rPr>
                <w:sz w:val="20"/>
                <w:szCs w:val="20"/>
                <w:color w:val="auto"/>
              </w:rPr>
            </w:pPr>
            <w:r>
              <w:rPr>
                <w:rFonts w:ascii="Times New Roman" w:cs="Times New Roman" w:eastAsia="Times New Roman" w:hAnsi="Times New Roman"/>
                <w:sz w:val="20"/>
                <w:szCs w:val="20"/>
                <w:color w:val="auto"/>
              </w:rPr>
              <w:t>Net interest margin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3.73%</w:t>
            </w: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w:t>
            </w:r>
          </w:p>
        </w:tc>
      </w:tr>
      <w:tr>
        <w:trPr>
          <w:trHeight w:val="274"/>
        </w:trPr>
        <w:tc>
          <w:tcPr>
            <w:tcW w:w="6020" w:type="dxa"/>
            <w:vAlign w:val="bottom"/>
          </w:tcPr>
          <w:p>
            <w:pPr>
              <w:ind w:left="200"/>
              <w:spacing w:after="0" w:line="274" w:lineRule="exact"/>
              <w:rPr>
                <w:sz w:val="20"/>
                <w:szCs w:val="20"/>
                <w:color w:val="auto"/>
              </w:rPr>
            </w:pPr>
            <w:r>
              <w:rPr>
                <w:rFonts w:ascii="Times New Roman" w:cs="Times New Roman" w:eastAsia="Times New Roman" w:hAnsi="Times New Roman"/>
                <w:sz w:val="20"/>
                <w:szCs w:val="20"/>
                <w:color w:val="auto"/>
                <w:w w:val="99"/>
              </w:rPr>
              <w:t>Efficiency ratio</w:t>
            </w:r>
            <w:r>
              <w:rPr>
                <w:rFonts w:ascii="Times New Roman" w:cs="Times New Roman" w:eastAsia="Times New Roman" w:hAnsi="Times New Roman"/>
                <w:sz w:val="25"/>
                <w:szCs w:val="25"/>
                <w:color w:val="auto"/>
                <w:w w:val="99"/>
                <w:vertAlign w:val="superscript"/>
              </w:rPr>
              <w:t>(3)</w:t>
            </w:r>
            <w:r>
              <w:rPr>
                <w:rFonts w:ascii="Times New Roman" w:cs="Times New Roman" w:eastAsia="Times New Roman" w:hAnsi="Times New Roman"/>
                <w:sz w:val="20"/>
                <w:szCs w:val="20"/>
                <w:color w:val="auto"/>
                <w:w w:val="99"/>
              </w:rPr>
              <w:t xml:space="preserve"> . . . . . . . . . . . . . . . . . . . . . . . . . . . . . . . . . . . . . . . . . . .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66.76%</w:t>
            </w:r>
          </w:p>
        </w:tc>
        <w:tc>
          <w:tcPr>
            <w:tcW w:w="10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62.99%</w:t>
            </w:r>
          </w:p>
        </w:tc>
      </w:tr>
    </w:tbl>
    <w:p>
      <w:pPr>
        <w:spacing w:after="0" w:line="200" w:lineRule="exact"/>
        <w:rPr>
          <w:sz w:val="20"/>
          <w:szCs w:val="20"/>
          <w:color w:val="auto"/>
        </w:rPr>
      </w:pPr>
    </w:p>
    <w:p>
      <w:pPr>
        <w:sectPr>
          <w:pgSz w:w="12060" w:h="15667" w:orient="portrait"/>
          <w:cols w:equalWidth="0" w:num="1">
            <w:col w:w="9400"/>
          </w:cols>
          <w:pgMar w:left="1400" w:top="900" w:right="126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50</w:t>
      </w:r>
    </w:p>
    <w:p>
      <w:pPr>
        <w:sectPr>
          <w:pgSz w:w="12060" w:h="15667" w:orient="portrait"/>
          <w:cols w:equalWidth="0" w:num="1">
            <w:col w:w="9400"/>
          </w:cols>
          <w:pgMar w:left="1400" w:top="900" w:right="1267" w:bottom="204"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tc>
      </w:tr>
      <w:tr>
        <w:trPr>
          <w:trHeight w:val="209"/>
        </w:trPr>
        <w:tc>
          <w:tcPr>
            <w:tcW w:w="6140" w:type="dxa"/>
            <w:vAlign w:val="bottom"/>
          </w:tcPr>
          <w:p>
            <w:pPr>
              <w:spacing w:after="0"/>
              <w:rPr>
                <w:sz w:val="18"/>
                <w:szCs w:val="18"/>
                <w:color w:val="auto"/>
              </w:rPr>
            </w:pPr>
          </w:p>
        </w:tc>
        <w:tc>
          <w:tcPr>
            <w:tcW w:w="88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9"/>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Credit Quality Ratios:</w:t>
            </w: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3"/>
        </w:trPr>
        <w:tc>
          <w:tcPr>
            <w:tcW w:w="6140" w:type="dxa"/>
            <w:vAlign w:val="bottom"/>
          </w:tcPr>
          <w:p>
            <w:pPr>
              <w:ind w:left="200"/>
              <w:spacing w:after="0" w:line="263" w:lineRule="exact"/>
              <w:rPr>
                <w:sz w:val="20"/>
                <w:szCs w:val="20"/>
                <w:color w:val="auto"/>
              </w:rPr>
            </w:pPr>
            <w:r>
              <w:rPr>
                <w:rFonts w:ascii="Times New Roman" w:cs="Times New Roman" w:eastAsia="Times New Roman" w:hAnsi="Times New Roman"/>
                <w:sz w:val="20"/>
                <w:szCs w:val="20"/>
                <w:color w:val="auto"/>
              </w:rPr>
              <w:t>Nonperforming assets to total assets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0.45%</w:t>
            </w:r>
          </w:p>
        </w:tc>
      </w:tr>
      <w:tr>
        <w:trPr>
          <w:trHeight w:val="251"/>
        </w:trPr>
        <w:tc>
          <w:tcPr>
            <w:tcW w:w="6140" w:type="dxa"/>
            <w:vAlign w:val="bottom"/>
          </w:tcPr>
          <w:p>
            <w:pPr>
              <w:ind w:left="200"/>
              <w:spacing w:after="0" w:line="251" w:lineRule="exact"/>
              <w:rPr>
                <w:sz w:val="20"/>
                <w:szCs w:val="20"/>
                <w:color w:val="auto"/>
              </w:rPr>
            </w:pPr>
            <w:r>
              <w:rPr>
                <w:rFonts w:ascii="Times New Roman" w:cs="Times New Roman" w:eastAsia="Times New Roman" w:hAnsi="Times New Roman"/>
                <w:sz w:val="20"/>
                <w:szCs w:val="20"/>
                <w:color w:val="auto"/>
              </w:rPr>
              <w:t>Nonperforming loans to total loans held for investment</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0.67%</w:t>
            </w:r>
          </w:p>
        </w:tc>
      </w:tr>
      <w:tr>
        <w:trPr>
          <w:trHeight w:val="273"/>
        </w:trPr>
        <w:tc>
          <w:tcPr>
            <w:tcW w:w="6140" w:type="dxa"/>
            <w:vAlign w:val="bottom"/>
          </w:tcPr>
          <w:p>
            <w:pPr>
              <w:ind w:left="200"/>
              <w:spacing w:after="0" w:line="272" w:lineRule="exact"/>
              <w:rPr>
                <w:sz w:val="20"/>
                <w:szCs w:val="20"/>
                <w:color w:val="auto"/>
              </w:rPr>
            </w:pPr>
            <w:r>
              <w:rPr>
                <w:rFonts w:ascii="Times New Roman" w:cs="Times New Roman" w:eastAsia="Times New Roman" w:hAnsi="Times New Roman"/>
                <w:sz w:val="20"/>
                <w:szCs w:val="20"/>
                <w:color w:val="auto"/>
              </w:rPr>
              <w:t>Allowance for loan losses to nonperforming loans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304.40%</w:t>
            </w:r>
          </w:p>
        </w:tc>
      </w:tr>
      <w:tr>
        <w:trPr>
          <w:trHeight w:val="218"/>
        </w:trPr>
        <w:tc>
          <w:tcPr>
            <w:tcW w:w="6140" w:type="dxa"/>
            <w:vAlign w:val="bottom"/>
          </w:tcPr>
          <w:p>
            <w:pPr>
              <w:ind w:left="200"/>
              <w:spacing w:after="0" w:line="218" w:lineRule="exact"/>
              <w:rPr>
                <w:sz w:val="20"/>
                <w:szCs w:val="20"/>
                <w:color w:val="auto"/>
              </w:rPr>
            </w:pPr>
            <w:r>
              <w:rPr>
                <w:rFonts w:ascii="Times New Roman" w:cs="Times New Roman" w:eastAsia="Times New Roman" w:hAnsi="Times New Roman"/>
                <w:sz w:val="20"/>
                <w:szCs w:val="20"/>
                <w:color w:val="auto"/>
              </w:rPr>
              <w:t>Allowance for loan losses to total loans held for investment . . . . . . . . .</w:t>
            </w:r>
          </w:p>
        </w:tc>
        <w:tc>
          <w:tcPr>
            <w:tcW w:w="8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1.43%</w:t>
            </w:r>
          </w:p>
        </w:tc>
        <w:tc>
          <w:tcPr>
            <w:tcW w:w="11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1.73%</w:t>
            </w:r>
          </w:p>
        </w:tc>
        <w:tc>
          <w:tcPr>
            <w:tcW w:w="11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2.05%</w:t>
            </w:r>
          </w:p>
        </w:tc>
      </w:tr>
      <w:tr>
        <w:trPr>
          <w:trHeight w:val="251"/>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loan charge-offs to average loans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0.18%</w:t>
            </w:r>
          </w:p>
        </w:tc>
      </w:tr>
      <w:tr>
        <w:trPr>
          <w:trHeight w:val="251"/>
        </w:trPr>
        <w:tc>
          <w:tcPr>
            <w:tcW w:w="6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Capital Ratios:</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1"/>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stockholders’ equity to total assets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w:t>
            </w:r>
          </w:p>
        </w:tc>
      </w:tr>
      <w:tr>
        <w:trPr>
          <w:trHeight w:val="285"/>
        </w:trPr>
        <w:tc>
          <w:tcPr>
            <w:tcW w:w="6140" w:type="dxa"/>
            <w:vAlign w:val="bottom"/>
          </w:tcPr>
          <w:p>
            <w:pPr>
              <w:ind w:left="200"/>
              <w:spacing w:after="0" w:line="284" w:lineRule="exact"/>
              <w:rPr>
                <w:sz w:val="20"/>
                <w:szCs w:val="20"/>
                <w:color w:val="auto"/>
              </w:rPr>
            </w:pPr>
            <w:r>
              <w:rPr>
                <w:rFonts w:ascii="Times New Roman" w:cs="Times New Roman" w:eastAsia="Times New Roman" w:hAnsi="Times New Roman"/>
                <w:sz w:val="20"/>
                <w:szCs w:val="20"/>
                <w:color w:val="auto"/>
              </w:rPr>
              <w:t>Tangible common equity to tangible assets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9.60%</w:t>
            </w:r>
          </w:p>
        </w:tc>
      </w:tr>
      <w:tr>
        <w:trPr>
          <w:trHeight w:val="218"/>
        </w:trPr>
        <w:tc>
          <w:tcPr>
            <w:tcW w:w="6140" w:type="dxa"/>
            <w:vAlign w:val="bottom"/>
          </w:tcPr>
          <w:p>
            <w:pPr>
              <w:ind w:left="200"/>
              <w:spacing w:after="0" w:line="218" w:lineRule="exact"/>
              <w:rPr>
                <w:sz w:val="20"/>
                <w:szCs w:val="20"/>
                <w:color w:val="auto"/>
              </w:rPr>
            </w:pPr>
            <w:r>
              <w:rPr>
                <w:rFonts w:ascii="Times New Roman" w:cs="Times New Roman" w:eastAsia="Times New Roman" w:hAnsi="Times New Roman"/>
                <w:sz w:val="20"/>
                <w:szCs w:val="20"/>
                <w:color w:val="auto"/>
              </w:rPr>
              <w:t>Common equity tier 1 capital ratio. . . . . . . . . . . . . . . . . . . . . . . . . . . . . .</w:t>
            </w:r>
          </w:p>
        </w:tc>
        <w:tc>
          <w:tcPr>
            <w:tcW w:w="8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11.81%</w:t>
            </w:r>
          </w:p>
        </w:tc>
        <w:tc>
          <w:tcPr>
            <w:tcW w:w="11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12.91%</w:t>
            </w:r>
          </w:p>
        </w:tc>
        <w:tc>
          <w:tcPr>
            <w:tcW w:w="110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12.96%</w:t>
            </w:r>
          </w:p>
        </w:tc>
      </w:tr>
      <w:tr>
        <w:trPr>
          <w:trHeight w:val="251"/>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Tier 1 leverage ratio . . . . . .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10.24%</w:t>
            </w:r>
          </w:p>
        </w:tc>
      </w:tr>
      <w:tr>
        <w:trPr>
          <w:trHeight w:val="251"/>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Tier 1 risk-based capital ratio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14.78%</w:t>
            </w:r>
          </w:p>
        </w:tc>
      </w:tr>
      <w:tr>
        <w:trPr>
          <w:trHeight w:val="251"/>
        </w:trPr>
        <w:tc>
          <w:tcPr>
            <w:tcW w:w="6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risk-based capital ratio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217170</wp:posOffset>
                </wp:positionV>
                <wp:extent cx="9010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1pt" to="71.2pt,17.1pt" o:allowincell="f" strokecolor="#000000" strokeweight="0.493pt"/>
            </w:pict>
          </mc:Fallback>
        </mc:AlternateContent>
      </w:r>
    </w:p>
    <w:p>
      <w:pPr>
        <w:spacing w:after="0" w:line="200" w:lineRule="exact"/>
        <w:rPr>
          <w:sz w:val="20"/>
          <w:szCs w:val="20"/>
          <w:color w:val="auto"/>
        </w:rPr>
      </w:pPr>
    </w:p>
    <w:p>
      <w:pPr>
        <w:spacing w:after="0" w:line="233" w:lineRule="exact"/>
        <w:rPr>
          <w:sz w:val="20"/>
          <w:szCs w:val="20"/>
          <w:color w:val="auto"/>
        </w:rPr>
      </w:pPr>
    </w:p>
    <w:p>
      <w:pPr>
        <w:jc w:val="both"/>
        <w:ind w:left="400" w:right="7" w:hanging="395"/>
        <w:spacing w:after="0" w:line="238" w:lineRule="auto"/>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73"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interest margin is calculated as the annual net interest income, on a fully tax-equivalent basis, divided by average interest-earning assets.</w:t>
      </w:r>
    </w:p>
    <w:p>
      <w:pPr>
        <w:spacing w:after="0" w:line="73" w:lineRule="exact"/>
        <w:rPr>
          <w:rFonts w:ascii="Times New Roman" w:cs="Times New Roman" w:eastAsia="Times New Roman" w:hAnsi="Times New Roman"/>
          <w:sz w:val="15"/>
          <w:szCs w:val="15"/>
          <w:color w:val="auto"/>
        </w:rPr>
      </w:pPr>
    </w:p>
    <w:p>
      <w:pPr>
        <w:ind w:left="400" w:right="7" w:hanging="395"/>
        <w:spacing w:after="0" w:line="235" w:lineRule="auto"/>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efficiency ratio is calculated by dividing noninterest expense by the sum of net interest income on a tax-equivalent basis and noninterest income.</w:t>
      </w:r>
    </w:p>
    <w:p>
      <w:pPr>
        <w:spacing w:after="0" w:line="63"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Nonperforming assets consist of nonperforming loans plus OREO.</w:t>
      </w:r>
    </w:p>
    <w:p>
      <w:pPr>
        <w:spacing w:after="0" w:line="62"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Nonperforming loans include nonaccrual loans and loans past due 90 days or more.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7"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Net income for the year ended December 31, 2022 was $58.2 million, or $3.23 per diluted share, compared to $58.6 million, or $3.17 per diluted share, for the year ended December 31, 2021. The decrease in net income was primarily the result of a decrease of $21.3 million in noninterest income, offset by an increase of $16.7 million in net interest income and a decrease of $3.9 million in noninterest expense.</w:t>
      </w:r>
    </w:p>
    <w:p>
      <w:pPr>
        <w:spacing w:after="0" w:line="13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Return on average assets was 1.47% and return on average equity was 15.79% for the year ended December 31, 2022, compared to 1.56% and 15.08%, respectively, for the year ended December 31, 2021. The decrease in return on average assets was primarily due to the decrease in net income of 0.6%, relative to a larger increase of 5.2% in total average assets.</w:t>
      </w:r>
    </w:p>
    <w:p>
      <w:pPr>
        <w:spacing w:after="0" w:line="138"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Net income for the year ended December 31, 2021 was $58.6 million, or $3.17 per diluted share, compared to $45.4 million, or $2.47 per diluted share, for the year ended December 31, 2020. The increase in net income was primarily the result of a decrease of $27.5 million in provision for loan losses, offset by a decrease of $4.1 million in noninterest income, an increase of $6.3 million in noninterest expense and an increase of $3.3 million in income tax expense.</w:t>
      </w:r>
    </w:p>
    <w:p>
      <w:pPr>
        <w:spacing w:after="0" w:line="13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Return on average assets was 1.56% and return on average equity was 15.08% for the year ended December 31, 2021, compared to 1.31% and 13.40%, respectively, for the year ended December 31, 2020. The increase in return on average assets was primarily due to the increase in net income of 29.2%, relative to a smaller increase of 8.8% in total average assets.</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The Paycheck Protection Program (‘‘PPP’’) was created by the Coronavirus Aid, Relief, and Economic Security Act (the ‘‘CARES Act’’) and implemented by the U.S. Small Business Administration (the ‘‘SBA’’) in March 2020. Funding for the PPP expired May 31, 2021. The PPP allowed entities to apply for a 1.00% interest rate loan with payments generally deferred until the date the lender receives the applicable forgiveness amount from the SBA. The Bank originated approximately 3,200 PPP loans for a total of $309.2 million. As of December 31, 2022, there was approximately $482 thousand still outstanding. The Company recorded PPP-related SBA interest and fee income of $2.1 million, $8.3 million, and $5.1 million during the years of 2022, 2021, and 2020, respectively.</w:t>
      </w:r>
    </w:p>
    <w:p>
      <w:pPr>
        <w:sectPr>
          <w:pgSz w:w="12060" w:h="15667" w:orient="portrait"/>
          <w:cols w:equalWidth="0" w:num="1">
            <w:col w:w="9227"/>
          </w:cols>
          <w:pgMar w:left="1400" w:top="987"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51</w:t>
      </w:r>
    </w:p>
    <w:p>
      <w:pPr>
        <w:sectPr>
          <w:pgSz w:w="12060" w:h="15667" w:orient="portrait"/>
          <w:cols w:equalWidth="0" w:num="1">
            <w:col w:w="9227"/>
          </w:cols>
          <w:pgMar w:left="1400" w:top="987" w:right="1440" w:bottom="204"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Income</w:t>
      </w:r>
    </w:p>
    <w:p>
      <w:pPr>
        <w:spacing w:after="0" w:line="127" w:lineRule="exact"/>
        <w:rPr>
          <w:sz w:val="20"/>
          <w:szCs w:val="20"/>
          <w:color w:val="auto"/>
        </w:rPr>
      </w:pPr>
    </w:p>
    <w:p>
      <w:pPr>
        <w:jc w:val="both"/>
        <w:ind w:right="280" w:firstLine="394"/>
        <w:spacing w:after="0" w:line="28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w:t>
      </w:r>
    </w:p>
    <w:p>
      <w:pPr>
        <w:spacing w:after="0" w:line="3" w:lineRule="exact"/>
        <w:rPr>
          <w:sz w:val="20"/>
          <w:szCs w:val="20"/>
          <w:color w:val="auto"/>
        </w:rPr>
      </w:pPr>
    </w:p>
    <w:p>
      <w:pPr>
        <w:jc w:val="both"/>
        <w:ind w:right="280" w:firstLine="6"/>
        <w:spacing w:after="0" w:line="250" w:lineRule="auto"/>
        <w:tabs>
          <w:tab w:leader="none" w:pos="33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39" w:lineRule="exact"/>
        <w:rPr>
          <w:sz w:val="20"/>
          <w:szCs w:val="20"/>
          <w:color w:val="auto"/>
        </w:rPr>
      </w:pPr>
    </w:p>
    <w:p>
      <w:pPr>
        <w:jc w:val="both"/>
        <w:ind w:right="280" w:firstLine="394"/>
        <w:spacing w:after="0" w:line="270" w:lineRule="auto"/>
        <w:rPr>
          <w:sz w:val="20"/>
          <w:szCs w:val="20"/>
          <w:color w:val="auto"/>
        </w:rPr>
      </w:pPr>
      <w:r>
        <w:rPr>
          <w:rFonts w:ascii="Times New Roman" w:cs="Times New Roman" w:eastAsia="Times New Roman" w:hAnsi="Times New Roman"/>
          <w:sz w:val="19"/>
          <w:szCs w:val="19"/>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20" w:lineRule="exact"/>
        <w:rPr>
          <w:sz w:val="20"/>
          <w:szCs w:val="20"/>
          <w:color w:val="auto"/>
        </w:rPr>
      </w:pPr>
    </w:p>
    <w:p>
      <w:pPr>
        <w:jc w:val="both"/>
        <w:ind w:right="280" w:firstLine="394"/>
        <w:spacing w:after="0" w:line="250" w:lineRule="auto"/>
        <w:rPr>
          <w:sz w:val="20"/>
          <w:szCs w:val="20"/>
          <w:color w:val="auto"/>
        </w:rPr>
      </w:pPr>
      <w:r>
        <w:rPr>
          <w:rFonts w:ascii="Times New Roman" w:cs="Times New Roman" w:eastAsia="Times New Roman" w:hAnsi="Times New Roman"/>
          <w:sz w:val="20"/>
          <w:szCs w:val="20"/>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w:t>
      </w:r>
    </w:p>
    <w:p>
      <w:pPr>
        <w:spacing w:after="0" w:line="10" w:lineRule="exact"/>
        <w:rPr>
          <w:sz w:val="20"/>
          <w:szCs w:val="20"/>
          <w:color w:val="auto"/>
        </w:rPr>
      </w:pPr>
    </w:p>
    <w:p>
      <w:pPr>
        <w:ind w:right="280" w:firstLine="5"/>
        <w:spacing w:after="0" w:line="237"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(iv) the interest rate spread; and (v) the net interest margin. For purposes of this table, interest income, net interest margin and net interest spread are shown on a fully tax-equivalent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29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2920" w:type="dxa"/>
            <w:vAlign w:val="bottom"/>
          </w:tcPr>
          <w:p>
            <w:pPr>
              <w:spacing w:after="0"/>
              <w:rPr>
                <w:sz w:val="14"/>
                <w:szCs w:val="14"/>
                <w:color w:val="auto"/>
              </w:rPr>
            </w:pPr>
          </w:p>
        </w:tc>
        <w:tc>
          <w:tcPr>
            <w:tcW w:w="820" w:type="dxa"/>
            <w:vAlign w:val="bottom"/>
            <w:gridSpan w:val="2"/>
          </w:tcPr>
          <w:p>
            <w:pPr>
              <w:jc w:val="right"/>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jc w:val="center"/>
              <w:ind w:right="160"/>
              <w:spacing w:after="0" w:line="167"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80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140"/>
              <w:spacing w:after="0" w:line="167" w:lineRule="exact"/>
              <w:rPr>
                <w:sz w:val="20"/>
                <w:szCs w:val="20"/>
                <w:color w:val="auto"/>
              </w:rPr>
            </w:pPr>
            <w:r>
              <w:rPr>
                <w:rFonts w:ascii="Times New Roman" w:cs="Times New Roman" w:eastAsia="Times New Roman" w:hAnsi="Times New Roman"/>
                <w:sz w:val="16"/>
                <w:szCs w:val="16"/>
                <w:b w:val="1"/>
                <w:bCs w:val="1"/>
                <w:color w:val="auto"/>
              </w:rPr>
              <w:t>Yield/</w:t>
            </w:r>
          </w:p>
        </w:tc>
        <w:tc>
          <w:tcPr>
            <w:tcW w:w="80" w:type="dxa"/>
            <w:vAlign w:val="bottom"/>
          </w:tcPr>
          <w:p>
            <w:pPr>
              <w:spacing w:after="0"/>
              <w:rPr>
                <w:sz w:val="14"/>
                <w:szCs w:val="14"/>
                <w:color w:val="auto"/>
              </w:rPr>
            </w:pPr>
          </w:p>
        </w:tc>
        <w:tc>
          <w:tcPr>
            <w:tcW w:w="800" w:type="dxa"/>
            <w:vAlign w:val="bottom"/>
          </w:tcPr>
          <w:p>
            <w:pPr>
              <w:jc w:val="right"/>
              <w:ind w:right="38"/>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5"/>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Yield/</w:t>
            </w:r>
          </w:p>
        </w:tc>
      </w:tr>
      <w:tr>
        <w:trPr>
          <w:trHeight w:val="183"/>
        </w:trPr>
        <w:tc>
          <w:tcPr>
            <w:tcW w:w="2920" w:type="dxa"/>
            <w:vAlign w:val="bottom"/>
          </w:tcPr>
          <w:p>
            <w:pPr>
              <w:spacing w:after="0"/>
              <w:rPr>
                <w:sz w:val="15"/>
                <w:szCs w:val="15"/>
                <w:color w:val="auto"/>
              </w:rPr>
            </w:pPr>
          </w:p>
        </w:tc>
        <w:tc>
          <w:tcPr>
            <w:tcW w:w="800" w:type="dxa"/>
            <w:vAlign w:val="bottom"/>
            <w:tcBorders>
              <w:bottom w:val="single" w:sz="8" w:color="auto"/>
            </w:tcBorders>
          </w:tcPr>
          <w:p>
            <w:pPr>
              <w:jc w:val="right"/>
              <w:ind w:right="52"/>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40" w:type="dxa"/>
            <w:vAlign w:val="bottom"/>
          </w:tcPr>
          <w:p>
            <w:pPr>
              <w:spacing w:after="0"/>
              <w:rPr>
                <w:sz w:val="15"/>
                <w:szCs w:val="15"/>
                <w:color w:val="auto"/>
              </w:rPr>
            </w:pPr>
          </w:p>
        </w:tc>
        <w:tc>
          <w:tcPr>
            <w:tcW w:w="440" w:type="dxa"/>
            <w:vAlign w:val="bottom"/>
            <w:tcBorders>
              <w:bottom w:val="single" w:sz="8" w:color="auto"/>
            </w:tcBorders>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5"/>
                <w:szCs w:val="15"/>
                <w:color w:val="auto"/>
              </w:rPr>
            </w:pPr>
          </w:p>
        </w:tc>
        <w:tc>
          <w:tcPr>
            <w:tcW w:w="660" w:type="dxa"/>
            <w:vAlign w:val="bottom"/>
            <w:tcBorders>
              <w:bottom w:val="single" w:sz="8" w:color="auto"/>
            </w:tcBorders>
            <w:gridSpan w:val="3"/>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38"/>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5"/>
                <w:szCs w:val="15"/>
                <w:color w:val="auto"/>
              </w:rPr>
            </w:pPr>
          </w:p>
        </w:tc>
        <w:tc>
          <w:tcPr>
            <w:tcW w:w="400" w:type="dxa"/>
            <w:vAlign w:val="bottom"/>
            <w:tcBorders>
              <w:bottom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gridSpan w:val="2"/>
          </w:tcPr>
          <w:p>
            <w:pPr>
              <w:spacing w:after="0"/>
              <w:rPr>
                <w:sz w:val="15"/>
                <w:szCs w:val="15"/>
                <w:color w:val="auto"/>
              </w:rPr>
            </w:pPr>
          </w:p>
        </w:tc>
      </w:tr>
      <w:tr>
        <w:trPr>
          <w:trHeight w:val="189"/>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920" w:type="dxa"/>
            <w:vAlign w:val="bottom"/>
          </w:tcPr>
          <w:p>
            <w:pPr>
              <w:ind w:left="200"/>
              <w:spacing w:after="0" w:line="238" w:lineRule="exact"/>
              <w:rPr>
                <w:sz w:val="20"/>
                <w:szCs w:val="20"/>
                <w:color w:val="auto"/>
              </w:rPr>
            </w:pPr>
            <w:r>
              <w:rPr>
                <w:rFonts w:ascii="Times New Roman" w:cs="Times New Roman" w:eastAsia="Times New Roman" w:hAnsi="Times New Roman"/>
                <w:sz w:val="18"/>
                <w:szCs w:val="18"/>
                <w:color w:val="auto"/>
              </w:rPr>
              <w:t>Loans, excluding PPP</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$2,597,274</w:t>
            </w:r>
          </w:p>
        </w:tc>
        <w:tc>
          <w:tcPr>
            <w:tcW w:w="20" w:type="dxa"/>
            <w:vAlign w:val="bottom"/>
          </w:tcPr>
          <w:p>
            <w:pPr>
              <w:spacing w:after="0"/>
              <w:rPr>
                <w:sz w:val="20"/>
                <w:szCs w:val="20"/>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$135,927</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w w:val="98"/>
              </w:rPr>
              <w:t>5.23%$2,302,413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$112,255</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4.88%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$2,181,118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$116,753</w:t>
            </w:r>
          </w:p>
        </w:tc>
        <w:tc>
          <w:tcPr>
            <w:tcW w:w="80" w:type="dxa"/>
            <w:vAlign w:val="bottom"/>
          </w:tcPr>
          <w:p>
            <w:pPr>
              <w:spacing w:after="0"/>
              <w:rPr>
                <w:sz w:val="20"/>
                <w:szCs w:val="20"/>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5.35%</w:t>
            </w:r>
          </w:p>
        </w:tc>
      </w:tr>
      <w:tr>
        <w:trPr>
          <w:trHeight w:val="196"/>
        </w:trPr>
        <w:tc>
          <w:tcPr>
            <w:tcW w:w="29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Loans - PPP . . . . . . . . . . . . . . . . . .</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14,887</w:t>
            </w:r>
          </w:p>
        </w:tc>
        <w:tc>
          <w:tcPr>
            <w:tcW w:w="20" w:type="dxa"/>
            <w:vAlign w:val="bottom"/>
          </w:tcPr>
          <w:p>
            <w:pPr>
              <w:spacing w:after="0"/>
              <w:rPr>
                <w:sz w:val="17"/>
                <w:szCs w:val="17"/>
                <w:color w:val="auto"/>
              </w:rPr>
            </w:pPr>
          </w:p>
        </w:tc>
        <w:tc>
          <w:tcPr>
            <w:tcW w:w="800" w:type="dxa"/>
            <w:vAlign w:val="bottom"/>
            <w:gridSpan w:val="4"/>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2,030</w:t>
            </w:r>
          </w:p>
        </w:tc>
        <w:tc>
          <w:tcPr>
            <w:tcW w:w="5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3"/>
              </w:rPr>
              <w:t>13.64%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117,788</w:t>
            </w:r>
          </w:p>
        </w:tc>
        <w:tc>
          <w:tcPr>
            <w:tcW w:w="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8,290</w:t>
            </w:r>
          </w:p>
        </w:tc>
        <w:tc>
          <w:tcPr>
            <w:tcW w:w="740" w:type="dxa"/>
            <w:vAlign w:val="bottom"/>
            <w:gridSpan w:val="4"/>
          </w:tcPr>
          <w:p>
            <w:pPr>
              <w:ind w:left="260"/>
              <w:spacing w:after="0" w:line="196" w:lineRule="exact"/>
              <w:rPr>
                <w:sz w:val="20"/>
                <w:szCs w:val="20"/>
                <w:color w:val="auto"/>
              </w:rPr>
            </w:pPr>
            <w:r>
              <w:rPr>
                <w:rFonts w:ascii="Times New Roman" w:cs="Times New Roman" w:eastAsia="Times New Roman" w:hAnsi="Times New Roman"/>
                <w:sz w:val="18"/>
                <w:szCs w:val="18"/>
                <w:color w:val="auto"/>
                <w:w w:val="98"/>
              </w:rPr>
              <w:t>7.04%</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144,514</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5,130</w:t>
            </w:r>
          </w:p>
        </w:tc>
        <w:tc>
          <w:tcPr>
            <w:tcW w:w="80" w:type="dxa"/>
            <w:vAlign w:val="bottom"/>
          </w:tcPr>
          <w:p>
            <w:pPr>
              <w:spacing w:after="0"/>
              <w:rPr>
                <w:sz w:val="17"/>
                <w:szCs w:val="17"/>
                <w:color w:val="auto"/>
              </w:rPr>
            </w:pPr>
          </w:p>
        </w:tc>
        <w:tc>
          <w:tcPr>
            <w:tcW w:w="50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3.55%</w:t>
            </w: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 taxable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594,405</w:t>
            </w: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15,010</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532,272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1.75%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2.17%</w:t>
            </w: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 non-taxable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216,216</w:t>
            </w: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5,733</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219,385</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2.68%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158,482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2.83%</w:t>
            </w:r>
          </w:p>
        </w:tc>
      </w:tr>
      <w:tr>
        <w:trPr>
          <w:trHeight w:val="218"/>
        </w:trPr>
        <w:tc>
          <w:tcPr>
            <w:tcW w:w="2920" w:type="dxa"/>
            <w:vAlign w:val="bottom"/>
          </w:tcPr>
          <w:p>
            <w:pPr>
              <w:ind w:left="200"/>
              <w:spacing w:after="0" w:line="218" w:lineRule="exact"/>
              <w:rPr>
                <w:sz w:val="20"/>
                <w:szCs w:val="20"/>
                <w:color w:val="auto"/>
              </w:rPr>
            </w:pPr>
            <w:r>
              <w:rPr>
                <w:rFonts w:ascii="Times New Roman" w:cs="Times New Roman" w:eastAsia="Times New Roman" w:hAnsi="Times New Roman"/>
                <w:sz w:val="18"/>
                <w:szCs w:val="18"/>
                <w:color w:val="auto"/>
              </w:rPr>
              <w:t>Other interest-earning assets</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 xml:space="preserve">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gridSpan w:val="2"/>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0.17%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184,262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0.60%</w:t>
            </w:r>
          </w:p>
        </w:tc>
      </w:tr>
      <w:tr>
        <w:trPr>
          <w:trHeight w:val="20"/>
        </w:trPr>
        <w:tc>
          <w:tcPr>
            <w:tcW w:w="2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tcPr>
          <w:p>
            <w:pPr>
              <w:spacing w:after="0" w:line="20" w:lineRule="exact"/>
              <w:rPr>
                <w:sz w:val="1"/>
                <w:szCs w:val="1"/>
                <w:color w:val="auto"/>
              </w:rPr>
            </w:pPr>
          </w:p>
        </w:tc>
      </w:tr>
      <w:tr>
        <w:trPr>
          <w:trHeight w:val="245"/>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interest-earning assets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3,741,644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80" w:type="dxa"/>
            <w:vAlign w:val="bottom"/>
            <w:gridSpan w:val="2"/>
          </w:tcPr>
          <w:p>
            <w:pPr>
              <w:spacing w:after="0"/>
              <w:rPr>
                <w:sz w:val="21"/>
                <w:szCs w:val="21"/>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3,507,939</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136,274</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3.88%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3,215,483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139,324</w:t>
            </w:r>
          </w:p>
        </w:tc>
        <w:tc>
          <w:tcPr>
            <w:tcW w:w="80" w:type="dxa"/>
            <w:vAlign w:val="bottom"/>
          </w:tcPr>
          <w:p>
            <w:pPr>
              <w:spacing w:after="0"/>
              <w:rPr>
                <w:sz w:val="21"/>
                <w:szCs w:val="21"/>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4.33%</w:t>
            </w:r>
          </w:p>
        </w:tc>
      </w:tr>
      <w:tr>
        <w:trPr>
          <w:trHeight w:val="21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 . . . . . . . . .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261,140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249,536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6"/>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3,964,188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3,769,079</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3,465,019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1"/>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deposits . . . . . . . . . . . . . . . . . . .</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1,889,888</w:t>
            </w:r>
          </w:p>
        </w:tc>
        <w:tc>
          <w:tcPr>
            <w:tcW w:w="20" w:type="dxa"/>
            <w:vAlign w:val="bottom"/>
          </w:tcPr>
          <w:p>
            <w:pPr>
              <w:spacing w:after="0"/>
              <w:rPr>
                <w:sz w:val="17"/>
                <w:szCs w:val="17"/>
                <w:color w:val="auto"/>
              </w:rPr>
            </w:pPr>
          </w:p>
        </w:tc>
        <w:tc>
          <w:tcPr>
            <w:tcW w:w="800" w:type="dxa"/>
            <w:vAlign w:val="bottom"/>
            <w:gridSpan w:val="4"/>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13,013</w:t>
            </w:r>
          </w:p>
        </w:tc>
        <w:tc>
          <w:tcPr>
            <w:tcW w:w="5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97"/>
              </w:rPr>
              <w:t>1,841,678</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4,163</w:t>
            </w:r>
          </w:p>
        </w:tc>
        <w:tc>
          <w:tcPr>
            <w:tcW w:w="740" w:type="dxa"/>
            <w:vAlign w:val="bottom"/>
            <w:gridSpan w:val="4"/>
          </w:tcPr>
          <w:p>
            <w:pPr>
              <w:ind w:left="260"/>
              <w:spacing w:after="0" w:line="196" w:lineRule="exact"/>
              <w:rPr>
                <w:sz w:val="20"/>
                <w:szCs w:val="20"/>
                <w:color w:val="auto"/>
              </w:rPr>
            </w:pPr>
            <w:r>
              <w:rPr>
                <w:rFonts w:ascii="Times New Roman" w:cs="Times New Roman" w:eastAsia="Times New Roman" w:hAnsi="Times New Roman"/>
                <w:sz w:val="18"/>
                <w:szCs w:val="18"/>
                <w:color w:val="auto"/>
                <w:w w:val="98"/>
              </w:rPr>
              <w:t>0.23%</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1,653,088</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6,337</w:t>
            </w:r>
          </w:p>
        </w:tc>
        <w:tc>
          <w:tcPr>
            <w:tcW w:w="80" w:type="dxa"/>
            <w:vAlign w:val="bottom"/>
          </w:tcPr>
          <w:p>
            <w:pPr>
              <w:spacing w:after="0"/>
              <w:rPr>
                <w:sz w:val="17"/>
                <w:szCs w:val="17"/>
                <w:color w:val="auto"/>
              </w:rPr>
            </w:pPr>
          </w:p>
        </w:tc>
        <w:tc>
          <w:tcPr>
            <w:tcW w:w="50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0.38%</w:t>
            </w: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deposits.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327,289</w:t>
            </w: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3,989</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329,509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1.25%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331,623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1.68%</w:t>
            </w: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borrowings . . . . . . . .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0.06%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0.54%</w:t>
            </w:r>
          </w:p>
        </w:tc>
      </w:tr>
      <w:tr>
        <w:trPr>
          <w:trHeight w:val="198"/>
        </w:trPr>
        <w:tc>
          <w:tcPr>
            <w:tcW w:w="2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borrowings . . . . . . . . . . . . . . . . .</w:t>
            </w:r>
          </w:p>
        </w:tc>
        <w:tc>
          <w:tcPr>
            <w:tcW w:w="8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4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19,641</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740" w:type="dxa"/>
            <w:vAlign w:val="bottom"/>
            <w:gridSpan w:val="4"/>
          </w:tcPr>
          <w:p>
            <w:pPr>
              <w:ind w:left="260"/>
              <w:spacing w:after="0" w:line="196" w:lineRule="exact"/>
              <w:rPr>
                <w:sz w:val="20"/>
                <w:szCs w:val="20"/>
                <w:color w:val="auto"/>
              </w:rPr>
            </w:pPr>
            <w:r>
              <w:rPr>
                <w:rFonts w:ascii="Times New Roman" w:cs="Times New Roman" w:eastAsia="Times New Roman" w:hAnsi="Times New Roman"/>
                <w:sz w:val="18"/>
                <w:szCs w:val="18"/>
                <w:color w:val="auto"/>
                <w:w w:val="98"/>
              </w:rPr>
              <w:t>0.19%</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107,045</w:t>
            </w:r>
          </w:p>
        </w:tc>
        <w:tc>
          <w:tcPr>
            <w:tcW w:w="82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50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0.52%</w:t>
            </w: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debt.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4,050</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5.36%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tcPr>
          <w:p>
            <w:pPr>
              <w:spacing w:after="0"/>
              <w:rPr>
                <w:sz w:val="18"/>
                <w:szCs w:val="18"/>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5.74%</w:t>
            </w:r>
          </w:p>
        </w:tc>
      </w:tr>
      <w:tr>
        <w:trPr>
          <w:trHeight w:val="198"/>
        </w:trPr>
        <w:tc>
          <w:tcPr>
            <w:tcW w:w="29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Junior subordinated deferrable</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interest debentures . . . . . . . . . . .</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1,640</w:t>
            </w:r>
          </w:p>
        </w:tc>
        <w:tc>
          <w:tcPr>
            <w:tcW w:w="5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46,393</w:t>
            </w:r>
          </w:p>
        </w:tc>
        <w:tc>
          <w:tcPr>
            <w:tcW w:w="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880</w:t>
            </w:r>
          </w:p>
        </w:tc>
        <w:tc>
          <w:tcPr>
            <w:tcW w:w="740" w:type="dxa"/>
            <w:vAlign w:val="bottom"/>
            <w:gridSpan w:val="4"/>
          </w:tcPr>
          <w:p>
            <w:pPr>
              <w:ind w:left="260"/>
              <w:spacing w:after="0" w:line="196" w:lineRule="exact"/>
              <w:rPr>
                <w:sz w:val="20"/>
                <w:szCs w:val="20"/>
                <w:color w:val="auto"/>
              </w:rPr>
            </w:pPr>
            <w:r>
              <w:rPr>
                <w:rFonts w:ascii="Times New Roman" w:cs="Times New Roman" w:eastAsia="Times New Roman" w:hAnsi="Times New Roman"/>
                <w:sz w:val="18"/>
                <w:szCs w:val="18"/>
                <w:color w:val="auto"/>
                <w:w w:val="98"/>
              </w:rPr>
              <w:t>1.90%</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46,393</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17"/>
                <w:szCs w:val="17"/>
                <w:color w:val="auto"/>
              </w:rPr>
            </w:pPr>
          </w:p>
        </w:tc>
        <w:tc>
          <w:tcPr>
            <w:tcW w:w="50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w w:val="94"/>
              </w:rPr>
              <w:t>2.52%</w:t>
            </w:r>
          </w:p>
        </w:tc>
      </w:tr>
      <w:tr>
        <w:trPr>
          <w:trHeight w:val="20"/>
        </w:trPr>
        <w:tc>
          <w:tcPr>
            <w:tcW w:w="2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46"/>
        </w:trPr>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interest-bearing liabilities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2,339,448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22,692</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2,320,965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0.57%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2,196,300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80" w:type="dxa"/>
            <w:vAlign w:val="bottom"/>
          </w:tcPr>
          <w:p>
            <w:pPr>
              <w:spacing w:after="0"/>
              <w:rPr>
                <w:sz w:val="21"/>
                <w:szCs w:val="21"/>
                <w:color w:val="auto"/>
              </w:rPr>
            </w:pP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4"/>
              </w:rPr>
              <w:t>0.73%</w:t>
            </w:r>
          </w:p>
        </w:tc>
      </w:tr>
      <w:tr>
        <w:trPr>
          <w:trHeight w:val="46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Noninterest-bearing deposits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1,016,835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888,653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2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42,654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noninterest-bearing</w:t>
            </w: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liabilities . . . . . . . . . . . . . . . .</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1,255,912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97"/>
              </w:rPr>
              <w:t>1,059,489</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930,226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Stockholders’ equity . . . . . . . . .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368,828</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388,625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338,493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w:t>
            </w: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2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stockholders’ equity . . . . . .</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3,964,188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6"/>
          </w:tcPr>
          <w:p>
            <w:pPr>
              <w:jc w:val="right"/>
              <w:ind w:right="80"/>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3,769,079</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3,465,019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500"/>
          </w:cols>
          <w:pgMar w:left="1400" w:top="900" w:right="1167" w:bottom="204"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52</w:t>
      </w:r>
    </w:p>
    <w:p>
      <w:pPr>
        <w:sectPr>
          <w:pgSz w:w="12060" w:h="15667" w:orient="portrait"/>
          <w:cols w:equalWidth="0" w:num="1">
            <w:col w:w="9500"/>
          </w:cols>
          <w:pgMar w:left="1400" w:top="900" w:right="1167" w:bottom="204" w:gutter="0" w:footer="0" w:header="0"/>
          <w:type w:val="continuous"/>
        </w:sectPr>
      </w:pPr>
    </w:p>
    <w:bookmarkStart w:id="65" w:name="page66"/>
    <w:bookmarkEnd w:id="65"/>
    <w:p>
      <w:pPr>
        <w:ind w:left="52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1854835</wp:posOffset>
                </wp:positionH>
                <wp:positionV relativeFrom="paragraph">
                  <wp:posOffset>6350</wp:posOffset>
                </wp:positionV>
                <wp:extent cx="411607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6070"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05pt,0.5pt" to="470.15pt,0.5pt" o:allowincell="f" strokecolor="#000000" strokeweight="0.493pt"/>
            </w:pict>
          </mc:Fallback>
        </mc:AlternateConten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80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Yield/</w:t>
            </w:r>
          </w:p>
        </w:tc>
        <w:tc>
          <w:tcPr>
            <w:tcW w:w="72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6"/>
                <w:szCs w:val="16"/>
                <w:b w:val="1"/>
                <w:bCs w:val="1"/>
                <w:color w:val="auto"/>
                <w:w w:val="97"/>
              </w:rPr>
              <w:t>Yield/</w:t>
            </w:r>
          </w:p>
        </w:tc>
        <w:tc>
          <w:tcPr>
            <w:tcW w:w="800" w:type="dxa"/>
            <w:vAlign w:val="bottom"/>
            <w:gridSpan w:val="3"/>
          </w:tcPr>
          <w:p>
            <w:pPr>
              <w:jc w:val="right"/>
              <w:ind w:right="120"/>
              <w:spacing w:after="0" w:line="167"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00"/>
              <w:spacing w:after="0" w:line="167" w:lineRule="exact"/>
              <w:rPr>
                <w:sz w:val="20"/>
                <w:szCs w:val="20"/>
                <w:color w:val="auto"/>
              </w:rPr>
            </w:pPr>
            <w:r>
              <w:rPr>
                <w:rFonts w:ascii="Times New Roman" w:cs="Times New Roman" w:eastAsia="Times New Roman" w:hAnsi="Times New Roman"/>
                <w:sz w:val="16"/>
                <w:szCs w:val="16"/>
                <w:b w:val="1"/>
                <w:bCs w:val="1"/>
                <w:color w:val="auto"/>
                <w:w w:val="83"/>
              </w:rPr>
              <w:t>Yield/</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80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6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20" w:type="dxa"/>
            <w:vAlign w:val="bottom"/>
          </w:tcPr>
          <w:p>
            <w:pPr>
              <w:spacing w:after="0"/>
              <w:rPr>
                <w:sz w:val="15"/>
                <w:szCs w:val="15"/>
                <w:color w:val="auto"/>
              </w:rPr>
            </w:pPr>
          </w:p>
        </w:tc>
        <w:tc>
          <w:tcPr>
            <w:tcW w:w="3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66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5"/>
                <w:szCs w:val="15"/>
                <w:color w:val="auto"/>
              </w:rPr>
            </w:pPr>
          </w:p>
        </w:tc>
        <w:tc>
          <w:tcPr>
            <w:tcW w:w="6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15"/>
                <w:szCs w:val="15"/>
                <w:color w:val="auto"/>
              </w:rPr>
            </w:pPr>
          </w:p>
        </w:tc>
        <w:tc>
          <w:tcPr>
            <w:tcW w:w="800" w:type="dxa"/>
            <w:vAlign w:val="bottom"/>
            <w:gridSpan w:val="3"/>
          </w:tcPr>
          <w:p>
            <w:pPr>
              <w:jc w:val="right"/>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1240" w:type="dxa"/>
            <w:vAlign w:val="bottom"/>
            <w:gridSpan w:val="4"/>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  . . . . . . . . . . . . . .</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139,683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123,002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123,378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spread . . . . . . . . . . . . . . .</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3.37%</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8"/>
                <w:szCs w:val="18"/>
                <w:color w:val="auto"/>
              </w:rPr>
              <w:t xml:space="preserve"> . . . . . . . . . . . . .</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37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3.73%</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231140</wp:posOffset>
                </wp:positionV>
                <wp:extent cx="9010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2pt" to="71.2pt,18.2pt" o:allowincell="f" strokecolor="#000000" strokeweight="0.493pt"/>
            </w:pict>
          </mc:Fallback>
        </mc:AlternateContent>
      </w:r>
    </w:p>
    <w:p>
      <w:pPr>
        <w:spacing w:after="0" w:line="200" w:lineRule="exact"/>
        <w:rPr>
          <w:sz w:val="20"/>
          <w:szCs w:val="20"/>
          <w:color w:val="auto"/>
        </w:rPr>
      </w:pPr>
    </w:p>
    <w:p>
      <w:pPr>
        <w:spacing w:after="0" w:line="236"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loan balances include nonaccrual loans and loans held for sale.</w:t>
      </w:r>
    </w:p>
    <w:p>
      <w:pPr>
        <w:spacing w:after="0" w:line="62" w:lineRule="exact"/>
        <w:rPr>
          <w:rFonts w:ascii="Times New Roman" w:cs="Times New Roman" w:eastAsia="Times New Roman" w:hAnsi="Times New Roman"/>
          <w:sz w:val="16"/>
          <w:szCs w:val="16"/>
          <w:color w:val="auto"/>
        </w:rPr>
      </w:pPr>
    </w:p>
    <w:p>
      <w:pPr>
        <w:ind w:left="400" w:right="280" w:hanging="395"/>
        <w:spacing w:after="0" w:line="229" w:lineRule="auto"/>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income and average balances for interest-earning deposits at other banks, nonmarketable securities, federal funds sold and other miscellaneous interest-earning assets.</w:t>
      </w:r>
    </w:p>
    <w:p>
      <w:pPr>
        <w:spacing w:after="0" w:line="62" w:lineRule="exact"/>
        <w:rPr>
          <w:rFonts w:ascii="Times New Roman" w:cs="Times New Roman" w:eastAsia="Times New Roman" w:hAnsi="Times New Roman"/>
          <w:sz w:val="16"/>
          <w:szCs w:val="16"/>
          <w:color w:val="auto"/>
        </w:rPr>
      </w:pPr>
    </w:p>
    <w:p>
      <w:pPr>
        <w:ind w:left="400" w:right="280" w:hanging="395"/>
        <w:spacing w:after="0" w:line="229" w:lineRule="auto"/>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is calculated as the annualized net interest income, on a fully tax-equivalent basis, divided by average interest-earning assets.</w:t>
      </w:r>
    </w:p>
    <w:p>
      <w:pPr>
        <w:spacing w:after="0" w:line="116" w:lineRule="exact"/>
        <w:rPr>
          <w:sz w:val="20"/>
          <w:szCs w:val="20"/>
          <w:color w:val="auto"/>
        </w:rPr>
      </w:pPr>
    </w:p>
    <w:p>
      <w:pPr>
        <w:jc w:val="both"/>
        <w:ind w:right="280" w:firstLine="394"/>
        <w:spacing w:after="0" w:line="259" w:lineRule="auto"/>
        <w:rPr>
          <w:sz w:val="20"/>
          <w:szCs w:val="20"/>
          <w:color w:val="auto"/>
        </w:rPr>
      </w:pPr>
      <w:r>
        <w:rPr>
          <w:rFonts w:ascii="Times New Roman" w:cs="Times New Roman" w:eastAsia="Times New Roman" w:hAnsi="Times New Roman"/>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880" w:type="dxa"/>
            <w:vAlign w:val="bottom"/>
            <w:tcBorders>
              <w:bottom w:val="single" w:sz="8" w:color="auto"/>
            </w:tcBorders>
            <w:gridSpan w:val="1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 over 2021</w:t>
            </w:r>
          </w:p>
        </w:tc>
        <w:tc>
          <w:tcPr>
            <w:tcW w:w="80" w:type="dxa"/>
            <w:vAlign w:val="bottom"/>
          </w:tcPr>
          <w:p>
            <w:pPr>
              <w:spacing w:after="0"/>
              <w:rPr>
                <w:sz w:val="16"/>
                <w:szCs w:val="16"/>
                <w:color w:val="auto"/>
              </w:rPr>
            </w:pPr>
          </w:p>
        </w:tc>
        <w:tc>
          <w:tcPr>
            <w:tcW w:w="286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2021 over 2020</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 due 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Change due 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1"/>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Volume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6"/>
              </w:rPr>
              <w:t>Variance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3"/>
              </w:rPr>
              <w:t>Volume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Interest-earning 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Loans, excluding PPP.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14,376</w:t>
            </w:r>
          </w:p>
        </w:tc>
        <w:tc>
          <w:tcPr>
            <w:tcW w:w="1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9,296</w:t>
            </w:r>
          </w:p>
        </w:tc>
        <w:tc>
          <w:tcPr>
            <w:tcW w:w="120" w:type="dxa"/>
            <w:vAlign w:val="bottom"/>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$23,672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$6,493</w:t>
            </w:r>
          </w:p>
        </w:tc>
        <w:tc>
          <w:tcPr>
            <w:tcW w:w="1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(10,991)</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(4,498)</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Loans - PPP .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(7,242)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w:t>
            </w:r>
          </w:p>
        </w:tc>
        <w:tc>
          <w:tcPr>
            <w:tcW w:w="120" w:type="dxa"/>
            <w:vAlign w:val="bottom"/>
          </w:tcPr>
          <w:p>
            <w:pPr>
              <w:spacing w:after="0"/>
              <w:rPr>
                <w:sz w:val="21"/>
                <w:szCs w:val="21"/>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(6,260)</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(949)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4,109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Investment securities – taxable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4,633</w:t>
            </w:r>
          </w:p>
        </w:tc>
        <w:tc>
          <w:tcPr>
            <w:tcW w:w="120" w:type="dxa"/>
            <w:vAlign w:val="bottom"/>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5,718</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(2,560)</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Investment securities – non-taxable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(139)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interest-earning assets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3,139</w:t>
            </w:r>
          </w:p>
        </w:tc>
        <w:tc>
          <w:tcPr>
            <w:tcW w:w="120" w:type="dxa"/>
            <w:vAlign w:val="bottom"/>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3,110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83"/>
        </w:trPr>
        <w:tc>
          <w:tcPr>
            <w:tcW w:w="34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increase (decrease) in interest</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 . . . . . . . .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17,996</w:t>
            </w:r>
          </w:p>
        </w:tc>
        <w:tc>
          <w:tcPr>
            <w:tcW w:w="120" w:type="dxa"/>
            <w:vAlign w:val="bottom"/>
          </w:tcPr>
          <w:p>
            <w:pPr>
              <w:spacing w:after="0"/>
              <w:rPr>
                <w:sz w:val="20"/>
                <w:szCs w:val="20"/>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26,101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(10,904)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(3,050)</w:t>
            </w:r>
          </w:p>
        </w:tc>
        <w:tc>
          <w:tcPr>
            <w:tcW w:w="0" w:type="dxa"/>
            <w:vAlign w:val="bottom"/>
          </w:tcPr>
          <w:p>
            <w:pPr>
              <w:spacing w:after="0"/>
              <w:rPr>
                <w:sz w:val="1"/>
                <w:szCs w:val="1"/>
                <w:color w:val="auto"/>
              </w:rPr>
            </w:pPr>
          </w:p>
        </w:tc>
      </w:tr>
      <w:tr>
        <w:trPr>
          <w:trHeight w:val="534"/>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Interest-bearing liabilities: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NOW, Savings, MMDAs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8,741</w:t>
            </w:r>
          </w:p>
        </w:tc>
        <w:tc>
          <w:tcPr>
            <w:tcW w:w="120" w:type="dxa"/>
            <w:vAlign w:val="bottom"/>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8,850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(2,174)</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Time deposits . . .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(113)</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(141)</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(1,427)</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Short-term borrowings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Notes payable &amp; other borrowings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(38)</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r>
        <w:trPr>
          <w:trHeight w:val="251"/>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Subordinated debt . . . . . . . . . . . . . . . .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Junior subordinated deferrable interest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debentures . . . . . . . . .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(287)</w:t>
            </w:r>
          </w:p>
        </w:tc>
        <w:tc>
          <w:tcPr>
            <w:tcW w:w="0" w:type="dxa"/>
            <w:vAlign w:val="bottom"/>
          </w:tcPr>
          <w:p>
            <w:pPr>
              <w:spacing w:after="0"/>
              <w:rPr>
                <w:sz w:val="1"/>
                <w:szCs w:val="1"/>
                <w:color w:val="auto"/>
              </w:rPr>
            </w:pPr>
          </w:p>
        </w:tc>
      </w:tr>
      <w:tr>
        <w:trPr>
          <w:trHeight w:val="283"/>
        </w:trPr>
        <w:tc>
          <w:tcPr>
            <w:tcW w:w="34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increase (decrease) interest</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expense:. . . . . . . . . . . . . . . . . . . .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9,373</w:t>
            </w: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9,420</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(2,674)</w:t>
            </w:r>
          </w:p>
        </w:tc>
        <w:tc>
          <w:tcPr>
            <w:tcW w:w="0" w:type="dxa"/>
            <w:vAlign w:val="bottom"/>
          </w:tcPr>
          <w:p>
            <w:pPr>
              <w:spacing w:after="0"/>
              <w:rPr>
                <w:sz w:val="1"/>
                <w:szCs w:val="1"/>
                <w:color w:val="auto"/>
              </w:rPr>
            </w:pPr>
          </w:p>
        </w:tc>
      </w:tr>
      <w:tr>
        <w:trPr>
          <w:trHeight w:val="535"/>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Increase (decrease) in net interest</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8,058</w:t>
            </w:r>
          </w:p>
        </w:tc>
        <w:tc>
          <w:tcPr>
            <w:tcW w:w="1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8,623</w:t>
            </w: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16,681</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5,563</w:t>
            </w:r>
          </w:p>
        </w:tc>
        <w:tc>
          <w:tcPr>
            <w:tcW w:w="1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(5,939)</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2022 compared to Year Ended December 31, 2021</w:t>
      </w:r>
    </w:p>
    <w:p>
      <w:pPr>
        <w:spacing w:after="0" w:line="117" w:lineRule="exact"/>
        <w:rPr>
          <w:sz w:val="20"/>
          <w:szCs w:val="20"/>
          <w:color w:val="auto"/>
        </w:rPr>
      </w:pPr>
    </w:p>
    <w:p>
      <w:pPr>
        <w:jc w:val="both"/>
        <w:ind w:right="280" w:firstLine="394"/>
        <w:spacing w:after="0" w:line="258" w:lineRule="auto"/>
        <w:rPr>
          <w:sz w:val="20"/>
          <w:szCs w:val="20"/>
          <w:color w:val="auto"/>
        </w:rPr>
      </w:pPr>
      <w:r>
        <w:rPr>
          <w:rFonts w:ascii="Times New Roman" w:cs="Times New Roman" w:eastAsia="Times New Roman" w:hAnsi="Times New Roman"/>
          <w:sz w:val="19"/>
          <w:szCs w:val="19"/>
          <w:color w:val="auto"/>
        </w:rPr>
        <w:t>Net interest income for the year ended December 31, 2022 was $138.5 million compared to $121.8 million for the year ended December 31, 2021, an increase of $16.7 million, or 13.7%. The increase in net interest income in</w:t>
      </w:r>
    </w:p>
    <w:p>
      <w:pPr>
        <w:sectPr>
          <w:pgSz w:w="12060" w:h="15667" w:orient="portrait"/>
          <w:cols w:equalWidth="0" w:num="1">
            <w:col w:w="9500"/>
          </w:cols>
          <w:pgMar w:left="1400" w:top="987" w:right="1167" w:bottom="204"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53</w:t>
      </w:r>
    </w:p>
    <w:p>
      <w:pPr>
        <w:sectPr>
          <w:pgSz w:w="12060" w:h="15667" w:orient="portrait"/>
          <w:cols w:equalWidth="0" w:num="1">
            <w:col w:w="9500"/>
          </w:cols>
          <w:pgMar w:left="1400" w:top="987" w:right="1167" w:bottom="204" w:gutter="0" w:footer="0" w:header="0"/>
          <w:type w:val="continuous"/>
        </w:sectPr>
      </w:pPr>
    </w:p>
    <w:bookmarkStart w:id="66" w:name="page67"/>
    <w:bookmarkEnd w:id="66"/>
    <w:p>
      <w:pPr>
        <w:jc w:val="both"/>
        <w:ind w:right="7"/>
        <w:spacing w:after="0" w:line="255" w:lineRule="auto"/>
        <w:rPr>
          <w:sz w:val="20"/>
          <w:szCs w:val="20"/>
          <w:color w:val="auto"/>
        </w:rPr>
      </w:pPr>
      <w:r>
        <w:rPr>
          <w:rFonts w:ascii="Times New Roman" w:cs="Times New Roman" w:eastAsia="Times New Roman" w:hAnsi="Times New Roman"/>
          <w:sz w:val="20"/>
          <w:szCs w:val="20"/>
          <w:color w:val="auto"/>
        </w:rPr>
        <w:t>2022 was comprised of a $26.1 million, or 19.4%, increase in interest income, partially offset by a $9.4 million, or 71.0%, increase in interest expense. The increase in interest income was primarily attributable to increases of $17.4 million in loan interest income and $8.7 million in interest income from securities and other interest-earning assets. The increase in loan interest income was primarily due to growth of $192.0 million in average loans outstanding and the rising interest rate environment, partially offset by decreases of $102.9 million in average PPP loans and $6.3 million in the PPP-related interest and fees. The increase in interest income on securities and other interest-earning assets was primarily due to securities purchases and rising market interest rates. During the years ended December 31, 2022 and 2021, the Company recognized $2.0 million and $8.3 million, respectively, in PPP-related interest and fees.</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$9.4 million increase in interest expense for the year ended December 31, 2022 was primarily related to a 40 basis points increase in the rate paid on interest-bearing liabilities and an increase of $18.5 million in average interest-bearing liabilities over the same period in 2021. The rise in rates was largely attributed to the Federal Open Market Committee of the Board of Governors of the Federal Reserve System repeatedly raising their target benchmark interest rate during, resulting in federal funds rate increases of 425 basis points between March and December of 2022.</w:t>
      </w:r>
    </w:p>
    <w:p>
      <w:pPr>
        <w:spacing w:after="0" w:line="136"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For the year ended December 31, 2022, net interest margin and net interest spread were 3.73% and 3.37%, respectively, compared to 3.51% and 3.31% for the same period in 2021, respectively, which reflects the changes in interest income and interest expense discussed above.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2021 compared to Year Ended December 31, 2020</w:t>
      </w:r>
    </w:p>
    <w:p>
      <w:pPr>
        <w:spacing w:after="0" w:line="127" w:lineRule="exact"/>
        <w:rPr>
          <w:sz w:val="20"/>
          <w:szCs w:val="20"/>
          <w:color w:val="auto"/>
        </w:rPr>
      </w:pPr>
    </w:p>
    <w:p>
      <w:pPr>
        <w:jc w:val="both"/>
        <w:ind w:right="7" w:firstLine="394"/>
        <w:spacing w:after="0" w:line="268" w:lineRule="auto"/>
        <w:rPr>
          <w:sz w:val="20"/>
          <w:szCs w:val="20"/>
          <w:color w:val="auto"/>
        </w:rPr>
      </w:pPr>
      <w:r>
        <w:rPr>
          <w:rFonts w:ascii="Times New Roman" w:cs="Times New Roman" w:eastAsia="Times New Roman" w:hAnsi="Times New Roman"/>
          <w:sz w:val="19"/>
          <w:szCs w:val="19"/>
          <w:color w:val="auto"/>
        </w:rPr>
        <w:t>Net interest income for the year ended December 31, 2021 was $121.8 million compared to $122.3 million for the year ended December 31, 2020, a decrease of $0.5 million, or 0.4%. The decrease in net interest income was comprised of a $3.2 million, or 2.3%, decrease in interest income and a $2.7 million, or 16.8%, decrease in interest expense. The decrease in interest income was primarily attributable to a decrease in the yield on average interest-earning assets of 45 basis points offset by the growth of $292.5 million in these assets during the year ended December 31, 2021. During the years ended December 31, 2021 and 2020, the Company recognized $8.3 and $5.1 million, respectively, in PPP-related interest and fees. When received, the PPP-related SBA fees are deferred and then accreted into interest income over the life of the applicable PPP loans. At the time of PPP loan forgiveness by the SBA, any remaining deferred fees are recognized immediately. At December 31, 2021 and 2020, there was $1.9 million and $4.1 million, respectively, of deferred PPP-related SBA fees that had not been accreted to income.</w:t>
      </w:r>
    </w:p>
    <w:p>
      <w:pPr>
        <w:spacing w:after="0" w:line="112"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The $2.7 million decrease in interest expense for the year ended December 31, 2021 was primarily related to a 16 basis points decrease in the rate paid on interest-bearing liabilities, partially offset by an increase of $124.7 million in average interest-bearing liabilities. The increase in average interest-bearing liabilities was mainly due to increased deposits from PPP loan funding, other government stimulus payments and programs during the period as well as organic growth, partially offset by the repayment of $75.0 million in long-term advances during 2021.</w:t>
      </w:r>
    </w:p>
    <w:p>
      <w:pPr>
        <w:spacing w:after="0" w:line="136"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For the year ended December 31, 2021, net interest margin and net interest spread were 3.51% and 3.31%, respectively, compared to 3.84% and 3.61% for the same period in 2020, respectively, which reflects the changes in interest income and interest expense discussed above.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Loan Losses</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Credit risk is inherent in the business of making loans. We establish an allowance for loan losses through charges to earnings, which are shown in the consolidated statements of comprehensive income (loss)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54</w:t>
      </w:r>
    </w:p>
    <w:p>
      <w:pPr>
        <w:sectPr>
          <w:pgSz w:w="12060" w:h="15667" w:orient="portrait"/>
          <w:cols w:equalWidth="0" w:num="1">
            <w:col w:w="9227"/>
          </w:cols>
          <w:pgMar w:left="1400" w:top="912" w:right="1440" w:bottom="203"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i w:val="1"/>
          <w:iCs w:val="1"/>
          <w:color w:val="auto"/>
        </w:rPr>
        <w:t>Year Ended December 31, 2022 compared to Year Ended December 31, 2021</w:t>
      </w:r>
    </w:p>
    <w:p>
      <w:pPr>
        <w:spacing w:after="0" w:line="117" w:lineRule="exact"/>
        <w:rPr>
          <w:sz w:val="20"/>
          <w:szCs w:val="20"/>
          <w:color w:val="auto"/>
        </w:rPr>
      </w:pPr>
    </w:p>
    <w:p>
      <w:pPr>
        <w:jc w:val="both"/>
        <w:ind w:right="40" w:firstLine="394"/>
        <w:spacing w:after="0" w:line="245" w:lineRule="auto"/>
        <w:rPr>
          <w:sz w:val="20"/>
          <w:szCs w:val="20"/>
          <w:color w:val="auto"/>
        </w:rPr>
      </w:pPr>
      <w:r>
        <w:rPr>
          <w:rFonts w:ascii="Times New Roman" w:cs="Times New Roman" w:eastAsia="Times New Roman" w:hAnsi="Times New Roman"/>
          <w:sz w:val="20"/>
          <w:szCs w:val="20"/>
          <w:color w:val="auto"/>
        </w:rPr>
        <w:t>The provision for loan losses for the year ended December 31, 2022 was a negative $2.6 million compared to a negative $1.9 million for the year ended December 31, 2021. The decrease in the provision for loan losses for the year ended December 31, 2022 compared to the same period in 2021 was primarily due to improved credit metrics in the loan portfolio, specifically in the hotel segment, direct energy segment, and other Permian Basin-related credits, and a decline in the amount of loans that were actively under a COVID-19 pandemic-related modification, partially offset by growth of $310.5 million in loans held for investment. Net charge-offs decreased $1.3 million during 2022 as compared to 2021. The allowance for loan losses as a percentage of loans held for investment was 1.43% at December 31, 2022 and 1.73% at December 31, 2021. Further discussion of the allowance for loan losses is noted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2021 compared to Year Ended December 31, 2020</w:t>
      </w:r>
    </w:p>
    <w:p>
      <w:pPr>
        <w:spacing w:after="0" w:line="117" w:lineRule="exact"/>
        <w:rPr>
          <w:sz w:val="20"/>
          <w:szCs w:val="20"/>
          <w:color w:val="auto"/>
        </w:rPr>
      </w:pPr>
    </w:p>
    <w:p>
      <w:pPr>
        <w:jc w:val="both"/>
        <w:ind w:right="40" w:firstLine="394"/>
        <w:spacing w:after="0" w:line="244" w:lineRule="auto"/>
        <w:rPr>
          <w:sz w:val="20"/>
          <w:szCs w:val="20"/>
          <w:color w:val="auto"/>
        </w:rPr>
      </w:pPr>
      <w:r>
        <w:rPr>
          <w:rFonts w:ascii="Times New Roman" w:cs="Times New Roman" w:eastAsia="Times New Roman" w:hAnsi="Times New Roman"/>
          <w:sz w:val="20"/>
          <w:szCs w:val="20"/>
          <w:color w:val="auto"/>
        </w:rPr>
        <w:t>The provision for loan losses for the year ended December 31, 2021 was a negative $1.9 million compared to $25.6 million for the year ended December 31, 2020. The decrease in the provision for loan losses for the year ended December 31, 2021 compared to the same period in 2020 was primarily a result of general improvement in the economy, a decline in the amount of loans actively under a modification, and a decrease in nonperforming loans. Net charge-offs decreased $2.7 million during 2021 as compared to 2020. The allowance for loan losses as a percentage of loans held for investment was 1.73% at December 31, 2021 and 2.05% at December 31, 2020. Further discussion of the allowance for loan losses is noted below.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Income</w:t>
      </w:r>
    </w:p>
    <w:p>
      <w:pPr>
        <w:spacing w:after="0" w:line="117" w:lineRule="exact"/>
        <w:rPr>
          <w:sz w:val="20"/>
          <w:szCs w:val="20"/>
          <w:color w:val="auto"/>
        </w:rPr>
      </w:pPr>
    </w:p>
    <w:p>
      <w:pPr>
        <w:jc w:val="both"/>
        <w:ind w:right="40" w:firstLine="394"/>
        <w:spacing w:after="0" w:line="242" w:lineRule="auto"/>
        <w:rPr>
          <w:sz w:val="20"/>
          <w:szCs w:val="20"/>
          <w:color w:val="auto"/>
        </w:rPr>
      </w:pPr>
      <w:r>
        <w:rPr>
          <w:rFonts w:ascii="Times New Roman" w:cs="Times New Roman" w:eastAsia="Times New Roman" w:hAnsi="Times New Roman"/>
          <w:sz w:val="20"/>
          <w:szCs w:val="20"/>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following table sets forth the major components of our noninterest income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4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2022 over 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2021 over 2020</w:t>
            </w:r>
          </w:p>
        </w:tc>
        <w:tc>
          <w:tcPr>
            <w:tcW w:w="60" w:type="dxa"/>
            <w:vAlign w:val="bottom"/>
          </w:tcPr>
          <w:p>
            <w:pPr>
              <w:spacing w:after="0"/>
              <w:rPr>
                <w:sz w:val="15"/>
                <w:szCs w:val="15"/>
                <w:color w:val="auto"/>
              </w:rPr>
            </w:pPr>
          </w:p>
        </w:tc>
      </w:tr>
      <w:tr>
        <w:trPr>
          <w:trHeight w:val="206"/>
        </w:trPr>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8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5"/>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3"/>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(decrease)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65"/>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3"/>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89"/>
              </w:rPr>
              <w:t>(decrease)</w:t>
            </w: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09"/>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9"/>
        </w:trPr>
        <w:tc>
          <w:tcPr>
            <w:tcW w:w="4420" w:type="dxa"/>
            <w:vAlign w:val="bottom"/>
          </w:tcPr>
          <w:p>
            <w:pPr>
              <w:jc w:val="right"/>
              <w:ind w:right="2701"/>
              <w:spacing w:after="0"/>
              <w:rPr>
                <w:sz w:val="20"/>
                <w:szCs w:val="20"/>
                <w:color w:val="auto"/>
              </w:rPr>
            </w:pPr>
            <w:r>
              <w:rPr>
                <w:rFonts w:ascii="Times New Roman" w:cs="Times New Roman" w:eastAsia="Times New Roman" w:hAnsi="Times New Roman"/>
                <w:sz w:val="20"/>
                <w:szCs w:val="20"/>
                <w:color w:val="auto"/>
                <w:w w:val="98"/>
              </w:rPr>
              <w:t>Noninterest income: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Service charges on deposit accounts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6,963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w:t>
            </w:r>
          </w:p>
        </w:tc>
        <w:tc>
          <w:tcPr>
            <w:tcW w:w="120" w:type="dxa"/>
            <w:vAlign w:val="bottom"/>
          </w:tcPr>
          <w:p>
            <w:pPr>
              <w:spacing w:after="0"/>
              <w:rPr>
                <w:sz w:val="21"/>
                <w:szCs w:val="21"/>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7,032</w:t>
            </w:r>
          </w:p>
        </w:tc>
        <w:tc>
          <w:tcPr>
            <w:tcW w:w="10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Income from insurance activities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10,826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60" w:type="dxa"/>
            <w:vAlign w:val="bottom"/>
          </w:tcPr>
          <w:p>
            <w:pPr>
              <w:spacing w:after="0"/>
              <w:rPr>
                <w:sz w:val="21"/>
                <w:szCs w:val="21"/>
                <w:color w:val="auto"/>
              </w:rPr>
            </w:pP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Bank card services and interchange fees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12,946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4"/>
              </w:rPr>
              <w:t>12,239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12,239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w:t>
            </w:r>
          </w:p>
        </w:tc>
        <w:tc>
          <w:tcPr>
            <w:tcW w:w="60" w:type="dxa"/>
            <w:vAlign w:val="bottom"/>
          </w:tcPr>
          <w:p>
            <w:pPr>
              <w:spacing w:after="0"/>
              <w:rPr>
                <w:sz w:val="21"/>
                <w:szCs w:val="21"/>
                <w:color w:val="auto"/>
              </w:rPr>
            </w:pP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Mortgage banking activities . . . .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31,370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4"/>
              </w:rPr>
              <w:t>59,726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(28,356)</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59,726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(5,316)</w:t>
            </w: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Investment commissions . . . . . . .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60" w:type="dxa"/>
            <w:vAlign w:val="bottom"/>
          </w:tcPr>
          <w:p>
            <w:pPr>
              <w:spacing w:after="0"/>
              <w:rPr>
                <w:sz w:val="21"/>
                <w:szCs w:val="21"/>
                <w:color w:val="auto"/>
              </w:rPr>
            </w:pP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Fiduciary income . . . . . . . . . . . . .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2,917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(527)</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5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Gain on sale of securities . . . . . .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(2,318)</w:t>
            </w:r>
          </w:p>
        </w:tc>
      </w:tr>
      <w:tr>
        <w:trPr>
          <w:trHeight w:val="249"/>
        </w:trPr>
        <w:tc>
          <w:tcPr>
            <w:tcW w:w="4420" w:type="dxa"/>
            <w:vAlign w:val="bottom"/>
          </w:tcPr>
          <w:p>
            <w:pPr>
              <w:jc w:val="right"/>
              <w:ind w:right="61"/>
              <w:spacing w:after="0" w:line="248" w:lineRule="exact"/>
              <w:rPr>
                <w:sz w:val="20"/>
                <w:szCs w:val="20"/>
                <w:color w:val="auto"/>
              </w:rPr>
            </w:pPr>
            <w:r>
              <w:rPr>
                <w:rFonts w:ascii="Times New Roman" w:cs="Times New Roman" w:eastAsia="Times New Roman" w:hAnsi="Times New Roman"/>
                <w:sz w:val="20"/>
                <w:szCs w:val="20"/>
                <w:color w:val="auto"/>
              </w:rPr>
              <w:t>Other income and fees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5,376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60" w:type="dxa"/>
            <w:vAlign w:val="bottom"/>
          </w:tcPr>
          <w:p>
            <w:pPr>
              <w:spacing w:after="0"/>
              <w:rPr>
                <w:sz w:val="21"/>
                <w:szCs w:val="2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1"/>
        </w:trPr>
        <w:tc>
          <w:tcPr>
            <w:tcW w:w="4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Total noninterest income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76,145</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4"/>
              </w:rPr>
              <w:t>97,469</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xml:space="preserve">(21,324) </w:t>
            </w: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97,469</w:t>
            </w:r>
          </w:p>
        </w:tc>
        <w:tc>
          <w:tcPr>
            <w:tcW w:w="12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101,603</w:t>
            </w:r>
          </w:p>
        </w:tc>
        <w:tc>
          <w:tcPr>
            <w:tcW w:w="10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(4,134)</w:t>
            </w: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231140</wp:posOffset>
                </wp:positionV>
                <wp:extent cx="90106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2pt" to="71.2pt,18.2pt" o:allowincell="f" strokecolor="#000000" strokeweight="0.493pt"/>
            </w:pict>
          </mc:Fallback>
        </mc:AlternateContent>
      </w:r>
    </w:p>
    <w:p>
      <w:pPr>
        <w:spacing w:after="0" w:line="200" w:lineRule="exact"/>
        <w:rPr>
          <w:sz w:val="20"/>
          <w:szCs w:val="20"/>
          <w:color w:val="auto"/>
        </w:rPr>
      </w:pPr>
    </w:p>
    <w:p>
      <w:pPr>
        <w:spacing w:after="0" w:line="246" w:lineRule="exact"/>
        <w:rPr>
          <w:sz w:val="20"/>
          <w:szCs w:val="20"/>
          <w:color w:val="auto"/>
        </w:rPr>
      </w:pPr>
    </w:p>
    <w:p>
      <w:pPr>
        <w:ind w:left="400" w:right="40" w:hanging="395"/>
        <w:spacing w:after="0" w:line="229" w:lineRule="auto"/>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and fees includes income and fees associated with the increase in the cash surrender value of life insurance, safe deposit box rental, check printing, collections, wire transfer and other miscellaneous services and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2022 compared to Year Ended December 31, 2021</w:t>
      </w:r>
    </w:p>
    <w:p>
      <w:pPr>
        <w:spacing w:after="0" w:line="117" w:lineRule="exact"/>
        <w:rPr>
          <w:sz w:val="20"/>
          <w:szCs w:val="20"/>
          <w:color w:val="auto"/>
        </w:rPr>
      </w:pPr>
    </w:p>
    <w:p>
      <w:pPr>
        <w:jc w:val="both"/>
        <w:ind w:right="40" w:firstLine="394"/>
        <w:spacing w:after="0" w:line="259" w:lineRule="auto"/>
        <w:rPr>
          <w:sz w:val="20"/>
          <w:szCs w:val="20"/>
          <w:color w:val="auto"/>
        </w:rPr>
      </w:pPr>
      <w:r>
        <w:rPr>
          <w:rFonts w:ascii="Times New Roman" w:cs="Times New Roman" w:eastAsia="Times New Roman" w:hAnsi="Times New Roman"/>
          <w:sz w:val="19"/>
          <w:szCs w:val="19"/>
          <w:color w:val="auto"/>
        </w:rPr>
        <w:t>Noninterest income for the year ended December 31, 2022 was $76.1 million compared to $97.5 million for the year ended December 31, 2021, a decrease of $21.3 million, or 21.9%. Income from mortgage banking activities decreased $28.4 million, or 47.5%, to $31.4 million for the year ended December 31, 2022 from $59.7 million for the year ended December 31, 2021. The decrease was primarily the result of a reduction of $781.6 million, or 52.1%, in mortgage loan originations for the year ended December 31, 2022, compared to the year ended December 31, 2021, driven by rising mortgage interest rates during 2022 and the departure of several mortgage loan originators during</w:t>
      </w:r>
    </w:p>
    <w:p>
      <w:pPr>
        <w:sectPr>
          <w:pgSz w:w="12060" w:h="15667" w:orient="portrait"/>
          <w:cols w:equalWidth="0" w:num="1">
            <w:col w:w="9260"/>
          </w:cols>
          <w:pgMar w:left="1400" w:top="900" w:right="1407" w:bottom="20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060" w:h="15667" w:orient="portrait"/>
          <w:cols w:equalWidth="0" w:num="1">
            <w:col w:w="9260"/>
          </w:cols>
          <w:pgMar w:left="1400" w:top="900" w:right="1407" w:bottom="204" w:gutter="0" w:footer="0" w:header="0"/>
          <w:type w:val="continuous"/>
        </w:sectPr>
      </w:pPr>
    </w:p>
    <w:bookmarkStart w:id="68" w:name="page69"/>
    <w:bookmarkEnd w:id="68"/>
    <w:p>
      <w:pPr>
        <w:jc w:val="both"/>
        <w:ind w:right="7"/>
        <w:spacing w:after="0" w:line="259" w:lineRule="auto"/>
        <w:rPr>
          <w:sz w:val="20"/>
          <w:szCs w:val="20"/>
          <w:color w:val="auto"/>
        </w:rPr>
      </w:pPr>
      <w:r>
        <w:rPr>
          <w:rFonts w:ascii="Times New Roman" w:cs="Times New Roman" w:eastAsia="Times New Roman" w:hAnsi="Times New Roman"/>
          <w:sz w:val="19"/>
          <w:szCs w:val="19"/>
          <w:color w:val="auto"/>
        </w:rPr>
        <w:t>the first quarter of 2022 and a decline in gain on sale margins. This decrease was partially offset by increases of $3.2 million in the fair value adjustment and $1.0 million in servicing income for the Company’s mortgage servicing rights portfolio. The remaining noninterest income increased $7.0 million in 2022, compared to 2021, primarily due to increased income from Small Business Investment Company (‘‘SBIC’’) investments of $2.3 million, $2.1 million in legal settlements, and growth in income from both insurance activities of $2.5 million and bank card services and interchange fees of $707 thousand, partially offset by a decrease of $527 thousand in fiduciary income.</w:t>
      </w:r>
    </w:p>
    <w:p>
      <w:pPr>
        <w:spacing w:after="0" w:line="122"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Management is continuing to monitor and assess the industry changes related to the consumer overdraft fees, and changes already made or any future changes could negatively impact overdraft fee income.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2021 compared to Year Ended December 31, 2020</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Noninterest income for the year ended December 31, 2021 was $97.5 million compared to $101.6 million for the year ended December 31, 2020, a decrease of $4.1 million, or 4.1%. Income from mortgage banking activities decreased $5.3 million, or 8.2%, to $59.7 million for the December 31, 2021 from $65.0 million for the year ended December 31, 2020. The decrease was primarily the result of a reduction of $106.3 million in interest rate lock commitments and a decline in gain on sale margins, partially offset by an increase of $58.1 million in mortgage loan originations for the year ended December 31, 2021 compared to the year ended December 31, 2020. Our mortgage originations experienced another high level of volume in 2021 as the industry continued to benefit from historic low levels of interest rates through a majority of 2021. Refinance activity represented 54% of the 2021 originations as compared to 53% in 2020. Additionally, bank card services and interchange fee income increased $2.2 million and income from insurance activities increased $670 thousand for the year ended December 31, 2021 compared to the year ended December 31, 2020. The increase in bank card services and interchange fee income was primarily tied to the growth in deposits, increased consumer spending, and the expansion of credit card services. The increase in income from insurance activities was primarily related to increased premiums paid in 2021. Further, there was a $2.3 million gain on sale of securities in the first quarter of 2020.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Noninterest Expense</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major components of our noninterest expense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2022 over 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9"/>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2021 over 2020</w:t>
            </w:r>
          </w:p>
        </w:tc>
      </w:tr>
      <w:tr>
        <w:trPr>
          <w:trHeight w:val="20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83"/>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5"/>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3"/>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5"/>
                <w:szCs w:val="15"/>
                <w:color w:val="auto"/>
              </w:rPr>
            </w:pPr>
          </w:p>
        </w:tc>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5"/>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23"/>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5"/>
                <w:szCs w:val="15"/>
                <w:color w:val="auto"/>
              </w:rPr>
            </w:pP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5"/>
              </w:rPr>
              <w:t>(decrease)</w:t>
            </w: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09"/>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09"/>
        </w:trPr>
        <w:tc>
          <w:tcPr>
            <w:tcW w:w="3980" w:type="dxa"/>
            <w:vAlign w:val="bottom"/>
          </w:tcPr>
          <w:p>
            <w:pPr>
              <w:jc w:val="right"/>
              <w:ind w:right="2201"/>
              <w:spacing w:after="0"/>
              <w:rPr>
                <w:sz w:val="20"/>
                <w:szCs w:val="20"/>
                <w:color w:val="auto"/>
              </w:rPr>
            </w:pPr>
            <w:r>
              <w:rPr>
                <w:rFonts w:ascii="Times New Roman" w:cs="Times New Roman" w:eastAsia="Times New Roman" w:hAnsi="Times New Roman"/>
                <w:sz w:val="20"/>
                <w:szCs w:val="20"/>
                <w:color w:val="auto"/>
                <w:w w:val="98"/>
              </w:rPr>
              <w:t>Noninterest expense: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Salaries and employee benefits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93,360</w:t>
            </w:r>
          </w:p>
        </w:tc>
        <w:tc>
          <w:tcPr>
            <w:tcW w:w="2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6"/>
              </w:rPr>
              <w:t>$(7,037)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93,360</w:t>
            </w:r>
          </w:p>
        </w:tc>
        <w:tc>
          <w:tcPr>
            <w:tcW w:w="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89,220</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$4,140</w:t>
            </w:r>
          </w:p>
        </w:tc>
        <w:tc>
          <w:tcPr>
            <w:tcW w:w="60" w:type="dxa"/>
            <w:vAlign w:val="bottom"/>
          </w:tcPr>
          <w:p>
            <w:pPr>
              <w:spacing w:after="0"/>
              <w:rPr>
                <w:sz w:val="21"/>
                <w:szCs w:val="21"/>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Occupancy expense, net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14,560</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14,658</w:t>
            </w:r>
          </w:p>
        </w:tc>
        <w:tc>
          <w:tcPr>
            <w:tcW w:w="1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Professional services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60" w:type="dxa"/>
            <w:vAlign w:val="bottom"/>
          </w:tcPr>
          <w:p>
            <w:pPr>
              <w:spacing w:after="0"/>
              <w:rPr>
                <w:sz w:val="21"/>
                <w:szCs w:val="21"/>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Marketing and development.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3,088</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21"/>
                <w:szCs w:val="21"/>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IT and data services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2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60" w:type="dxa"/>
            <w:vAlign w:val="bottom"/>
          </w:tcPr>
          <w:p>
            <w:pPr>
              <w:spacing w:after="0"/>
              <w:rPr>
                <w:sz w:val="21"/>
                <w:szCs w:val="21"/>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Bankcard expenses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60" w:type="dxa"/>
            <w:vAlign w:val="bottom"/>
          </w:tcPr>
          <w:p>
            <w:pPr>
              <w:spacing w:after="0"/>
              <w:rPr>
                <w:sz w:val="21"/>
                <w:szCs w:val="21"/>
                <w:color w:val="auto"/>
              </w:rPr>
            </w:pPr>
          </w:p>
        </w:tc>
      </w:tr>
      <w:tr>
        <w:trPr>
          <w:trHeight w:val="25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Appraisal expenses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3,248</w:t>
            </w:r>
          </w:p>
        </w:tc>
        <w:tc>
          <w:tcPr>
            <w:tcW w:w="2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2,782</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60" w:type="dxa"/>
            <w:vAlign w:val="bottom"/>
          </w:tcPr>
          <w:p>
            <w:pPr>
              <w:spacing w:after="0"/>
              <w:rPr>
                <w:sz w:val="21"/>
                <w:szCs w:val="21"/>
                <w:color w:val="auto"/>
              </w:rPr>
            </w:pPr>
          </w:p>
        </w:tc>
      </w:tr>
      <w:tr>
        <w:trPr>
          <w:trHeight w:val="249"/>
        </w:trPr>
        <w:tc>
          <w:tcPr>
            <w:tcW w:w="3980" w:type="dxa"/>
            <w:vAlign w:val="bottom"/>
          </w:tcPr>
          <w:p>
            <w:pPr>
              <w:jc w:val="right"/>
              <w:ind w:right="101"/>
              <w:spacing w:after="0" w:line="248" w:lineRule="exact"/>
              <w:rPr>
                <w:sz w:val="20"/>
                <w:szCs w:val="20"/>
                <w:color w:val="auto"/>
              </w:rPr>
            </w:pPr>
            <w:r>
              <w:rPr>
                <w:rFonts w:ascii="Times New Roman" w:cs="Times New Roman" w:eastAsia="Times New Roman" w:hAnsi="Times New Roman"/>
                <w:sz w:val="20"/>
                <w:szCs w:val="20"/>
                <w:color w:val="auto"/>
              </w:rPr>
              <w:t>Other expenses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17,883</w:t>
            </w:r>
          </w:p>
        </w:tc>
        <w:tc>
          <w:tcPr>
            <w:tcW w:w="22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17,883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17,818</w:t>
            </w:r>
          </w:p>
        </w:tc>
        <w:tc>
          <w:tcPr>
            <w:tcW w:w="1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65</w:t>
            </w: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1"/>
        </w:trPr>
        <w:tc>
          <w:tcPr>
            <w:tcW w:w="39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noninterest expense.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144,089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148,030</w:t>
            </w:r>
          </w:p>
        </w:tc>
        <w:tc>
          <w:tcPr>
            <w:tcW w:w="2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w w:val="96"/>
              </w:rPr>
              <w:t>$</w:t>
            </w:r>
            <w:r>
              <w:rPr>
                <w:rFonts w:ascii="Times New Roman" w:cs="Times New Roman" w:eastAsia="Times New Roman" w:hAnsi="Times New Roman"/>
                <w:sz w:val="20"/>
                <w:szCs w:val="20"/>
                <w:color w:val="auto"/>
                <w:w w:val="96"/>
              </w:rPr>
              <w:t>(3,941)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148,030</w:t>
            </w: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141,715</w:t>
            </w:r>
          </w:p>
        </w:tc>
        <w:tc>
          <w:tcPr>
            <w:tcW w:w="1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6,315</w:t>
            </w:r>
          </w:p>
        </w:tc>
        <w:tc>
          <w:tcPr>
            <w:tcW w:w="60" w:type="dxa"/>
            <w:vAlign w:val="bottom"/>
          </w:tcPr>
          <w:p>
            <w:pPr>
              <w:spacing w:after="0"/>
              <w:rPr>
                <w:sz w:val="24"/>
                <w:szCs w:val="24"/>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237490</wp:posOffset>
                </wp:positionV>
                <wp:extent cx="90106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7pt" to="71.2pt,18.7pt" o:allowincell="f" strokecolor="#000000" strokeweight="0.493pt"/>
            </w:pict>
          </mc:Fallback>
        </mc:AlternateContent>
      </w:r>
    </w:p>
    <w:p>
      <w:pPr>
        <w:spacing w:after="0" w:line="200" w:lineRule="exact"/>
        <w:rPr>
          <w:sz w:val="20"/>
          <w:szCs w:val="20"/>
          <w:color w:val="auto"/>
        </w:rPr>
      </w:pPr>
    </w:p>
    <w:p>
      <w:pPr>
        <w:spacing w:after="0" w:line="256" w:lineRule="exact"/>
        <w:rPr>
          <w:sz w:val="20"/>
          <w:szCs w:val="20"/>
          <w:color w:val="auto"/>
        </w:rPr>
      </w:pPr>
    </w:p>
    <w:p>
      <w:pPr>
        <w:ind w:left="400" w:right="7" w:hanging="395"/>
        <w:spacing w:after="0" w:line="229" w:lineRule="auto"/>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include items such as banking regulatory assessments, telephone expenses, postage, courier fees, directors’ fees, and insurance.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2022 compared to Year Ended December 31, 2021</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Noninterest expense for the year ended December 31, 2022 was $144.1 million compared to $148.0 million for the year ended December 31, 2021, a decrease of $3.9 million, or 2.7%. Salaries and employee benefits decreased $7.0 million, or 7.5%, from $93.4 million for the December 31, 2021 to $86.3 million for the year ended December 31, 2022. This decrease in salaries and employee benefits expense was primarily driven by lower mortgage commissions of $10.3 million and reduced related supporting personnel expenses due to the contraction in mortgage</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56</w:t>
      </w:r>
    </w:p>
    <w:p>
      <w:pPr>
        <w:sectPr>
          <w:pgSz w:w="12060" w:h="15667" w:orient="portrait"/>
          <w:cols w:equalWidth="0" w:num="1">
            <w:col w:w="9227"/>
          </w:cols>
          <w:pgMar w:left="1400" w:top="912" w:right="1440" w:bottom="204" w:gutter="0" w:footer="0" w:header="0"/>
          <w:type w:val="continuous"/>
        </w:sectPr>
      </w:pPr>
    </w:p>
    <w:bookmarkStart w:id="69" w:name="page70"/>
    <w:bookmarkEnd w:id="69"/>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loan originations, partially offset by an increase of $1.0 million in variable insurance commission expense and additional expense for commercial lenders hired as part of a planned initiative. All other noninterest expenses increased $3.1 million for the year ended December 31, 2022, compared to the same period in 2021. The increase was largely attributable to additional legal fees of $2.6 million as a result of vendor dispute legal proceedings and other legal matters and a rise of $1.4 million in occupancy expense related to property repair and maintenance on banking house properties, partially offset by a reduction in appraisal expenses of $1.5 million and other variable mortgage-related expenses.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December 31, 2021 compared to Year Ended December 31, 2020</w:t>
      </w:r>
    </w:p>
    <w:p>
      <w:pPr>
        <w:spacing w:after="0" w:line="127"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Noninterest expense for the year ended December 31, 2021 was $148.0 million compared to $141.7 million for the year ended December 31, 2020, an increase of $6.3 million, or 4.5%. Salaries and employee benefits increased $4.1 million, or 4.6%, from $89.2 million for the December 31, 2020 to $93.4 million for the year ended December 31, 2021. This increase in salaries and employee benefits expense was predominately driven by increased commissions paid on the higher volume of mortgage loan originations and other personnel expenses to support mortgage activities. Additionally, salary expense increased due to expenses for incentive-based compensation related to the growth in loans held for investment in 2021 and for newly-hired commercial loan officers as part of our stated initiative. All other noninterest expenses increased $2.2 million for the year ended December 31, 2021, compared to the same period in 2020. This increase was primarily related to additional expenses incurred in 2021 for bankcard expenses as a result of increased consumer spending, growth in deposits, and credit card program expenses. Additionally, there were increases in appraisal expenses due to the high mortgage volume noted above and increased technology costs as part of the investment in planning our transition of computing and data storage to the cloud as well as further development of the new customer lead generation initiative.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w:t>
      </w:r>
    </w:p>
    <w:p>
      <w:pPr>
        <w:spacing w:after="0" w:line="127"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Our total assets increased $42.2 million, or 1.1%, to $3.94 billion at December 31, 2022 as compared to $3.90 billion at December 31, 2021. Our loans held for investment increased $310.5 million, or 12.7%, to $2.75 billion at December 31, 2022, compared to $2.44 billion at December 31, 2021. Total deposits increased $65.2 million, or 2.0% to $3.41 billion at December 31, 2022, compared to $3.34 billion at December 31, 2021. The increase in total assets, loans, and deposits was primarily the continued result of organic growth of the Company, which included hiring new commercial lenders as part of a stated growth initiative.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Portfolio</w:t>
      </w:r>
    </w:p>
    <w:p>
      <w:pPr>
        <w:spacing w:after="0" w:line="127"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38"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Loans held for investments increased $310.5 million, or 12.7%, to $2.75 billion at December 31, 2022 as compared to $2.44 billion at December 31, 2021. We had net organic growth in non-PPP loans of $350.2 million during the year ended December 31, 2022, partially offset by a decrease due to SBA forgiveness and repayments of $39.7 million in PPP loans during 2022. The organic loan growth remained relationship-focused and occurred primarily in commercial real estate loans, residential mortgage loans, and consumer auto loans, partially offset by decreases in ag production, energy and hotel loans.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57</w:t>
      </w:r>
    </w:p>
    <w:p>
      <w:pPr>
        <w:sectPr>
          <w:pgSz w:w="12060" w:h="15667" w:orient="portrait"/>
          <w:cols w:equalWidth="0" w:num="1">
            <w:col w:w="9227"/>
          </w:cols>
          <w:pgMar w:left="1400" w:top="912" w:right="1440" w:bottom="204" w:gutter="0" w:footer="0" w:header="0"/>
          <w:type w:val="continuous"/>
        </w:sectPr>
      </w:pPr>
    </w:p>
    <w:bookmarkStart w:id="70" w:name="page71"/>
    <w:bookmarkEnd w:id="70"/>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following table shows the contractual maturities of our loans held for investment portfolio at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Due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Due after</w:t>
            </w:r>
          </w:p>
        </w:tc>
        <w:tc>
          <w:tcPr>
            <w:tcW w:w="14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Due after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40" w:type="dxa"/>
            <w:vAlign w:val="bottom"/>
          </w:tcPr>
          <w:p>
            <w:pPr>
              <w:spacing w:after="0"/>
              <w:rPr>
                <w:sz w:val="15"/>
                <w:szCs w:val="15"/>
                <w:color w:val="auto"/>
              </w:rPr>
            </w:pPr>
          </w:p>
        </w:tc>
        <w:tc>
          <w:tcPr>
            <w:tcW w:w="980" w:type="dxa"/>
            <w:vAlign w:val="bottom"/>
            <w:gridSpan w:val="3"/>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Five Years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100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One Year or</w:t>
            </w:r>
          </w:p>
        </w:tc>
        <w:tc>
          <w:tcPr>
            <w:tcW w:w="1080" w:type="dxa"/>
            <w:vAlign w:val="bottom"/>
            <w:gridSpan w:val="4"/>
          </w:tcPr>
          <w:p>
            <w:pPr>
              <w:jc w:val="center"/>
              <w:ind w:right="20"/>
              <w:spacing w:after="0" w:line="178" w:lineRule="exact"/>
              <w:rPr>
                <w:sz w:val="20"/>
                <w:szCs w:val="20"/>
                <w:color w:val="auto"/>
              </w:rPr>
            </w:pPr>
            <w:r>
              <w:rPr>
                <w:rFonts w:ascii="Times New Roman" w:cs="Times New Roman" w:eastAsia="Times New Roman" w:hAnsi="Times New Roman"/>
                <w:sz w:val="16"/>
                <w:szCs w:val="16"/>
                <w:b w:val="1"/>
                <w:bCs w:val="1"/>
                <w:color w:val="auto"/>
              </w:rPr>
              <w:t>Through Five</w:t>
            </w:r>
          </w:p>
        </w:tc>
        <w:tc>
          <w:tcPr>
            <w:tcW w:w="140" w:type="dxa"/>
            <w:vAlign w:val="bottom"/>
          </w:tcPr>
          <w:p>
            <w:pPr>
              <w:spacing w:after="0"/>
              <w:rPr>
                <w:sz w:val="15"/>
                <w:szCs w:val="15"/>
                <w:color w:val="auto"/>
              </w:rPr>
            </w:pPr>
          </w:p>
        </w:tc>
        <w:tc>
          <w:tcPr>
            <w:tcW w:w="980" w:type="dxa"/>
            <w:vAlign w:val="bottom"/>
            <w:gridSpan w:val="3"/>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80" w:type="dxa"/>
            <w:vAlign w:val="bottom"/>
          </w:tcPr>
          <w:p>
            <w:pPr>
              <w:spacing w:after="0"/>
              <w:rPr>
                <w:sz w:val="15"/>
                <w:szCs w:val="15"/>
                <w:color w:val="auto"/>
              </w:rPr>
            </w:pPr>
          </w:p>
        </w:tc>
        <w:tc>
          <w:tcPr>
            <w:tcW w:w="880" w:type="dxa"/>
            <w:vAlign w:val="bottom"/>
            <w:gridSpan w:val="4"/>
          </w:tcPr>
          <w:p>
            <w:pPr>
              <w:jc w:val="center"/>
              <w:ind w:right="160"/>
              <w:spacing w:after="0" w:line="178" w:lineRule="exact"/>
              <w:rPr>
                <w:sz w:val="20"/>
                <w:szCs w:val="20"/>
                <w:color w:val="auto"/>
              </w:rPr>
            </w:pPr>
            <w:r>
              <w:rPr>
                <w:rFonts w:ascii="Times New Roman" w:cs="Times New Roman" w:eastAsia="Times New Roman" w:hAnsi="Times New Roman"/>
                <w:sz w:val="16"/>
                <w:szCs w:val="16"/>
                <w:b w:val="1"/>
                <w:bCs w:val="1"/>
                <w:color w:val="auto"/>
                <w:w w:val="99"/>
              </w:rPr>
              <w:t>Due after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Less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8"/>
              <w:spacing w:after="0" w:line="181" w:lineRule="exact"/>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5"/>
                <w:szCs w:val="15"/>
                <w:color w:val="auto"/>
              </w:rPr>
            </w:pPr>
          </w:p>
        </w:tc>
        <w:tc>
          <w:tcPr>
            <w:tcW w:w="1120" w:type="dxa"/>
            <w:vAlign w:val="bottom"/>
            <w:gridSpan w:val="4"/>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5"/>
              </w:rPr>
              <w:t>Fifteen Years</w:t>
            </w:r>
          </w:p>
        </w:tc>
        <w:tc>
          <w:tcPr>
            <w:tcW w:w="960" w:type="dxa"/>
            <w:vAlign w:val="bottom"/>
            <w:gridSpan w:val="5"/>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w w:val="97"/>
              </w:rPr>
              <w:t>Fifteen Years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64"/>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8"/>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Commercial real estate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$109,340</w:t>
            </w: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466,733</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$259,078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84,207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919,358</w:t>
            </w:r>
          </w:p>
        </w:tc>
        <w:tc>
          <w:tcPr>
            <w:tcW w:w="0" w:type="dxa"/>
            <w:vAlign w:val="bottom"/>
          </w:tcPr>
          <w:p>
            <w:pPr>
              <w:spacing w:after="0"/>
              <w:rPr>
                <w:sz w:val="1"/>
                <w:szCs w:val="1"/>
                <w:color w:val="auto"/>
              </w:rPr>
            </w:pPr>
          </w:p>
        </w:tc>
      </w:tr>
      <w:tr>
        <w:trPr>
          <w:trHeight w:val="25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Commercial - specialized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78,219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137,599</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63,318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327,513</w:t>
            </w:r>
          </w:p>
        </w:tc>
        <w:tc>
          <w:tcPr>
            <w:tcW w:w="0" w:type="dxa"/>
            <w:vAlign w:val="bottom"/>
          </w:tcPr>
          <w:p>
            <w:pPr>
              <w:spacing w:after="0"/>
              <w:rPr>
                <w:sz w:val="1"/>
                <w:szCs w:val="1"/>
                <w:color w:val="auto"/>
              </w:rPr>
            </w:pPr>
          </w:p>
        </w:tc>
      </w:tr>
      <w:tr>
        <w:trPr>
          <w:trHeight w:val="25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Commercial - general .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84,923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153,698</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123,344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122,818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484,783</w:t>
            </w:r>
          </w:p>
        </w:tc>
        <w:tc>
          <w:tcPr>
            <w:tcW w:w="0" w:type="dxa"/>
            <w:vAlign w:val="bottom"/>
          </w:tcPr>
          <w:p>
            <w:pPr>
              <w:spacing w:after="0"/>
              <w:rPr>
                <w:sz w:val="1"/>
                <w:szCs w:val="1"/>
                <w:color w:val="auto"/>
              </w:rPr>
            </w:pPr>
          </w:p>
        </w:tc>
      </w:tr>
      <w:tr>
        <w:trPr>
          <w:trHeight w:val="251"/>
        </w:trPr>
        <w:tc>
          <w:tcPr>
            <w:tcW w:w="4100" w:type="dxa"/>
            <w:vAlign w:val="bottom"/>
          </w:tcPr>
          <w:p>
            <w:pPr>
              <w:jc w:val="right"/>
              <w:ind w:right="3121"/>
              <w:spacing w:after="0"/>
              <w:rPr>
                <w:sz w:val="20"/>
                <w:szCs w:val="20"/>
                <w:color w:val="auto"/>
              </w:rPr>
            </w:pPr>
            <w:r>
              <w:rPr>
                <w:rFonts w:ascii="Times New Roman" w:cs="Times New Roman" w:eastAsia="Times New Roman" w:hAnsi="Times New Roman"/>
                <w:sz w:val="20"/>
                <w:szCs w:val="20"/>
                <w:color w:val="auto"/>
                <w:w w:val="97"/>
              </w:rPr>
              <w:t>Consumer:</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family residential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34,985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79,853</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273,097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460,124</w:t>
            </w:r>
          </w:p>
        </w:tc>
        <w:tc>
          <w:tcPr>
            <w:tcW w:w="0" w:type="dxa"/>
            <w:vAlign w:val="bottom"/>
          </w:tcPr>
          <w:p>
            <w:pPr>
              <w:spacing w:after="0"/>
              <w:rPr>
                <w:sz w:val="1"/>
                <w:szCs w:val="1"/>
                <w:color w:val="auto"/>
              </w:rPr>
            </w:pPr>
          </w:p>
        </w:tc>
      </w:tr>
      <w:tr>
        <w:trPr>
          <w:trHeight w:val="25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Auto loans . . . . . . . .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3,153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164,175</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154,148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321,476</w:t>
            </w:r>
          </w:p>
        </w:tc>
        <w:tc>
          <w:tcPr>
            <w:tcW w:w="0" w:type="dxa"/>
            <w:vAlign w:val="bottom"/>
          </w:tcPr>
          <w:p>
            <w:pPr>
              <w:spacing w:after="0"/>
              <w:rPr>
                <w:sz w:val="1"/>
                <w:szCs w:val="1"/>
                <w:color w:val="auto"/>
              </w:rPr>
            </w:pPr>
          </w:p>
        </w:tc>
      </w:tr>
      <w:tr>
        <w:trPr>
          <w:trHeight w:val="25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consumer . . . .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48,476</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81,308</w:t>
            </w:r>
          </w:p>
        </w:tc>
        <w:tc>
          <w:tcPr>
            <w:tcW w:w="0" w:type="dxa"/>
            <w:vAlign w:val="bottom"/>
          </w:tcPr>
          <w:p>
            <w:pPr>
              <w:spacing w:after="0"/>
              <w:rPr>
                <w:sz w:val="1"/>
                <w:szCs w:val="1"/>
                <w:color w:val="auto"/>
              </w:rPr>
            </w:pPr>
          </w:p>
        </w:tc>
      </w:tr>
      <w:tr>
        <w:trPr>
          <w:trHeight w:val="248"/>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Construction . . . . . . . . . . . . . . . . . . . . . . . . . . . . . .</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129,531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153,519</w:t>
            </w:r>
          </w:p>
        </w:tc>
        <w:tc>
          <w:tcPr>
            <w:tcW w:w="0" w:type="dxa"/>
            <w:vAlign w:val="bottom"/>
          </w:tcPr>
          <w:p>
            <w:pPr>
              <w:spacing w:after="0"/>
              <w:rPr>
                <w:sz w:val="1"/>
                <w:szCs w:val="1"/>
                <w:color w:val="auto"/>
              </w:rPr>
            </w:pPr>
          </w:p>
        </w:tc>
      </w:tr>
      <w:tr>
        <w:trPr>
          <w:trHeight w:val="281"/>
        </w:trPr>
        <w:tc>
          <w:tcPr>
            <w:tcW w:w="4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loans . . . . . . . . . . . . . . . . . .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445,426</w:t>
            </w: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1,063,084</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700,911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538,660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2,748,081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following table shows the distribution between fixed and adjustable interest rate loans for maturities greater than one year as of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Fixed</w:t>
            </w: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Adjustable</w:t>
            </w:r>
          </w:p>
        </w:tc>
      </w:tr>
      <w:tr>
        <w:trPr>
          <w:trHeight w:val="183"/>
        </w:trPr>
        <w:tc>
          <w:tcPr>
            <w:tcW w:w="7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7"/>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line="181" w:lineRule="exact"/>
              <w:rPr>
                <w:sz w:val="20"/>
                <w:szCs w:val="20"/>
                <w:color w:val="auto"/>
              </w:rPr>
            </w:pPr>
            <w:r>
              <w:rPr>
                <w:rFonts w:ascii="Times New Roman" w:cs="Times New Roman" w:eastAsia="Times New Roman" w:hAnsi="Times New Roman"/>
                <w:sz w:val="16"/>
                <w:szCs w:val="16"/>
                <w:b w:val="1"/>
                <w:bCs w:val="1"/>
                <w:color w:val="auto"/>
              </w:rPr>
              <w:t>Rate</w:t>
            </w:r>
          </w:p>
        </w:tc>
      </w:tr>
      <w:tr>
        <w:trPr>
          <w:trHeight w:val="209"/>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09"/>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real estate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377,747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432,271</w:t>
            </w:r>
          </w:p>
        </w:tc>
      </w:tr>
      <w:tr>
        <w:trPr>
          <w:trHeight w:val="25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 specialized . . . . . . . . . . . . . . . . . . . . . . . . . . . . . . . . . . . . . . . . . . . . . . . . . .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71,235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178,059</w:t>
            </w:r>
          </w:p>
        </w:tc>
      </w:tr>
      <w:tr>
        <w:trPr>
          <w:trHeight w:val="25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 general . . . . . . . . . . . . . . . . . . . . . . . . . . . . . . . . . . . . . . . . . . . . . . . . . . . . .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247,321</w:t>
            </w:r>
          </w:p>
        </w:tc>
      </w:tr>
      <w:tr>
        <w:trPr>
          <w:trHeight w:val="251"/>
        </w:trPr>
        <w:tc>
          <w:tcPr>
            <w:tcW w:w="7280" w:type="dxa"/>
            <w:vAlign w:val="bottom"/>
          </w:tcPr>
          <w:p>
            <w:pPr>
              <w:jc w:val="right"/>
              <w:ind w:right="6301"/>
              <w:spacing w:after="0"/>
              <w:rPr>
                <w:sz w:val="20"/>
                <w:szCs w:val="20"/>
                <w:color w:val="auto"/>
              </w:rPr>
            </w:pPr>
            <w:r>
              <w:rPr>
                <w:rFonts w:ascii="Times New Roman" w:cs="Times New Roman" w:eastAsia="Times New Roman" w:hAnsi="Times New Roman"/>
                <w:sz w:val="20"/>
                <w:szCs w:val="20"/>
                <w:color w:val="auto"/>
                <w:w w:val="97"/>
              </w:rPr>
              <w:t>Consumer:</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1-4 family residential . . . . . . . . . . . . . . . . . . . . . . . . . . . . . . . . . . . . . . . . . . . . . . . . . . .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251,157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173,982</w:t>
            </w:r>
          </w:p>
        </w:tc>
      </w:tr>
      <w:tr>
        <w:trPr>
          <w:trHeight w:val="25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Auto loans . . . . . . . . . . . . . . . . . . . . . . . . . . . . . . . . . . . . . . . . . . . . . . . . . . . . . . . . . . . .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318,323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Other consumer . . . . . . . . . . . . . . . . . . . . . . . . . . . . . . . . . . . . . . . . . . . . . . . . . . . . . . . . .</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r>
      <w:tr>
        <w:trPr>
          <w:trHeight w:val="249"/>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Construction. . . . . . . . . . . . . . . . . . . . . . . . . . . . . . . . . . . . . . . . . . . . . . . . . . . . . . . . . . . . . .</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3,487</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20,501</w:t>
            </w:r>
          </w:p>
        </w:tc>
      </w:tr>
      <w:tr>
        <w:trPr>
          <w:trHeight w:val="280"/>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Total loans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1,250,098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1,052,557</w:t>
            </w: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 xml:space="preserve">At December 31, 2022, there was $1.32 billion in adjustable rate loans, with $645.2 million of these loans that mature or reprice in the next twelve months. Of these loans that mature or reprice in the next twelve months, $416.4 million will reprice immediately upon changes in the underlying index rate, with the remaining $228.8 million being subject to rate ceilings, floors above the current index, or a future repricing date.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prime rate is the predominate index used by the Bank.</w:t>
      </w:r>
    </w:p>
    <w:p>
      <w:pPr>
        <w:spacing w:after="0" w:line="138"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Bank is primarily involved in real estate, commercial, agricultural and consumer lending activities with customers throughout Texas and Eastern New Mexico. We have a collateral concentration as 69.8% of our loans were secured by real property as of December 31, 2022, compared to 69.4% as of December 31, 2021.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38.7% of loans held for investment as of December 31, 2022 and represented 36.7% of loans held for investment as of December 31, 2021. Further, these loans are geographically diversified, primarily throughout the State of Texas as well as Eastern New Mexico.</w:t>
      </w:r>
    </w:p>
    <w:p>
      <w:pPr>
        <w:spacing w:after="0" w:line="128"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58</w:t>
      </w:r>
    </w:p>
    <w:p>
      <w:pPr>
        <w:sectPr>
          <w:pgSz w:w="12060" w:h="15667" w:orient="portrait"/>
          <w:cols w:equalWidth="0" w:num="1">
            <w:col w:w="9227"/>
          </w:cols>
          <w:pgMar w:left="1400" w:top="912" w:right="1440" w:bottom="204" w:gutter="0" w:footer="0" w:header="0"/>
          <w:type w:val="continuous"/>
        </w:sectPr>
      </w:pPr>
    </w:p>
    <w:bookmarkStart w:id="71" w:name="page72"/>
    <w:bookmarkEnd w:id="71"/>
    <w:p>
      <w:pPr>
        <w:jc w:val="both"/>
        <w:ind w:right="7" w:firstLine="394"/>
        <w:spacing w:after="0" w:line="255" w:lineRule="auto"/>
        <w:rPr>
          <w:sz w:val="20"/>
          <w:szCs w:val="20"/>
          <w:color w:val="auto"/>
        </w:rPr>
      </w:pPr>
      <w:r>
        <w:rPr>
          <w:rFonts w:ascii="Times New Roman" w:cs="Times New Roman" w:eastAsia="Times New Roman" w:hAnsi="Times New Roman"/>
          <w:sz w:val="20"/>
          <w:szCs w:val="20"/>
          <w:i w:val="1"/>
          <w:iCs w:val="1"/>
          <w:color w:val="auto"/>
        </w:rPr>
        <w:t>Commercial Real Estate</w:t>
      </w:r>
      <w:r>
        <w:rPr>
          <w:rFonts w:ascii="Times New Roman" w:cs="Times New Roman" w:eastAsia="Times New Roman" w:hAnsi="Times New Roman"/>
          <w:sz w:val="20"/>
          <w:szCs w:val="20"/>
          <w:color w:val="auto"/>
        </w:rPr>
        <w:t>. Our commercial real estate portfolio includes loans for commercial property that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38"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Commercial real estate loans increased $163.9 million, or 21.7%, to $919.4 million as of December 31, 2022 from $755.4 million as of December 31, 2021. The increase was primarily driven by an increase of $90.6 million in commercial and residential land development loans, an increase of $71.0 million in retail loans, and an increase of $41.4 million in office, commercial and retail tenant loans, partially offset by a decrease of $37.2 million in hotel loans.</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i w:val="1"/>
          <w:iCs w:val="1"/>
          <w:color w:val="auto"/>
        </w:rPr>
        <w:t>Commercial – General and Specialized</w:t>
      </w:r>
      <w:r>
        <w:rPr>
          <w:rFonts w:ascii="Times New Roman" w:cs="Times New Roman" w:eastAsia="Times New Roman" w:hAnsi="Times New Roman"/>
          <w:sz w:val="19"/>
          <w:szCs w:val="19"/>
          <w:color w:val="auto"/>
        </w:rPr>
        <w:t>. Commercial loans are underwritten after evaluating and understanding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126"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Commercial general loans increased $24.8 million, or 5.4%, to $484.8 million as of December 31, 2022 from $460.0 million as of December 31, 2021. The increase in commercial general loans was primarily due to organic loan growth in restaurant &amp; retail loans, goods and services loans, and construction company loans, partially offset by a decrease of $39.7 million in PPP loans.</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Commercial specialized loans decreased $51.2 million, or 13.5%, to $327.5 million as of December 31, 2022 from $378.7 million as of December 31, 2021. This decrease was primarily due to an early payoff of an approximately $46 million on one energy sector loan and a net reduction of $36.5 million in seasonal agricultural production loans, partially offset by organic loan growth of $26.1 million in finance, investment, and insurance loans.</w:t>
      </w:r>
    </w:p>
    <w:p>
      <w:pPr>
        <w:spacing w:after="0" w:line="120"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Consumer</w:t>
      </w:r>
      <w:r>
        <w:rPr>
          <w:rFonts w:ascii="Times New Roman" w:cs="Times New Roman" w:eastAsia="Times New Roman" w:hAnsi="Times New Roman"/>
          <w:sz w:val="20"/>
          <w:szCs w:val="20"/>
          <w:color w:val="auto"/>
        </w:rPr>
        <w:t>. We utilize a computer-based credit scoring analysis to supplement our policies and procedures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Consumer and other loans increased $166.4 million, or 23.9%, to $862.9 million as of December 31, 2022, from $696.5 million as of December 31, 2021. The increase in these loans was primarily a result of an $80.8 million growth in consumer auto loans as a result of higher demand for autos during 2022, along with adding several high-quality auto dealerships, and a $72.4 million increase in residential mortgage loans. As of December 31, 2022, our consumer loan portfolio was comprised of $460.1 million in 1-4 family residential loans, $321.5 million in auto loans, and $81.3 million in other consumer loans.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59</w:t>
      </w:r>
    </w:p>
    <w:p>
      <w:pPr>
        <w:sectPr>
          <w:pgSz w:w="12060" w:h="15667" w:orient="portrait"/>
          <w:cols w:equalWidth="0" w:num="1">
            <w:col w:w="9227"/>
          </w:cols>
          <w:pgMar w:left="1400" w:top="912" w:right="1440" w:bottom="204" w:gutter="0" w:footer="0" w:header="0"/>
          <w:type w:val="continuous"/>
        </w:sectPr>
      </w:pPr>
    </w:p>
    <w:bookmarkStart w:id="72" w:name="page73"/>
    <w:bookmarkEnd w:id="72"/>
    <w:p>
      <w:pPr>
        <w:jc w:val="both"/>
        <w:ind w:right="7" w:firstLine="394"/>
        <w:spacing w:after="0" w:line="252" w:lineRule="auto"/>
        <w:rPr>
          <w:sz w:val="20"/>
          <w:szCs w:val="20"/>
          <w:color w:val="auto"/>
        </w:rPr>
      </w:pPr>
      <w:r>
        <w:rPr>
          <w:rFonts w:ascii="Times New Roman" w:cs="Times New Roman" w:eastAsia="Times New Roman" w:hAnsi="Times New Roman"/>
          <w:sz w:val="20"/>
          <w:szCs w:val="20"/>
          <w:i w:val="1"/>
          <w:iCs w:val="1"/>
          <w:color w:val="auto"/>
        </w:rPr>
        <w:t>Construction</w:t>
      </w:r>
      <w:r>
        <w:rPr>
          <w:rFonts w:ascii="Times New Roman" w:cs="Times New Roman" w:eastAsia="Times New Roman" w:hAnsi="Times New Roman"/>
          <w:sz w:val="20"/>
          <w:szCs w:val="20"/>
          <w:color w:val="auto"/>
        </w:rPr>
        <w:t>. Loans for residential construction are for single-family properties to developers, builders,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38"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Construction loans increased $6.7 million, or 4.5%, to $153.5 million as of December 31, 2022 from $146.9 million as of December 31, 2021. The increase resulted from continued higher demand for residential construction as a result of home shortages in many of our markets.</w:t>
      </w:r>
    </w:p>
    <w:p>
      <w:pPr>
        <w:spacing w:after="0" w:line="139" w:lineRule="exact"/>
        <w:rPr>
          <w:sz w:val="20"/>
          <w:szCs w:val="20"/>
          <w:color w:val="auto"/>
        </w:rPr>
      </w:pPr>
    </w:p>
    <w:p>
      <w:pPr>
        <w:jc w:val="both"/>
        <w:ind w:right="7" w:firstLine="394"/>
        <w:spacing w:after="0" w:line="256" w:lineRule="auto"/>
        <w:rPr>
          <w:sz w:val="20"/>
          <w:szCs w:val="20"/>
          <w:color w:val="auto"/>
        </w:rPr>
      </w:pPr>
      <w:r>
        <w:rPr>
          <w:rFonts w:ascii="Times New Roman" w:cs="Times New Roman" w:eastAsia="Times New Roman" w:hAnsi="Times New Roman"/>
          <w:sz w:val="20"/>
          <w:szCs w:val="20"/>
          <w:i w:val="1"/>
          <w:iCs w:val="1"/>
          <w:color w:val="auto"/>
        </w:rPr>
        <w:t>Paycheck Protection Program</w:t>
      </w:r>
      <w:r>
        <w:rPr>
          <w:rFonts w:ascii="Times New Roman" w:cs="Times New Roman" w:eastAsia="Times New Roman" w:hAnsi="Times New Roman"/>
          <w:sz w:val="20"/>
          <w:szCs w:val="20"/>
          <w:color w:val="auto"/>
        </w:rPr>
        <w:t>. Beginning in April 2020 and until funding expired on May 31, 2021,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originated loans to qualified small businesses under the PPP administered by the SBA under the 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December 31, 2022, PPP loans totaled approximately $482 thousand and are included in commercial general loans.</w:t>
      </w:r>
    </w:p>
    <w:p>
      <w:pPr>
        <w:spacing w:after="0" w:line="132"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39"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commitments we have made as of the dates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20" w:type="dxa"/>
            <w:vAlign w:val="bottom"/>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7420" w:type="dxa"/>
            <w:vAlign w:val="bottom"/>
          </w:tcPr>
          <w:p>
            <w:pPr>
              <w:spacing w:after="0"/>
              <w:rPr>
                <w:sz w:val="18"/>
                <w:szCs w:val="18"/>
                <w:color w:val="auto"/>
              </w:rPr>
            </w:pPr>
          </w:p>
        </w:tc>
        <w:tc>
          <w:tcPr>
            <w:tcW w:w="180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09"/>
        </w:trPr>
        <w:tc>
          <w:tcPr>
            <w:tcW w:w="74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Commitments to grant loans and unfunded commitments under lines of credit . . . . . .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5"/>
              </w:rPr>
              <w:t>$682,296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$542,338</w:t>
            </w:r>
          </w:p>
        </w:tc>
      </w:tr>
      <w:tr>
        <w:trPr>
          <w:trHeight w:val="249"/>
        </w:trPr>
        <w:tc>
          <w:tcPr>
            <w:tcW w:w="74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Standby letters of credit . . . . . . . . . . . . . . . . . . . . . . . . . . . . . . . . . . . . . . . . . . . . . . . . . .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13,864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12,418</w:t>
            </w:r>
          </w:p>
        </w:tc>
      </w:tr>
      <w:tr>
        <w:trPr>
          <w:trHeight w:val="281"/>
        </w:trPr>
        <w:tc>
          <w:tcPr>
            <w:tcW w:w="74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 . . . . . . .</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696,160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554,756</w:t>
            </w:r>
          </w:p>
        </w:tc>
      </w:tr>
      <w:tr>
        <w:trPr>
          <w:trHeight w:val="20"/>
        </w:trPr>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60</w:t>
      </w:r>
    </w:p>
    <w:p>
      <w:pPr>
        <w:sectPr>
          <w:pgSz w:w="12060" w:h="15667" w:orient="portrait"/>
          <w:cols w:equalWidth="0" w:num="1">
            <w:col w:w="9227"/>
          </w:cols>
          <w:pgMar w:left="1400" w:top="912" w:right="1440" w:bottom="204"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Loan Losses</w:t>
      </w:r>
    </w:p>
    <w:p>
      <w:pPr>
        <w:spacing w:after="0" w:line="127" w:lineRule="exact"/>
        <w:rPr>
          <w:sz w:val="20"/>
          <w:szCs w:val="20"/>
          <w:color w:val="auto"/>
        </w:rPr>
      </w:pPr>
    </w:p>
    <w:p>
      <w:pPr>
        <w:jc w:val="both"/>
        <w:ind w:right="80" w:firstLine="394"/>
        <w:spacing w:after="0" w:line="265" w:lineRule="auto"/>
        <w:rPr>
          <w:sz w:val="20"/>
          <w:szCs w:val="20"/>
          <w:color w:val="auto"/>
        </w:rPr>
      </w:pPr>
      <w:r>
        <w:rPr>
          <w:rFonts w:ascii="Times New Roman" w:cs="Times New Roman" w:eastAsia="Times New Roman" w:hAnsi="Times New Roman"/>
          <w:sz w:val="19"/>
          <w:szCs w:val="19"/>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assessed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20" w:lineRule="exact"/>
        <w:rPr>
          <w:sz w:val="20"/>
          <w:szCs w:val="20"/>
          <w:color w:val="auto"/>
        </w:rPr>
      </w:pPr>
    </w:p>
    <w:p>
      <w:pPr>
        <w:jc w:val="both"/>
        <w:ind w:right="80" w:firstLine="394"/>
        <w:spacing w:after="0" w:line="245" w:lineRule="auto"/>
        <w:rPr>
          <w:sz w:val="20"/>
          <w:szCs w:val="20"/>
          <w:color w:val="auto"/>
        </w:rPr>
      </w:pPr>
      <w:r>
        <w:rPr>
          <w:rFonts w:ascii="Times New Roman" w:cs="Times New Roman" w:eastAsia="Times New Roman" w:hAnsi="Times New Roman"/>
          <w:sz w:val="20"/>
          <w:szCs w:val="20"/>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37" w:lineRule="exact"/>
        <w:rPr>
          <w:sz w:val="20"/>
          <w:szCs w:val="20"/>
          <w:color w:val="auto"/>
        </w:rPr>
      </w:pPr>
    </w:p>
    <w:p>
      <w:pPr>
        <w:jc w:val="both"/>
        <w:ind w:right="80" w:firstLine="394"/>
        <w:spacing w:after="0" w:line="244" w:lineRule="auto"/>
        <w:rPr>
          <w:sz w:val="20"/>
          <w:szCs w:val="20"/>
          <w:color w:val="auto"/>
        </w:rPr>
      </w:pPr>
      <w:r>
        <w:rPr>
          <w:rFonts w:ascii="Times New Roman" w:cs="Times New Roman" w:eastAsia="Times New Roman" w:hAnsi="Times New Roman"/>
          <w:sz w:val="20"/>
          <w:szCs w:val="20"/>
          <w:color w:val="auto"/>
        </w:rPr>
        <w:t>The allowance for loan losses was $39.3 million at December 31, 2022 compared to $42.1 million at December 31, 2021, an decrease of $2.8 million, or 6.7%. The decrease was primarily a result of a negative provision for loan losses of $2.6 million being recorded during 2022 based on general improvement in the Company’s credit metrics, a decline in the amount of loans that were actively under a modification, and a decrease in nonperforming loans, partially offset by the growth in the loan portfolio. Nevertheless, forecasted economic conditions continue to remain uncertain due to the continued rising interest rate environment and persistent high inflation levels in the United States, and provisions for loan losses may be necessary in future periods.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provides an analysis of the allowance for loan losses and other data at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Average loans outstanding during period</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20" w:type="dxa"/>
            <w:vAlign w:val="bottom"/>
          </w:tcPr>
          <w:p>
            <w:pPr>
              <w:jc w:val="right"/>
              <w:ind w:right="41"/>
              <w:spacing w:after="0" w:line="218" w:lineRule="exact"/>
              <w:rPr>
                <w:sz w:val="20"/>
                <w:szCs w:val="20"/>
                <w:color w:val="auto"/>
              </w:rPr>
            </w:pPr>
            <w:r>
              <w:rPr>
                <w:rFonts w:ascii="Times New Roman" w:cs="Times New Roman" w:eastAsia="Times New Roman" w:hAnsi="Times New Roman"/>
                <w:sz w:val="20"/>
                <w:szCs w:val="20"/>
                <w:color w:val="auto"/>
              </w:rPr>
              <w:t>Commercial real estate . . . . . . . . . . . . . . . . . . . . . . . . . . . . . . . . . . . . .</w:t>
            </w:r>
          </w:p>
        </w:tc>
        <w:tc>
          <w:tcPr>
            <w:tcW w:w="26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817,365</w:t>
            </w:r>
          </w:p>
        </w:tc>
        <w:tc>
          <w:tcPr>
            <w:tcW w:w="80" w:type="dxa"/>
            <w:vAlign w:val="bottom"/>
          </w:tcPr>
          <w:p>
            <w:pPr>
              <w:spacing w:after="0"/>
              <w:rPr>
                <w:sz w:val="18"/>
                <w:szCs w:val="18"/>
                <w:color w:val="auto"/>
              </w:rPr>
            </w:pPr>
          </w:p>
        </w:tc>
        <w:tc>
          <w:tcPr>
            <w:tcW w:w="32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705,516</w:t>
            </w:r>
          </w:p>
        </w:tc>
        <w:tc>
          <w:tcPr>
            <w:tcW w:w="260" w:type="dxa"/>
            <w:vAlign w:val="bottom"/>
          </w:tcPr>
          <w:p>
            <w:pPr>
              <w:spacing w:after="0"/>
              <w:rPr>
                <w:sz w:val="18"/>
                <w:szCs w:val="18"/>
                <w:color w:val="auto"/>
              </w:rPr>
            </w:pPr>
          </w:p>
        </w:tc>
        <w:tc>
          <w:tcPr>
            <w:tcW w:w="14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18" w:lineRule="exact"/>
              <w:rPr>
                <w:sz w:val="20"/>
                <w:szCs w:val="20"/>
                <w:color w:val="auto"/>
              </w:rPr>
            </w:pPr>
            <w:r>
              <w:rPr>
                <w:rFonts w:ascii="Times New Roman" w:cs="Times New Roman" w:eastAsia="Times New Roman" w:hAnsi="Times New Roman"/>
                <w:sz w:val="20"/>
                <w:szCs w:val="20"/>
                <w:color w:val="auto"/>
              </w:rPr>
              <w:t>654,923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Commercial – specialized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351,598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336,754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Commercial – general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476,553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490,945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545,391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661"/>
              <w:spacing w:after="0"/>
              <w:rPr>
                <w:sz w:val="20"/>
                <w:szCs w:val="20"/>
                <w:color w:val="auto"/>
              </w:rPr>
            </w:pPr>
            <w:r>
              <w:rPr>
                <w:rFonts w:ascii="Times New Roman" w:cs="Times New Roman" w:eastAsia="Times New Roman" w:hAnsi="Times New Roman"/>
                <w:sz w:val="20"/>
                <w:szCs w:val="20"/>
                <w:color w:val="auto"/>
              </w:rPr>
              <w:t>Consumer: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 family residential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374,609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Auto loans . . . . .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285,493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227,301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Other consumer.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68,106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Construction . . . . .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124,840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Loans held for sale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92,130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Total average loans outstanding during period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2,612,161</w:t>
            </w:r>
          </w:p>
        </w:tc>
        <w:tc>
          <w:tcPr>
            <w:tcW w:w="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4"/>
              </w:rPr>
              <w:t>2,420,201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2,325,632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charge-offs (recoveries) during the period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Commercial real estate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Commercial – specialized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Commercial – general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459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661"/>
              <w:spacing w:after="0"/>
              <w:rPr>
                <w:sz w:val="20"/>
                <w:szCs w:val="20"/>
                <w:color w:val="auto"/>
              </w:rPr>
            </w:pPr>
            <w:r>
              <w:rPr>
                <w:rFonts w:ascii="Times New Roman" w:cs="Times New Roman" w:eastAsia="Times New Roman" w:hAnsi="Times New Roman"/>
                <w:sz w:val="20"/>
                <w:szCs w:val="20"/>
                <w:color w:val="auto"/>
              </w:rPr>
              <w:t>Consumer: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 family residential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35"/>
        </w:trPr>
        <w:tc>
          <w:tcPr>
            <w:tcW w:w="58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Auto loans . . . . .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7" w:orient="portrait"/>
          <w:cols w:equalWidth="0" w:num="1">
            <w:col w:w="9300"/>
          </w:cols>
          <w:pgMar w:left="1400" w:top="900" w:right="1367" w:bottom="203"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61</w:t>
      </w:r>
    </w:p>
    <w:p>
      <w:pPr>
        <w:sectPr>
          <w:pgSz w:w="12060" w:h="15667" w:orient="portrait"/>
          <w:cols w:equalWidth="0" w:num="1">
            <w:col w:w="9300"/>
          </w:cols>
          <w:pgMar w:left="1400" w:top="900" w:right="1367" w:bottom="203"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5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7"/>
                <w:szCs w:val="17"/>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jc w:val="center"/>
              <w:ind w:left="584"/>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93"/>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Other consumer  . . . . . . . . . . . . . . . . . . . . . . . . . . . . . . . . . . . . . . .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240" w:type="dxa"/>
            <w:vAlign w:val="bottom"/>
          </w:tcPr>
          <w:p>
            <w:pPr>
              <w:spacing w:after="0"/>
              <w:rPr>
                <w:sz w:val="24"/>
                <w:szCs w:val="24"/>
                <w:color w:val="auto"/>
              </w:rPr>
            </w:pPr>
          </w:p>
        </w:tc>
      </w:tr>
      <w:tr>
        <w:trPr>
          <w:trHeight w:val="233"/>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Construction . . . . . . . . . . . . . . . . . . . . . . . . . . . . . . . . . . . . . . . . . . . .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Total net charge-offs (recoveries) during the period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6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4,214</w:t>
            </w:r>
          </w:p>
        </w:tc>
        <w:tc>
          <w:tcPr>
            <w:tcW w:w="240" w:type="dxa"/>
            <w:vAlign w:val="bottom"/>
          </w:tcPr>
          <w:p>
            <w:pPr>
              <w:spacing w:after="0"/>
              <w:rPr>
                <w:sz w:val="23"/>
                <w:szCs w:val="23"/>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02"/>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Total loans held for investment outstanding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2,748,081</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2,437,577</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2,221,583</w:t>
            </w:r>
          </w:p>
        </w:tc>
        <w:tc>
          <w:tcPr>
            <w:tcW w:w="240" w:type="dxa"/>
            <w:vAlign w:val="bottom"/>
          </w:tcPr>
          <w:p>
            <w:pPr>
              <w:spacing w:after="0"/>
              <w:rPr>
                <w:sz w:val="24"/>
                <w:szCs w:val="24"/>
                <w:color w:val="auto"/>
              </w:rPr>
            </w:pP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Nonaccrual loans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5,802</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9,518</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13,718</w:t>
            </w:r>
          </w:p>
        </w:tc>
        <w:tc>
          <w:tcPr>
            <w:tcW w:w="240" w:type="dxa"/>
            <w:vAlign w:val="bottom"/>
          </w:tcPr>
          <w:p>
            <w:pPr>
              <w:spacing w:after="0"/>
              <w:rPr>
                <w:sz w:val="20"/>
                <w:szCs w:val="20"/>
                <w:color w:val="auto"/>
              </w:rPr>
            </w:pP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Allowance for loan losses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39,288</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42,098</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45,553</w:t>
            </w:r>
          </w:p>
        </w:tc>
        <w:tc>
          <w:tcPr>
            <w:tcW w:w="240" w:type="dxa"/>
            <w:vAlign w:val="bottom"/>
          </w:tcPr>
          <w:p>
            <w:pPr>
              <w:spacing w:after="0"/>
              <w:rPr>
                <w:sz w:val="20"/>
                <w:szCs w:val="20"/>
                <w:color w:val="auto"/>
              </w:rPr>
            </w:pPr>
          </w:p>
        </w:tc>
      </w:tr>
      <w:tr>
        <w:trPr>
          <w:trHeight w:val="471"/>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Ratio of allowance to total loans held for investment . . . . . . . . . . . . . .</w:t>
            </w:r>
          </w:p>
        </w:tc>
        <w:tc>
          <w:tcPr>
            <w:tcW w:w="10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1.43%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2.05%</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9"/>
              </w:rPr>
              <w:t>Ratio of allowance to nonaccrual loans.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677.15%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442.30%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332.07%</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Ratio of nonaccrual loans to total loans held for investment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0.62%</w:t>
            </w:r>
          </w:p>
        </w:tc>
      </w:tr>
      <w:tr>
        <w:trPr>
          <w:trHeight w:val="471"/>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Ratio of net charge-offs (recoveries) to average loans during the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period</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Commercial real estate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(0.05)%</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Commercial – specialized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0.33%</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Commercial – general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0.29%</w:t>
            </w:r>
          </w:p>
        </w:tc>
      </w:tr>
      <w:tr>
        <w:trPr>
          <w:trHeight w:val="235"/>
        </w:trPr>
        <w:tc>
          <w:tcPr>
            <w:tcW w:w="5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Consumer: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1-4 family residential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0.02%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(0.02)%</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Auto loans  . . . . . . .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0.47%</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Other consumer  . . .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1.06%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1.38%</w:t>
            </w:r>
          </w:p>
        </w:tc>
      </w:tr>
      <w:tr>
        <w:trPr>
          <w:trHeight w:val="235"/>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Construction . . . . . . . .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0.11%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5980" w:type="dxa"/>
            <w:vAlign w:val="bottom"/>
          </w:tcPr>
          <w:p>
            <w:pPr>
              <w:spacing w:after="0"/>
              <w:rPr>
                <w:sz w:val="20"/>
                <w:szCs w:val="20"/>
                <w:color w:val="auto"/>
              </w:rPr>
            </w:pPr>
            <w:r>
              <w:rPr>
                <w:rFonts w:ascii="Times New Roman" w:cs="Times New Roman" w:eastAsia="Times New Roman" w:hAnsi="Times New Roman"/>
                <w:sz w:val="20"/>
                <w:szCs w:val="20"/>
                <w:color w:val="auto"/>
              </w:rPr>
              <w:t>Total ratio of net charge-offs (recoveries) to average loans during the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6"/>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period . . . . . . . . . . . . . . . . . . . . . . . . . . . . . . . . . . . . . . . . . . . . . . . . . .</w:t>
            </w:r>
          </w:p>
        </w:tc>
        <w:tc>
          <w:tcPr>
            <w:tcW w:w="1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0.01%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217170</wp:posOffset>
                </wp:positionV>
                <wp:extent cx="9010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1pt" to="71.2pt,17.1pt" o:allowincell="f" strokecolor="#000000" strokeweight="0.493pt"/>
            </w:pict>
          </mc:Fallback>
        </mc:AlternateContent>
      </w:r>
    </w:p>
    <w:p>
      <w:pPr>
        <w:spacing w:after="0" w:line="200" w:lineRule="exact"/>
        <w:rPr>
          <w:sz w:val="20"/>
          <w:szCs w:val="20"/>
          <w:color w:val="auto"/>
        </w:rPr>
      </w:pPr>
    </w:p>
    <w:p>
      <w:pPr>
        <w:spacing w:after="0" w:line="223"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outstanding balances include loans held for sale.</w:t>
      </w:r>
    </w:p>
    <w:p>
      <w:pPr>
        <w:spacing w:after="0" w:line="125" w:lineRule="exact"/>
        <w:rPr>
          <w:sz w:val="20"/>
          <w:szCs w:val="20"/>
          <w:color w:val="auto"/>
        </w:rPr>
      </w:pPr>
    </w:p>
    <w:p>
      <w:pPr>
        <w:jc w:val="both"/>
        <w:ind w:right="240" w:firstLine="394"/>
        <w:spacing w:after="0" w:line="266" w:lineRule="auto"/>
        <w:rPr>
          <w:sz w:val="20"/>
          <w:szCs w:val="20"/>
          <w:color w:val="auto"/>
        </w:rPr>
      </w:pPr>
      <w:r>
        <w:rPr>
          <w:rFonts w:ascii="Times New Roman" w:cs="Times New Roman" w:eastAsia="Times New Roman" w:hAnsi="Times New Roman"/>
          <w:sz w:val="19"/>
          <w:szCs w:val="19"/>
          <w:color w:val="auto"/>
        </w:rPr>
        <w:t>Net charge-offs totaled $0.2 million and were 0.01% of average loans outstanding for the year ended December 31, 2022, compared to $1.5 million and 0.06% for the year ended December 31, 2021. There was $621 thousand in consumer credit program net charge-offs, $364 thousand in auto loan net charge-offs, and a charge-off of $215 thousand on a restaurant &amp; retail relationship during 2022, partially offset by a $822 thousand recovery on an energy relationship and a $400 thousand recovery on a commercial real estate loan during 2022. The allowance for loan losses as a percentage of loans held for investment was 1.43% at December 31, 2022 and 1.73% at December 31, 2021.</w:t>
      </w:r>
    </w:p>
    <w:p>
      <w:pPr>
        <w:spacing w:after="0" w:line="114" w:lineRule="exact"/>
        <w:rPr>
          <w:sz w:val="20"/>
          <w:szCs w:val="20"/>
          <w:color w:val="auto"/>
        </w:rPr>
      </w:pPr>
    </w:p>
    <w:p>
      <w:pPr>
        <w:jc w:val="both"/>
        <w:ind w:right="240" w:firstLine="394"/>
        <w:spacing w:after="0"/>
        <w:rPr>
          <w:sz w:val="20"/>
          <w:szCs w:val="20"/>
          <w:color w:val="auto"/>
        </w:rPr>
      </w:pPr>
      <w:r>
        <w:rPr>
          <w:rFonts w:ascii="Times New Roman" w:cs="Times New Roman" w:eastAsia="Times New Roman" w:hAnsi="Times New Roman"/>
          <w:sz w:val="20"/>
          <w:szCs w:val="20"/>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0"/>
        </w:trPr>
        <w:tc>
          <w:tcPr>
            <w:tcW w:w="4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 of</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 of</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83"/>
        </w:trPr>
        <w:tc>
          <w:tcPr>
            <w:tcW w:w="474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5"/>
                <w:szCs w:val="15"/>
                <w:color w:val="auto"/>
              </w:rPr>
            </w:pPr>
          </w:p>
        </w:tc>
      </w:tr>
      <w:tr>
        <w:trPr>
          <w:trHeight w:val="193"/>
        </w:trPr>
        <w:tc>
          <w:tcPr>
            <w:tcW w:w="4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93"/>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Commercial real estate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$13,029</w:t>
            </w: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$17,245</w:t>
            </w:r>
          </w:p>
        </w:tc>
        <w:tc>
          <w:tcPr>
            <w:tcW w:w="22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41.0%</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$18,962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41.6%</w:t>
            </w:r>
          </w:p>
        </w:tc>
      </w:tr>
      <w:tr>
        <w:trPr>
          <w:trHeight w:val="23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Commercial – specialized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3,425</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4,363</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5,760</w:t>
            </w: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Commercial – general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9,215</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8,466</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9,227</w:t>
            </w: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20.3%</w:t>
            </w:r>
          </w:p>
        </w:tc>
      </w:tr>
      <w:tr>
        <w:trPr>
          <w:trHeight w:val="235"/>
        </w:trPr>
        <w:tc>
          <w:tcPr>
            <w:tcW w:w="4740" w:type="dxa"/>
            <w:vAlign w:val="bottom"/>
          </w:tcPr>
          <w:p>
            <w:pPr>
              <w:jc w:val="right"/>
              <w:ind w:right="3761"/>
              <w:spacing w:after="0"/>
              <w:rPr>
                <w:sz w:val="20"/>
                <w:szCs w:val="20"/>
                <w:color w:val="auto"/>
              </w:rPr>
            </w:pPr>
            <w:r>
              <w:rPr>
                <w:rFonts w:ascii="Times New Roman" w:cs="Times New Roman" w:eastAsia="Times New Roman" w:hAnsi="Times New Roman"/>
                <w:sz w:val="20"/>
                <w:szCs w:val="20"/>
                <w:color w:val="auto"/>
                <w:w w:val="97"/>
              </w:rPr>
              <w:t>Consumer:</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1-4 family residential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6,194</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4,646</w:t>
            </w: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Auto loans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3,926</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3,653</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4,226</w:t>
            </w:r>
          </w:p>
        </w:tc>
        <w:tc>
          <w:tcPr>
            <w:tcW w:w="22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Other consumer.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3.2%</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1,671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3"/>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Construction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22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4.1%</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1,061</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0"/>
        </w:trPr>
        <w:tc>
          <w:tcPr>
            <w:tcW w:w="4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5"/>
        </w:trPr>
        <w:tc>
          <w:tcPr>
            <w:tcW w:w="47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Total allowance for loan losses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39,288</w:t>
            </w:r>
          </w:p>
        </w:tc>
        <w:tc>
          <w:tcPr>
            <w:tcW w:w="26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8"/>
              </w:rPr>
              <w:t xml:space="preserve">100.0% </w:t>
            </w: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42,098</w:t>
            </w:r>
          </w:p>
        </w:tc>
        <w:tc>
          <w:tcPr>
            <w:tcW w:w="220" w:type="dxa"/>
            <w:vAlign w:val="bottom"/>
          </w:tcPr>
          <w:p>
            <w:pPr>
              <w:spacing w:after="0"/>
              <w:rPr>
                <w:sz w:val="23"/>
                <w:szCs w:val="23"/>
                <w:color w:val="auto"/>
              </w:rPr>
            </w:pPr>
          </w:p>
        </w:tc>
        <w:tc>
          <w:tcPr>
            <w:tcW w:w="1580" w:type="dxa"/>
            <w:vAlign w:val="bottom"/>
            <w:gridSpan w:val="6"/>
          </w:tcPr>
          <w:p>
            <w:pPr>
              <w:jc w:val="right"/>
              <w:ind w:right="220"/>
              <w:spacing w:after="0"/>
              <w:rPr>
                <w:sz w:val="20"/>
                <w:szCs w:val="20"/>
                <w:color w:val="auto"/>
              </w:rPr>
            </w:pPr>
            <w:r>
              <w:rPr>
                <w:rFonts w:ascii="Times New Roman" w:cs="Times New Roman" w:eastAsia="Times New Roman" w:hAnsi="Times New Roman"/>
                <w:sz w:val="20"/>
                <w:szCs w:val="20"/>
                <w:color w:val="auto"/>
              </w:rPr>
              <w:t xml:space="preserve">100.0%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45,553</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4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460"/>
          </w:cols>
          <w:pgMar w:left="1400" w:top="987" w:right="1207" w:bottom="20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62</w:t>
      </w:r>
    </w:p>
    <w:p>
      <w:pPr>
        <w:sectPr>
          <w:pgSz w:w="12060" w:h="15667" w:orient="portrait"/>
          <w:cols w:equalWidth="0" w:num="1">
            <w:col w:w="9460"/>
          </w:cols>
          <w:pgMar w:left="1400" w:top="987" w:right="1207" w:bottom="204"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Asset Quality</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2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38"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Nonperforming loans include nonaccrual loans and loans past due 90 days or more. Nonperforming assets consist of nonperforming loans plus OREO.</w:t>
      </w:r>
    </w:p>
    <w:p>
      <w:pPr>
        <w:spacing w:after="0" w:line="13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At December 31, 2022, our total nonaccrual loans were $5.8 million, or 0.21% of total loans held for investment, as compared to $9.5 million, or 0.39% of total loans held for investment, at December 31, 2021. These loans were reviewed for impairment and specific valuation allowances were established as necessary and included in the allowance for loan losses as of December 31, 2022 to cover any probable loss. The decrease in the year ended December 31, 2022 was primarily due to eleven loans totaling $4.3 million that were removed from nonaccrual status during the second and third quarters of 2022. This was a result of principal paydowns, improved cash flow, and continued sustained payment performance.</w:t>
      </w:r>
    </w:p>
    <w:p>
      <w:pPr>
        <w:spacing w:after="0" w:line="13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Loans past due 90 days or more were $2.0 million at December 31, 2022 and $1.1 million at December 31, 2021. The increase of $0.9 million at year-end 2022 was primarily comprised of an additional $750 thousand of delinquent residential mortgage loans. Total nonperforming loans were $7.8 million at December 31, 2022 and $10.6 million at December 31, 2021.</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22"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63</w:t>
      </w:r>
    </w:p>
    <w:p>
      <w:pPr>
        <w:sectPr>
          <w:pgSz w:w="12060" w:h="15667" w:orient="portrait"/>
          <w:cols w:equalWidth="0" w:num="1">
            <w:col w:w="9227"/>
          </w:cols>
          <w:pgMar w:left="1400" w:top="900" w:right="1440" w:bottom="203" w:gutter="0" w:footer="0" w:header="0"/>
          <w:type w:val="continuous"/>
        </w:sectPr>
      </w:pPr>
    </w:p>
    <w:bookmarkStart w:id="76" w:name="page77"/>
    <w:bookmarkEnd w:id="76"/>
    <w:p>
      <w:pPr>
        <w:jc w:val="both"/>
        <w:ind w:right="20"/>
        <w:spacing w:after="0"/>
        <w:rPr>
          <w:sz w:val="20"/>
          <w:szCs w:val="20"/>
          <w:color w:val="auto"/>
        </w:rPr>
      </w:pPr>
      <w:r>
        <w:rPr>
          <w:rFonts w:ascii="Times New Roman" w:cs="Times New Roman" w:eastAsia="Times New Roman" w:hAnsi="Times New Roman"/>
          <w:sz w:val="20"/>
          <w:szCs w:val="20"/>
          <w:color w:val="auto"/>
        </w:rPr>
        <w:t>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38" w:lineRule="exact"/>
        <w:rPr>
          <w:sz w:val="20"/>
          <w:szCs w:val="20"/>
          <w:color w:val="auto"/>
        </w:rPr>
      </w:pPr>
    </w:p>
    <w:p>
      <w:pPr>
        <w:jc w:val="both"/>
        <w:ind w:right="20" w:firstLine="394"/>
        <w:spacing w:after="0" w:line="237" w:lineRule="auto"/>
        <w:rPr>
          <w:sz w:val="20"/>
          <w:szCs w:val="20"/>
          <w:color w:val="auto"/>
        </w:rPr>
      </w:pPr>
      <w:r>
        <w:rPr>
          <w:rFonts w:ascii="Times New Roman" w:cs="Times New Roman" w:eastAsia="Times New Roman" w:hAnsi="Times New Roman"/>
          <w:sz w:val="20"/>
          <w:szCs w:val="20"/>
          <w:color w:val="auto"/>
        </w:rPr>
        <w:t>We had no loans restructured as TDRs during 2022, 2021, or 2020. TDRs are excluded from our nonperforming loans unless they otherwise meet the definition of nonaccrual loans or past due 90 days or more.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Portfolio</w:t>
      </w:r>
    </w:p>
    <w:p>
      <w:pPr>
        <w:spacing w:after="0" w:line="117" w:lineRule="exact"/>
        <w:rPr>
          <w:sz w:val="20"/>
          <w:szCs w:val="20"/>
          <w:color w:val="auto"/>
        </w:rPr>
      </w:pPr>
    </w:p>
    <w:p>
      <w:pPr>
        <w:jc w:val="both"/>
        <w:ind w:right="20" w:firstLine="394"/>
        <w:spacing w:after="0" w:line="245" w:lineRule="auto"/>
        <w:rPr>
          <w:sz w:val="20"/>
          <w:szCs w:val="20"/>
          <w:color w:val="auto"/>
        </w:rPr>
      </w:pPr>
      <w:r>
        <w:rPr>
          <w:rFonts w:ascii="Times New Roman" w:cs="Times New Roman" w:eastAsia="Times New Roman" w:hAnsi="Times New Roman"/>
          <w:sz w:val="20"/>
          <w:szCs w:val="20"/>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34"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22" w:lineRule="exact"/>
        <w:rPr>
          <w:sz w:val="20"/>
          <w:szCs w:val="20"/>
          <w:color w:val="auto"/>
        </w:rPr>
      </w:pPr>
    </w:p>
    <w:p>
      <w:pPr>
        <w:jc w:val="both"/>
        <w:ind w:right="20" w:firstLine="394"/>
        <w:spacing w:after="0" w:line="242" w:lineRule="auto"/>
        <w:rPr>
          <w:sz w:val="20"/>
          <w:szCs w:val="20"/>
          <w:color w:val="auto"/>
        </w:rPr>
      </w:pPr>
      <w:r>
        <w:rPr>
          <w:rFonts w:ascii="Times New Roman" w:cs="Times New Roman" w:eastAsia="Times New Roman" w:hAnsi="Times New Roman"/>
          <w:sz w:val="20"/>
          <w:szCs w:val="20"/>
          <w:color w:val="auto"/>
        </w:rPr>
        <w:t>Total securities at December 31, 2022 were $701.7 million, representing an decrease of $22.8 million, or 3.1%, compared to $724.5 million at December 31, 2021. The decrease was primarily due to a $114.4 million decline in the unrealized gain on available for sale securities and $81.3 million in maturities, prepayments, and calls, partially offset by $176.7 million in purchases at December 31, 2022 compared to December 31, 2021.</w:t>
      </w:r>
    </w:p>
    <w:p>
      <w:pPr>
        <w:spacing w:after="0" w:line="137"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9"/>
          <w:szCs w:val="19"/>
          <w:color w:val="auto"/>
        </w:rPr>
        <w:t>Certain securities have fair values less than amortized cost and, therefore, contain unrealized losses. During the year ended December 31, 2022, the fair value of the Company’s available for sale securities declined by $114.4 million as a result of the significant increase in market interest rates during 2022, which was attributed to the FOMC repeatedly raising their target benchmark interest rate, as previously noted. At December 31, 2022,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24" w:lineRule="exact"/>
        <w:rPr>
          <w:sz w:val="20"/>
          <w:szCs w:val="20"/>
          <w:color w:val="auto"/>
        </w:rPr>
      </w:pPr>
    </w:p>
    <w:p>
      <w:pPr>
        <w:jc w:val="both"/>
        <w:ind w:right="20" w:firstLine="394"/>
        <w:spacing w:after="0"/>
        <w:rPr>
          <w:sz w:val="20"/>
          <w:szCs w:val="20"/>
          <w:color w:val="auto"/>
        </w:rPr>
      </w:pPr>
      <w:r>
        <w:rPr>
          <w:rFonts w:ascii="Times New Roman" w:cs="Times New Roman" w:eastAsia="Times New Roman" w:hAnsi="Times New Roman"/>
          <w:sz w:val="20"/>
          <w:szCs w:val="20"/>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1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Due in</w:t>
            </w:r>
          </w:p>
        </w:tc>
        <w:tc>
          <w:tcPr>
            <w:tcW w:w="40" w:type="dxa"/>
            <w:vAlign w:val="bottom"/>
          </w:tcPr>
          <w:p>
            <w:pPr>
              <w:spacing w:after="0"/>
              <w:rPr>
                <w:sz w:val="17"/>
                <w:szCs w:val="17"/>
                <w:color w:val="auto"/>
              </w:rPr>
            </w:pPr>
          </w:p>
        </w:tc>
        <w:tc>
          <w:tcPr>
            <w:tcW w:w="14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Due after One Year</w:t>
            </w:r>
          </w:p>
        </w:tc>
        <w:tc>
          <w:tcPr>
            <w:tcW w:w="154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Due after Five Years</w:t>
            </w:r>
          </w:p>
        </w:tc>
        <w:tc>
          <w:tcPr>
            <w:tcW w:w="148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Due after</w:t>
            </w:r>
          </w:p>
        </w:tc>
      </w:tr>
      <w:tr>
        <w:trPr>
          <w:trHeight w:val="183"/>
        </w:trPr>
        <w:tc>
          <w:tcPr>
            <w:tcW w:w="3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8"/>
              </w:rPr>
              <w:t>One Year or Less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Through Five Years</w:t>
            </w:r>
          </w:p>
        </w:tc>
        <w:tc>
          <w:tcPr>
            <w:tcW w:w="80" w:type="dxa"/>
            <w:vAlign w:val="bottom"/>
          </w:tcPr>
          <w:p>
            <w:pPr>
              <w:spacing w:after="0"/>
              <w:rPr>
                <w:sz w:val="15"/>
                <w:szCs w:val="15"/>
                <w:color w:val="auto"/>
              </w:rPr>
            </w:pPr>
          </w:p>
        </w:tc>
        <w:tc>
          <w:tcPr>
            <w:tcW w:w="1460" w:type="dxa"/>
            <w:vAlign w:val="bottom"/>
            <w:tcBorders>
              <w:bottom w:val="single" w:sz="8" w:color="auto"/>
            </w:tcBorders>
            <w:gridSpan w:val="7"/>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Through Ten Years</w:t>
            </w:r>
          </w:p>
        </w:tc>
        <w:tc>
          <w:tcPr>
            <w:tcW w:w="80" w:type="dxa"/>
            <w:vAlign w:val="bottom"/>
          </w:tcPr>
          <w:p>
            <w:pPr>
              <w:spacing w:after="0"/>
              <w:rPr>
                <w:sz w:val="15"/>
                <w:szCs w:val="15"/>
                <w:color w:val="auto"/>
              </w:rPr>
            </w:pPr>
          </w:p>
        </w:tc>
        <w:tc>
          <w:tcPr>
            <w:tcW w:w="1460" w:type="dxa"/>
            <w:vAlign w:val="bottom"/>
            <w:tcBorders>
              <w:bottom w:val="single" w:sz="8" w:color="auto"/>
            </w:tcBorders>
            <w:gridSpan w:val="5"/>
          </w:tcPr>
          <w:p>
            <w:pPr>
              <w:jc w:val="right"/>
              <w:ind w:right="380"/>
              <w:spacing w:after="0" w:line="181" w:lineRule="exact"/>
              <w:rPr>
                <w:sz w:val="20"/>
                <w:szCs w:val="20"/>
                <w:color w:val="auto"/>
              </w:rPr>
            </w:pPr>
            <w:r>
              <w:rPr>
                <w:rFonts w:ascii="Times New Roman" w:cs="Times New Roman" w:eastAsia="Times New Roman" w:hAnsi="Times New Roman"/>
                <w:sz w:val="16"/>
                <w:szCs w:val="16"/>
                <w:b w:val="1"/>
                <w:bCs w:val="1"/>
                <w:color w:val="auto"/>
              </w:rPr>
              <w:t>Ten Years</w:t>
            </w:r>
          </w:p>
        </w:tc>
        <w:tc>
          <w:tcPr>
            <w:tcW w:w="2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77"/>
        </w:trPr>
        <w:tc>
          <w:tcPr>
            <w:tcW w:w="3160" w:type="dxa"/>
            <w:vAlign w:val="bottom"/>
          </w:tcPr>
          <w:p>
            <w:pPr>
              <w:spacing w:after="0"/>
              <w:rPr>
                <w:sz w:val="15"/>
                <w:szCs w:val="15"/>
                <w:color w:val="auto"/>
              </w:rPr>
            </w:pPr>
          </w:p>
        </w:tc>
        <w:tc>
          <w:tcPr>
            <w:tcW w:w="800" w:type="dxa"/>
            <w:vAlign w:val="bottom"/>
            <w:gridSpan w:val="4"/>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740" w:type="dxa"/>
            <w:vAlign w:val="bottom"/>
            <w:gridSpan w:val="4"/>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4540" w:type="dxa"/>
            <w:vAlign w:val="bottom"/>
            <w:gridSpan w:val="22"/>
          </w:tcPr>
          <w:p>
            <w:pPr>
              <w:jc w:val="center"/>
              <w:ind w:right="60"/>
              <w:spacing w:after="0" w:line="178" w:lineRule="exact"/>
              <w:rPr>
                <w:sz w:val="20"/>
                <w:szCs w:val="20"/>
                <w:color w:val="auto"/>
              </w:rPr>
            </w:pPr>
            <w:r>
              <w:rPr>
                <w:rFonts w:ascii="Times New Roman" w:cs="Times New Roman" w:eastAsia="Times New Roman" w:hAnsi="Times New Roman"/>
                <w:sz w:val="16"/>
                <w:szCs w:val="16"/>
                <w:b w:val="1"/>
                <w:bCs w:val="1"/>
                <w:color w:val="auto"/>
              </w:rPr>
              <w:t>Amortized  Average  Amortized  Average  Amortized  Average</w:t>
            </w:r>
          </w:p>
        </w:tc>
      </w:tr>
      <w:tr>
        <w:trPr>
          <w:trHeight w:val="183"/>
        </w:trPr>
        <w:tc>
          <w:tcPr>
            <w:tcW w:w="3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6"/>
              </w:rPr>
              <w:t>Cost</w:t>
            </w:r>
          </w:p>
        </w:tc>
        <w:tc>
          <w:tcPr>
            <w:tcW w:w="80" w:type="dxa"/>
            <w:vAlign w:val="bottom"/>
          </w:tcPr>
          <w:p>
            <w:pPr>
              <w:spacing w:after="0"/>
              <w:rPr>
                <w:sz w:val="15"/>
                <w:szCs w:val="15"/>
                <w:color w:val="auto"/>
              </w:rPr>
            </w:pPr>
          </w:p>
        </w:tc>
        <w:tc>
          <w:tcPr>
            <w:tcW w:w="64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Yield</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5"/>
                <w:szCs w:val="15"/>
                <w:color w:val="auto"/>
              </w:rPr>
            </w:pPr>
          </w:p>
        </w:tc>
        <w:tc>
          <w:tcPr>
            <w:tcW w:w="640" w:type="dxa"/>
            <w:vAlign w:val="bottom"/>
            <w:tcBorders>
              <w:bottom w:val="single" w:sz="8" w:color="auto"/>
            </w:tcBorders>
            <w:gridSpan w:val="3"/>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Yield</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4"/>
              <w:spacing w:after="0" w:line="181" w:lineRule="exact"/>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Yield</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30"/>
              <w:spacing w:after="0" w:line="181" w:lineRule="exact"/>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5"/>
                <w:szCs w:val="15"/>
                <w:color w:val="auto"/>
              </w:rPr>
            </w:pPr>
          </w:p>
        </w:tc>
        <w:tc>
          <w:tcPr>
            <w:tcW w:w="640" w:type="dxa"/>
            <w:vAlign w:val="bottom"/>
            <w:tcBorders>
              <w:bottom w:val="single" w:sz="8" w:color="auto"/>
            </w:tcBorders>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Yield</w:t>
            </w:r>
          </w:p>
        </w:tc>
        <w:tc>
          <w:tcPr>
            <w:tcW w:w="20" w:type="dxa"/>
            <w:vAlign w:val="bottom"/>
          </w:tcPr>
          <w:p>
            <w:pPr>
              <w:spacing w:after="0"/>
              <w:rPr>
                <w:sz w:val="15"/>
                <w:szCs w:val="15"/>
                <w:color w:val="auto"/>
              </w:rPr>
            </w:pPr>
          </w:p>
        </w:tc>
      </w:tr>
      <w:tr>
        <w:trPr>
          <w:trHeight w:val="199"/>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9"/>
        </w:trPr>
        <w:tc>
          <w:tcPr>
            <w:tcW w:w="3160" w:type="dxa"/>
            <w:vAlign w:val="bottom"/>
          </w:tcPr>
          <w:p>
            <w:pPr>
              <w:jc w:val="right"/>
              <w:ind w:right="1581"/>
              <w:spacing w:after="0"/>
              <w:rPr>
                <w:sz w:val="20"/>
                <w:szCs w:val="20"/>
                <w:color w:val="auto"/>
              </w:rPr>
            </w:pPr>
            <w:r>
              <w:rPr>
                <w:rFonts w:ascii="Times New Roman" w:cs="Times New Roman" w:eastAsia="Times New Roman" w:hAnsi="Times New Roman"/>
                <w:sz w:val="20"/>
                <w:szCs w:val="20"/>
                <w:b w:val="1"/>
                <w:bCs w:val="1"/>
                <w:color w:val="auto"/>
                <w:w w:val="95"/>
              </w:rPr>
              <w:t>Available-for-sale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 and municipal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3.43%</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$ 8,663</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2.17%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7,508</w:t>
            </w:r>
          </w:p>
        </w:tc>
        <w:tc>
          <w:tcPr>
            <w:tcW w:w="40" w:type="dxa"/>
            <w:vAlign w:val="bottom"/>
          </w:tcPr>
          <w:p>
            <w:pPr>
              <w:spacing w:after="0"/>
              <w:rPr>
                <w:sz w:val="20"/>
                <w:szCs w:val="20"/>
                <w:color w:val="auto"/>
              </w:rPr>
            </w:pP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2.22% $241,360</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41"/>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Mortgage-backed securities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1.90%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3,037</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53,154</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2.23%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379,750</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2.22%</w:t>
            </w:r>
          </w:p>
        </w:tc>
      </w:tr>
      <w:tr>
        <w:trPr>
          <w:trHeight w:val="241"/>
        </w:trPr>
        <w:tc>
          <w:tcPr>
            <w:tcW w:w="3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Collateralized mortgage</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obligations . . . . . . . . . . . . . . . . . .</w:t>
            </w: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76,189</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4.89%</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3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Asset-backed and other amortizing</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securities. . . . . . . . . . . . . . . . . . . .</w:t>
            </w:r>
          </w:p>
        </w:tc>
        <w:tc>
          <w:tcPr>
            <w:tcW w:w="10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1,689</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2.93%</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19,218</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2.81%</w:t>
            </w:r>
          </w:p>
        </w:tc>
      </w:tr>
      <w:tr>
        <w:trPr>
          <w:trHeight w:val="239"/>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securities . . . . . . . . . . . . . . . .</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12,000</w:t>
            </w: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4.47%</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1"/>
        </w:trPr>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available-for-sale.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1,901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3.43%</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11,700</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xml:space="preserve">2.09% </w:t>
            </w:r>
            <w:r>
              <w:rPr>
                <w:rFonts w:ascii="Times New Roman" w:cs="Times New Roman" w:eastAsia="Times New Roman" w:hAnsi="Times New Roman"/>
                <w:sz w:val="20"/>
                <w:szCs w:val="20"/>
                <w:u w:val="single" w:color="auto"/>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5"/>
              </w:rPr>
              <w:t>150,540</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 xml:space="preserve">3.76%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640,328</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240"/>
          </w:cols>
          <w:pgMar w:left="1400" w:top="912" w:right="1427" w:bottom="204"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060" w:h="15667" w:orient="portrait"/>
          <w:cols w:equalWidth="0" w:num="1">
            <w:col w:w="9240"/>
          </w:cols>
          <w:pgMar w:left="1400" w:top="912" w:right="1427" w:bottom="204"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Deposits</w:t>
      </w:r>
    </w:p>
    <w:p>
      <w:pPr>
        <w:spacing w:after="0" w:line="127" w:lineRule="exact"/>
        <w:rPr>
          <w:sz w:val="20"/>
          <w:szCs w:val="20"/>
          <w:color w:val="auto"/>
        </w:rPr>
      </w:pPr>
    </w:p>
    <w:p>
      <w:pPr>
        <w:jc w:val="both"/>
        <w:ind w:right="20" w:firstLine="394"/>
        <w:spacing w:after="0" w:line="270" w:lineRule="auto"/>
        <w:rPr>
          <w:sz w:val="20"/>
          <w:szCs w:val="20"/>
          <w:color w:val="auto"/>
        </w:rPr>
      </w:pPr>
      <w:r>
        <w:rPr>
          <w:rFonts w:ascii="Times New Roman" w:cs="Times New Roman" w:eastAsia="Times New Roman" w:hAnsi="Times New Roman"/>
          <w:sz w:val="19"/>
          <w:szCs w:val="19"/>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20" w:lineRule="exact"/>
        <w:rPr>
          <w:sz w:val="20"/>
          <w:szCs w:val="20"/>
          <w:color w:val="auto"/>
        </w:rPr>
      </w:pPr>
    </w:p>
    <w:p>
      <w:pPr>
        <w:jc w:val="both"/>
        <w:ind w:right="20" w:firstLine="394"/>
        <w:spacing w:after="0" w:line="254" w:lineRule="auto"/>
        <w:rPr>
          <w:sz w:val="20"/>
          <w:szCs w:val="20"/>
          <w:color w:val="auto"/>
        </w:rPr>
      </w:pPr>
      <w:r>
        <w:rPr>
          <w:rFonts w:ascii="Times New Roman" w:cs="Times New Roman" w:eastAsia="Times New Roman" w:hAnsi="Times New Roman"/>
          <w:sz w:val="20"/>
          <w:szCs w:val="20"/>
          <w:color w:val="auto"/>
        </w:rPr>
        <w:t>Total deposits at December 31, 2022 were $3.41 billion, representing an increase of $65.2 million, or 2.0%, compared to $3.34 billion at December 31, 2021. The increase in total deposits since December 31, 2021 was primarily due to organic growth and customers maintaining higher balances. Deposit balances peaked in the third quarter of 2022 and then declined $54.1 million in the fourth quarter of 2022 principally as the result of increased competition for deposits amid overall deposit outflows in the United States banking system. As of December 31, 2022, 33.8% of total deposits were comprised of noninterest-bearing demand accounts, 57.8% of interest-bearing non-maturity accounts and 8.4% of time deposits.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shows the deposit mix as of the dates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8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16"/>
                <w:szCs w:val="16"/>
                <w:color w:val="auto"/>
              </w:rPr>
            </w:pPr>
          </w:p>
        </w:tc>
      </w:tr>
      <w:tr>
        <w:trPr>
          <w:trHeight w:val="212"/>
        </w:trPr>
        <w:tc>
          <w:tcPr>
            <w:tcW w:w="5400" w:type="dxa"/>
            <w:vAlign w:val="bottom"/>
          </w:tcPr>
          <w:p>
            <w:pPr>
              <w:spacing w:after="0"/>
              <w:rPr>
                <w:sz w:val="18"/>
                <w:szCs w:val="18"/>
                <w:color w:val="auto"/>
              </w:rPr>
            </w:pPr>
          </w:p>
        </w:tc>
        <w:tc>
          <w:tcPr>
            <w:tcW w:w="88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
        </w:trPr>
        <w:tc>
          <w:tcPr>
            <w:tcW w:w="5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9"/>
        </w:trPr>
        <w:tc>
          <w:tcPr>
            <w:tcW w:w="5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8"/>
              </w:rPr>
              <w:t>Noninterest-bearing deposits.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$1,150,488</w:t>
            </w:r>
          </w:p>
        </w:tc>
        <w:tc>
          <w:tcPr>
            <w:tcW w:w="10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$1,071,367</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51"/>
        </w:trPr>
        <w:tc>
          <w:tcPr>
            <w:tcW w:w="5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NOW and other transaction accounts.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350,910</w:t>
            </w:r>
          </w:p>
        </w:tc>
        <w:tc>
          <w:tcPr>
            <w:tcW w:w="10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395,322</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51"/>
        </w:trPr>
        <w:tc>
          <w:tcPr>
            <w:tcW w:w="5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Money market and other savings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1,618,833</w:t>
            </w:r>
          </w:p>
        </w:tc>
        <w:tc>
          <w:tcPr>
            <w:tcW w:w="10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1,534,795</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249"/>
        </w:trPr>
        <w:tc>
          <w:tcPr>
            <w:tcW w:w="5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Time deposits . . . . . .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286,199</w:t>
            </w:r>
          </w:p>
        </w:tc>
        <w:tc>
          <w:tcPr>
            <w:tcW w:w="340" w:type="dxa"/>
            <w:vAlign w:val="bottom"/>
            <w:gridSpan w:val="2"/>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339,738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0"/>
        </w:trPr>
        <w:tc>
          <w:tcPr>
            <w:tcW w:w="5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80"/>
        </w:trPr>
        <w:tc>
          <w:tcPr>
            <w:tcW w:w="5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deposits . . . . .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3,406,430</w:t>
            </w:r>
          </w:p>
        </w:tc>
        <w:tc>
          <w:tcPr>
            <w:tcW w:w="340" w:type="dxa"/>
            <w:vAlign w:val="bottom"/>
            <w:gridSpan w:val="2"/>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w w:val="97"/>
              </w:rPr>
              <w:t>100.0%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3,341,222</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0"/>
        </w:trPr>
        <w:tc>
          <w:tcPr>
            <w:tcW w:w="5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The following table summarizes our average deposit balances and weighted average rates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3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77"/>
        </w:trPr>
        <w:tc>
          <w:tcPr>
            <w:tcW w:w="3740" w:type="dxa"/>
            <w:vAlign w:val="bottom"/>
          </w:tcPr>
          <w:p>
            <w:pPr>
              <w:spacing w:after="0"/>
              <w:rPr>
                <w:sz w:val="15"/>
                <w:szCs w:val="15"/>
                <w:color w:val="auto"/>
              </w:rPr>
            </w:pPr>
          </w:p>
        </w:tc>
        <w:tc>
          <w:tcPr>
            <w:tcW w:w="106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740" w:type="dxa"/>
            <w:vAlign w:val="bottom"/>
            <w:gridSpan w:val="4"/>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5"/>
                <w:szCs w:val="15"/>
                <w:color w:val="auto"/>
              </w:rPr>
            </w:pPr>
          </w:p>
        </w:tc>
        <w:tc>
          <w:tcPr>
            <w:tcW w:w="1080" w:type="dxa"/>
            <w:vAlign w:val="bottom"/>
            <w:gridSpan w:val="2"/>
          </w:tcPr>
          <w:p>
            <w:pPr>
              <w:ind w:left="180"/>
              <w:spacing w:after="0" w:line="17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740" w:type="dxa"/>
            <w:vAlign w:val="bottom"/>
            <w:gridSpan w:val="4"/>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5"/>
                <w:szCs w:val="15"/>
                <w:color w:val="auto"/>
              </w:rPr>
            </w:pPr>
          </w:p>
        </w:tc>
        <w:tc>
          <w:tcPr>
            <w:tcW w:w="660" w:type="dxa"/>
            <w:vAlign w:val="bottom"/>
            <w:gridSpan w:val="4"/>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3"/>
        </w:trPr>
        <w:tc>
          <w:tcPr>
            <w:tcW w:w="3740" w:type="dxa"/>
            <w:vAlign w:val="bottom"/>
          </w:tcPr>
          <w:p>
            <w:pPr>
              <w:spacing w:after="0"/>
              <w:rPr>
                <w:sz w:val="15"/>
                <w:szCs w:val="15"/>
                <w:color w:val="auto"/>
              </w:rPr>
            </w:pPr>
          </w:p>
        </w:tc>
        <w:tc>
          <w:tcPr>
            <w:tcW w:w="880" w:type="dxa"/>
            <w:vAlign w:val="bottom"/>
            <w:tcBorders>
              <w:bottom w:val="single" w:sz="8" w:color="auto"/>
            </w:tcBorders>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7"/>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3"/>
              </w:rPr>
              <w:t>Rate</w:t>
            </w:r>
          </w:p>
        </w:tc>
        <w:tc>
          <w:tcPr>
            <w:tcW w:w="20" w:type="dxa"/>
            <w:vAlign w:val="bottom"/>
          </w:tcPr>
          <w:p>
            <w:pPr>
              <w:spacing w:after="0"/>
              <w:rPr>
                <w:sz w:val="15"/>
                <w:szCs w:val="15"/>
                <w:color w:val="auto"/>
              </w:rPr>
            </w:pPr>
          </w:p>
        </w:tc>
      </w:tr>
      <w:tr>
        <w:trPr>
          <w:trHeight w:val="209"/>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9"/>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Noninterest-bearing deposits . . . . . . . . . . .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5"/>
              </w:rPr>
              <w:t>$1,189,730</w:t>
            </w:r>
          </w:p>
        </w:tc>
        <w:tc>
          <w:tcPr>
            <w:tcW w:w="16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$1,016,835</w:t>
            </w:r>
          </w:p>
        </w:tc>
        <w:tc>
          <w:tcPr>
            <w:tcW w:w="140" w:type="dxa"/>
            <w:vAlign w:val="bottom"/>
          </w:tcPr>
          <w:p>
            <w:pPr>
              <w:spacing w:after="0"/>
              <w:rPr>
                <w:sz w:val="24"/>
                <w:szCs w:val="24"/>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888,653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1"/>
        </w:trPr>
        <w:tc>
          <w:tcPr>
            <w:tcW w:w="374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w w:val="98"/>
              </w:rPr>
              <w:t>Interest-bearing deposits:</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374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NOW and interest-bearing demand</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accounts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352,791</w:t>
            </w:r>
          </w:p>
        </w:tc>
        <w:tc>
          <w:tcPr>
            <w:tcW w:w="1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355,274</w:t>
            </w:r>
          </w:p>
        </w:tc>
        <w:tc>
          <w:tcPr>
            <w:tcW w:w="1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329,431</w:t>
            </w:r>
          </w:p>
        </w:tc>
        <w:tc>
          <w:tcPr>
            <w:tcW w:w="160" w:type="dxa"/>
            <w:vAlign w:val="bottom"/>
          </w:tcPr>
          <w:p>
            <w:pPr>
              <w:spacing w:after="0"/>
              <w:rPr>
                <w:sz w:val="20"/>
                <w:szCs w:val="20"/>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0.13%</w:t>
            </w:r>
          </w:p>
        </w:tc>
      </w:tr>
      <w:tr>
        <w:trPr>
          <w:trHeight w:val="251"/>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Savings accounts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151,128</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132,426</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113,681</w:t>
            </w:r>
          </w:p>
        </w:tc>
        <w:tc>
          <w:tcPr>
            <w:tcW w:w="16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0.09%</w:t>
            </w:r>
          </w:p>
        </w:tc>
      </w:tr>
      <w:tr>
        <w:trPr>
          <w:trHeight w:val="251"/>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Money market accounts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1,385,969</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1,353,978</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1,209,976</w:t>
            </w:r>
          </w:p>
        </w:tc>
        <w:tc>
          <w:tcPr>
            <w:tcW w:w="16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0.48%</w:t>
            </w:r>
          </w:p>
        </w:tc>
      </w:tr>
      <w:tr>
        <w:trPr>
          <w:trHeight w:val="249"/>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Time deposits.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327,289</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329,509</w:t>
            </w:r>
          </w:p>
        </w:tc>
        <w:tc>
          <w:tcPr>
            <w:tcW w:w="180" w:type="dxa"/>
            <w:vAlign w:val="bottom"/>
          </w:tcPr>
          <w:p>
            <w:pPr>
              <w:spacing w:after="0"/>
              <w:rPr>
                <w:sz w:val="21"/>
                <w:szCs w:val="21"/>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331,623</w:t>
            </w:r>
          </w:p>
        </w:tc>
        <w:tc>
          <w:tcPr>
            <w:tcW w:w="16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20"/>
        </w:trPr>
        <w:tc>
          <w:tcPr>
            <w:tcW w:w="3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81"/>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Total interest-bearing deposits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2,217,177</w:t>
            </w:r>
          </w:p>
        </w:tc>
        <w:tc>
          <w:tcPr>
            <w:tcW w:w="18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2,171,187</w:t>
            </w:r>
          </w:p>
        </w:tc>
        <w:tc>
          <w:tcPr>
            <w:tcW w:w="18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1,984,711</w:t>
            </w:r>
          </w:p>
        </w:tc>
        <w:tc>
          <w:tcPr>
            <w:tcW w:w="16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0.60%</w:t>
            </w:r>
          </w:p>
        </w:tc>
      </w:tr>
      <w:tr>
        <w:trPr>
          <w:trHeight w:val="20"/>
        </w:trPr>
        <w:tc>
          <w:tcPr>
            <w:tcW w:w="3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81"/>
        </w:trPr>
        <w:tc>
          <w:tcPr>
            <w:tcW w:w="37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Total deposits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3,406,907</w:t>
            </w:r>
          </w:p>
        </w:tc>
        <w:tc>
          <w:tcPr>
            <w:tcW w:w="18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3,188,022</w:t>
            </w:r>
          </w:p>
        </w:tc>
        <w:tc>
          <w:tcPr>
            <w:tcW w:w="18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0.26%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2,873,364</w:t>
            </w:r>
          </w:p>
        </w:tc>
        <w:tc>
          <w:tcPr>
            <w:tcW w:w="16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0.41%</w:t>
            </w:r>
          </w:p>
        </w:tc>
      </w:tr>
      <w:tr>
        <w:trPr>
          <w:trHeight w:val="20"/>
        </w:trPr>
        <w:tc>
          <w:tcPr>
            <w:tcW w:w="3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The scheduled maturities of uninsured certificates of deposits or other time deposits as of December 31, 2022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w:t>
            </w:r>
          </w:p>
        </w:tc>
        <w:tc>
          <w:tcPr>
            <w:tcW w:w="34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Three to</w:t>
            </w:r>
          </w:p>
        </w:tc>
        <w:tc>
          <w:tcPr>
            <w:tcW w:w="16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to 12</w:t>
            </w:r>
          </w:p>
        </w:tc>
        <w:tc>
          <w:tcPr>
            <w:tcW w:w="1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After 12</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3"/>
        </w:trPr>
        <w:tc>
          <w:tcPr>
            <w:tcW w:w="426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Months</w:t>
            </w:r>
          </w:p>
        </w:tc>
        <w:tc>
          <w:tcPr>
            <w:tcW w:w="34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Six Months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Months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Months</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86"/>
        </w:trPr>
        <w:tc>
          <w:tcPr>
            <w:tcW w:w="4260" w:type="dxa"/>
            <w:vAlign w:val="bottom"/>
          </w:tcPr>
          <w:p>
            <w:pPr>
              <w:spacing w:after="0"/>
              <w:rPr>
                <w:sz w:val="24"/>
                <w:szCs w:val="24"/>
                <w:color w:val="auto"/>
              </w:rPr>
            </w:pPr>
          </w:p>
        </w:tc>
        <w:tc>
          <w:tcPr>
            <w:tcW w:w="960" w:type="dxa"/>
            <w:vAlign w:val="bottom"/>
            <w:gridSpan w:val="2"/>
          </w:tcPr>
          <w:p>
            <w:pPr>
              <w:jc w:val="center"/>
              <w:ind w:left="221"/>
              <w:spacing w:after="0"/>
              <w:rPr>
                <w:sz w:val="20"/>
                <w:szCs w:val="20"/>
                <w:color w:val="auto"/>
              </w:rPr>
            </w:pPr>
            <w:r>
              <w:rPr>
                <w:rFonts w:ascii="Times New Roman" w:cs="Times New Roman" w:eastAsia="Times New Roman" w:hAnsi="Times New Roman"/>
                <w:sz w:val="20"/>
                <w:szCs w:val="20"/>
                <w:color w:val="auto"/>
                <w:w w:val="98"/>
              </w:rPr>
              <w:t>$30,752</w:t>
            </w:r>
          </w:p>
        </w:tc>
        <w:tc>
          <w:tcPr>
            <w:tcW w:w="1120" w:type="dxa"/>
            <w:vAlign w:val="bottom"/>
            <w:gridSpan w:val="2"/>
          </w:tcPr>
          <w:p>
            <w:pPr>
              <w:jc w:val="center"/>
              <w:ind w:left="241"/>
              <w:spacing w:after="0"/>
              <w:rPr>
                <w:sz w:val="20"/>
                <w:szCs w:val="20"/>
                <w:color w:val="auto"/>
              </w:rPr>
            </w:pPr>
            <w:r>
              <w:rPr>
                <w:rFonts w:ascii="Times New Roman" w:cs="Times New Roman" w:eastAsia="Times New Roman" w:hAnsi="Times New Roman"/>
                <w:sz w:val="20"/>
                <w:szCs w:val="20"/>
                <w:color w:val="auto"/>
                <w:w w:val="98"/>
              </w:rPr>
              <w:t>$5,572</w:t>
            </w:r>
          </w:p>
        </w:tc>
        <w:tc>
          <w:tcPr>
            <w:tcW w:w="160" w:type="dxa"/>
            <w:vAlign w:val="bottom"/>
          </w:tcPr>
          <w:p>
            <w:pPr>
              <w:spacing w:after="0"/>
              <w:rPr>
                <w:sz w:val="24"/>
                <w:szCs w:val="24"/>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$13,606</w:t>
            </w:r>
          </w:p>
        </w:tc>
        <w:tc>
          <w:tcPr>
            <w:tcW w:w="800" w:type="dxa"/>
            <w:vAlign w:val="bottom"/>
            <w:gridSpan w:val="2"/>
          </w:tcPr>
          <w:p>
            <w:pPr>
              <w:jc w:val="center"/>
              <w:ind w:left="61"/>
              <w:spacing w:after="0"/>
              <w:rPr>
                <w:sz w:val="20"/>
                <w:szCs w:val="20"/>
                <w:color w:val="auto"/>
              </w:rPr>
            </w:pPr>
            <w:r>
              <w:rPr>
                <w:rFonts w:ascii="Times New Roman" w:cs="Times New Roman" w:eastAsia="Times New Roman" w:hAnsi="Times New Roman"/>
                <w:sz w:val="20"/>
                <w:szCs w:val="20"/>
                <w:color w:val="auto"/>
                <w:w w:val="98"/>
              </w:rPr>
              <w:t>$15,770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$65,700</w:t>
            </w:r>
          </w:p>
        </w:tc>
      </w:tr>
    </w:tbl>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estimated amount of uninsured deposits as of December 31, 2022 was $1.04 billion.</w:t>
      </w:r>
    </w:p>
    <w:p>
      <w:pPr>
        <w:spacing w:after="0" w:line="147" w:lineRule="exact"/>
        <w:rPr>
          <w:sz w:val="20"/>
          <w:szCs w:val="20"/>
          <w:color w:val="auto"/>
        </w:rPr>
      </w:pPr>
    </w:p>
    <w:p>
      <w:pPr>
        <w:jc w:val="both"/>
        <w:ind w:right="20" w:firstLine="394"/>
        <w:spacing w:after="0" w:line="250" w:lineRule="auto"/>
        <w:rPr>
          <w:sz w:val="20"/>
          <w:szCs w:val="20"/>
          <w:color w:val="auto"/>
        </w:rPr>
      </w:pPr>
      <w:r>
        <w:rPr>
          <w:rFonts w:ascii="Times New Roman" w:cs="Times New Roman" w:eastAsia="Times New Roman" w:hAnsi="Times New Roman"/>
          <w:sz w:val="20"/>
          <w:szCs w:val="20"/>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ectPr>
          <w:pgSz w:w="12060" w:h="15667" w:orient="portrait"/>
          <w:cols w:equalWidth="0" w:num="1">
            <w:col w:w="9240"/>
          </w:cols>
          <w:pgMar w:left="1400" w:top="900" w:right="142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060" w:h="15667" w:orient="portrait"/>
          <w:cols w:equalWidth="0" w:num="1">
            <w:col w:w="9240"/>
          </w:cols>
          <w:pgMar w:left="1400" w:top="900" w:right="1427" w:bottom="204"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Borrowed Funds</w:t>
      </w:r>
    </w:p>
    <w:p>
      <w:pPr>
        <w:spacing w:after="0" w:line="117" w:lineRule="exact"/>
        <w:rPr>
          <w:sz w:val="20"/>
          <w:szCs w:val="20"/>
          <w:color w:val="auto"/>
        </w:rPr>
      </w:pPr>
    </w:p>
    <w:p>
      <w:pPr>
        <w:jc w:val="both"/>
        <w:ind w:right="60" w:firstLine="394"/>
        <w:spacing w:after="0" w:line="237" w:lineRule="auto"/>
        <w:rPr>
          <w:sz w:val="20"/>
          <w:szCs w:val="20"/>
          <w:color w:val="auto"/>
        </w:rPr>
      </w:pPr>
      <w:r>
        <w:rPr>
          <w:rFonts w:ascii="Times New Roman" w:cs="Times New Roman" w:eastAsia="Times New Roman" w:hAnsi="Times New Roman"/>
          <w:sz w:val="20"/>
          <w:szCs w:val="20"/>
          <w:color w:val="auto"/>
        </w:rPr>
        <w:t>In addition to deposits, we utilize advances from the FHLB and other borrowings as a supplementary funding source to finance our operations.</w:t>
      </w:r>
    </w:p>
    <w:p>
      <w:pPr>
        <w:spacing w:after="0" w:line="137" w:lineRule="exact"/>
        <w:rPr>
          <w:sz w:val="20"/>
          <w:szCs w:val="20"/>
          <w:color w:val="auto"/>
        </w:rPr>
      </w:pPr>
    </w:p>
    <w:p>
      <w:pPr>
        <w:jc w:val="both"/>
        <w:ind w:right="60" w:firstLine="394"/>
        <w:spacing w:after="0" w:line="242" w:lineRule="auto"/>
        <w:rPr>
          <w:sz w:val="20"/>
          <w:szCs w:val="20"/>
          <w:color w:val="auto"/>
        </w:rPr>
      </w:pPr>
      <w:r>
        <w:rPr>
          <w:rFonts w:ascii="Times New Roman" w:cs="Times New Roman" w:eastAsia="Times New Roman" w:hAnsi="Times New Roman"/>
          <w:sz w:val="20"/>
          <w:szCs w:val="20"/>
          <w:i w:val="1"/>
          <w:iCs w:val="1"/>
          <w:color w:val="auto"/>
        </w:rPr>
        <w:t>FHLB Advances</w:t>
      </w:r>
      <w:r>
        <w:rPr>
          <w:rFonts w:ascii="Times New Roman" w:cs="Times New Roman" w:eastAsia="Times New Roman" w:hAnsi="Times New Roman"/>
          <w:sz w:val="20"/>
          <w:szCs w:val="20"/>
          <w:color w:val="auto"/>
        </w:rPr>
        <w:t>. The FHLB allows us to borrow, both short and long-term, on a blanket floating lien status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collateralized by first mortgage loans and commercial real estate loans as well as FHLB stock. At December 31, 2022 and December 31, 2021 we had total remaining borrowing capacity from the FHLB of $920.2 million and $903.9 million, respectively.</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our long-term FHLB borrowings as of and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r>
      <w:tr>
        <w:trPr>
          <w:trHeight w:val="183"/>
        </w:trPr>
        <w:tc>
          <w:tcPr>
            <w:tcW w:w="7580" w:type="dxa"/>
            <w:vAlign w:val="bottom"/>
          </w:tcPr>
          <w:p>
            <w:pPr>
              <w:spacing w:after="0"/>
              <w:rPr>
                <w:sz w:val="15"/>
                <w:szCs w:val="15"/>
                <w:color w:val="auto"/>
              </w:rPr>
            </w:pPr>
          </w:p>
        </w:tc>
        <w:tc>
          <w:tcPr>
            <w:tcW w:w="1700" w:type="dxa"/>
            <w:vAlign w:val="bottom"/>
            <w:gridSpan w:val="5"/>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Ended December 31,</w:t>
            </w:r>
          </w:p>
        </w:tc>
      </w:tr>
      <w:tr>
        <w:trPr>
          <w:trHeight w:val="212"/>
        </w:trPr>
        <w:tc>
          <w:tcPr>
            <w:tcW w:w="75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r>
      <w:tr>
        <w:trPr>
          <w:trHeight w:val="209"/>
        </w:trPr>
        <w:tc>
          <w:tcPr>
            <w:tcW w:w="7580" w:type="dxa"/>
            <w:vAlign w:val="bottom"/>
          </w:tcPr>
          <w:p>
            <w:pPr>
              <w:spacing w:after="0"/>
              <w:rPr>
                <w:sz w:val="18"/>
                <w:szCs w:val="18"/>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09"/>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Amount outstanding at year-end . . . . . . . . . . . . . . . . . . . . . . . . . . . . . . . . . . . . . . . . . . . . . . . .</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interest rate at year-end . . . . . . . . . . . . . . . . . . . . . . . . . . . . . . . . . . . . . . . .</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Maximum month-end balance during the year . . . . . . . . . . . . . . . . . . . . . . . . . . . . . . . . . . . . .</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w w:val="98"/>
              </w:rPr>
              <w:t>75,000</w:t>
            </w:r>
          </w:p>
        </w:tc>
        <w:tc>
          <w:tcPr>
            <w:tcW w:w="60" w:type="dxa"/>
            <w:vAlign w:val="bottom"/>
          </w:tcPr>
          <w:p>
            <w:pPr>
              <w:spacing w:after="0"/>
              <w:rPr>
                <w:sz w:val="21"/>
                <w:szCs w:val="21"/>
                <w:color w:val="auto"/>
              </w:rPr>
            </w:pP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Average balance outstanding during the year . . . . . . . . . . . . . . . . . . . . . . . . . . . . . . . . . . . . . .</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w w:val="98"/>
              </w:rPr>
              <w:t>19,641</w:t>
            </w:r>
          </w:p>
        </w:tc>
        <w:tc>
          <w:tcPr>
            <w:tcW w:w="60" w:type="dxa"/>
            <w:vAlign w:val="bottom"/>
          </w:tcPr>
          <w:p>
            <w:pPr>
              <w:spacing w:after="0"/>
              <w:rPr>
                <w:sz w:val="21"/>
                <w:szCs w:val="21"/>
                <w:color w:val="auto"/>
              </w:rPr>
            </w:pP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interest rate during the year. . . . . . . . . . . . . . . . . . . . . . . . . . . . . . . . . . . . .</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0.19%</w:t>
            </w:r>
          </w:p>
        </w:tc>
      </w:tr>
    </w:tbl>
    <w:p>
      <w:pPr>
        <w:spacing w:after="0" w:line="152" w:lineRule="exact"/>
        <w:rPr>
          <w:sz w:val="20"/>
          <w:szCs w:val="20"/>
          <w:color w:val="auto"/>
        </w:rPr>
      </w:pPr>
    </w:p>
    <w:p>
      <w:pPr>
        <w:jc w:val="both"/>
        <w:ind w:right="60" w:firstLine="394"/>
        <w:spacing w:after="0"/>
        <w:rPr>
          <w:sz w:val="20"/>
          <w:szCs w:val="20"/>
          <w:color w:val="auto"/>
        </w:rPr>
      </w:pPr>
      <w:r>
        <w:rPr>
          <w:rFonts w:ascii="Times New Roman" w:cs="Times New Roman" w:eastAsia="Times New Roman" w:hAnsi="Times New Roman"/>
          <w:sz w:val="20"/>
          <w:szCs w:val="20"/>
          <w:color w:val="auto"/>
        </w:rPr>
        <w:t>The Company has used FHLB letters of credit to pledge to certain public deposits. These letters of credit expired in July 2021 and the Company began pledging securities to these public funds rather than renewing the letters of credit. As a result, there were no FHLB letters of credit outstanding at December 31, 2022 and 2021.</w:t>
      </w:r>
    </w:p>
    <w:p>
      <w:pPr>
        <w:spacing w:after="0" w:line="138" w:lineRule="exact"/>
        <w:rPr>
          <w:sz w:val="20"/>
          <w:szCs w:val="20"/>
          <w:color w:val="auto"/>
        </w:rPr>
      </w:pPr>
    </w:p>
    <w:p>
      <w:pPr>
        <w:jc w:val="both"/>
        <w:ind w:right="60" w:firstLine="394"/>
        <w:spacing w:after="0" w:line="243" w:lineRule="auto"/>
        <w:rPr>
          <w:sz w:val="20"/>
          <w:szCs w:val="20"/>
          <w:color w:val="auto"/>
        </w:rPr>
      </w:pPr>
      <w:r>
        <w:rPr>
          <w:rFonts w:ascii="Times New Roman" w:cs="Times New Roman" w:eastAsia="Times New Roman" w:hAnsi="Times New Roman"/>
          <w:sz w:val="20"/>
          <w:szCs w:val="20"/>
          <w:i w:val="1"/>
          <w:iCs w:val="1"/>
          <w:color w:val="auto"/>
        </w:rPr>
        <w:t>Federal Reserve Bank of Dallas</w:t>
      </w:r>
      <w:r>
        <w:rPr>
          <w:rFonts w:ascii="Times New Roman" w:cs="Times New Roman" w:eastAsia="Times New Roman" w:hAnsi="Times New Roman"/>
          <w:sz w:val="20"/>
          <w:szCs w:val="20"/>
          <w:color w:val="auto"/>
        </w:rPr>
        <w:t>. The Bank has a line of credit with the FRB. The amount of the line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determined on a monthly basis by the Federal Reserve Bank. The line is collateralized by a blanket floating lien on all agriculture, commercial and consumer loans. The amount of the line was $648.3 million and $593.6 million at December 31, 2022 and 2021, respectively. There were no amounts outstanding on the FRB line of credit at December 31, 2022 and 2021.</w:t>
      </w:r>
    </w:p>
    <w:p>
      <w:pPr>
        <w:spacing w:after="0" w:line="136" w:lineRule="exact"/>
        <w:rPr>
          <w:sz w:val="20"/>
          <w:szCs w:val="20"/>
          <w:color w:val="auto"/>
        </w:rPr>
      </w:pPr>
    </w:p>
    <w:p>
      <w:pPr>
        <w:jc w:val="both"/>
        <w:ind w:right="60" w:firstLine="394"/>
        <w:spacing w:after="0"/>
        <w:rPr>
          <w:sz w:val="20"/>
          <w:szCs w:val="20"/>
          <w:color w:val="auto"/>
        </w:rPr>
      </w:pPr>
      <w:r>
        <w:rPr>
          <w:rFonts w:ascii="Times New Roman" w:cs="Times New Roman" w:eastAsia="Times New Roman" w:hAnsi="Times New Roman"/>
          <w:sz w:val="20"/>
          <w:szCs w:val="20"/>
          <w:i w:val="1"/>
          <w:iCs w:val="1"/>
          <w:color w:val="auto"/>
        </w:rPr>
        <w:t>Lines of Credit</w:t>
      </w:r>
      <w:r>
        <w:rPr>
          <w:rFonts w:ascii="Times New Roman" w:cs="Times New Roman" w:eastAsia="Times New Roman" w:hAnsi="Times New Roman"/>
          <w:sz w:val="20"/>
          <w:szCs w:val="20"/>
          <w:color w:val="auto"/>
        </w:rPr>
        <w:t>. The Bank has uncollateralized lines of credit with multiple banks as a source of funding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liquidity management. The total amount of the lines was $160.0 million and $160.0 million as of December 31, 2022 and 2021. The lines were not used at December 31, 2022 and 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Subordinated Debt</w:t>
      </w:r>
    </w:p>
    <w:p>
      <w:pPr>
        <w:spacing w:after="0" w:line="117" w:lineRule="exact"/>
        <w:rPr>
          <w:sz w:val="20"/>
          <w:szCs w:val="20"/>
          <w:color w:val="auto"/>
        </w:rPr>
      </w:pPr>
    </w:p>
    <w:p>
      <w:pPr>
        <w:jc w:val="both"/>
        <w:ind w:right="60" w:firstLine="394"/>
        <w:spacing w:after="0" w:line="244" w:lineRule="auto"/>
        <w:rPr>
          <w:sz w:val="20"/>
          <w:szCs w:val="20"/>
          <w:color w:val="auto"/>
        </w:rPr>
      </w:pPr>
      <w:r>
        <w:rPr>
          <w:rFonts w:ascii="Times New Roman" w:cs="Times New Roman" w:eastAsia="Times New Roman" w:hAnsi="Times New Roman"/>
          <w:sz w:val="20"/>
          <w:szCs w:val="20"/>
          <w:color w:val="auto"/>
        </w:rPr>
        <w:t xml:space="preserve">In December 2018, the Company issued $26.5 million in subordinated notes. Notes totaling $12.4 million have a maturity date of December 2028 and an average fixed rate of 5.74% for the first five years. The remaining $14.1 million of notes have a maturity date of December 2030 and an average fixed rate of 6.41% for the first seven years. After the fixed rate periods, all notes will float at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37" w:lineRule="exact"/>
        <w:rPr>
          <w:sz w:val="20"/>
          <w:szCs w:val="20"/>
          <w:color w:val="auto"/>
        </w:rPr>
      </w:pPr>
    </w:p>
    <w:p>
      <w:pPr>
        <w:jc w:val="both"/>
        <w:ind w:right="60" w:firstLine="394"/>
        <w:spacing w:after="0" w:line="244" w:lineRule="auto"/>
        <w:rPr>
          <w:sz w:val="20"/>
          <w:szCs w:val="20"/>
          <w:color w:val="auto"/>
        </w:rPr>
      </w:pPr>
      <w:r>
        <w:rPr>
          <w:rFonts w:ascii="Times New Roman" w:cs="Times New Roman" w:eastAsia="Times New Roman" w:hAnsi="Times New Roman"/>
          <w:sz w:val="20"/>
          <w:szCs w:val="20"/>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37" w:lineRule="exact"/>
        <w:rPr>
          <w:sz w:val="20"/>
          <w:szCs w:val="20"/>
          <w:color w:val="auto"/>
        </w:rPr>
      </w:pPr>
    </w:p>
    <w:p>
      <w:pPr>
        <w:jc w:val="both"/>
        <w:ind w:right="60" w:firstLine="394"/>
        <w:spacing w:after="0" w:line="237" w:lineRule="auto"/>
        <w:rPr>
          <w:sz w:val="20"/>
          <w:szCs w:val="20"/>
          <w:color w:val="auto"/>
        </w:rPr>
      </w:pPr>
      <w:r>
        <w:rPr>
          <w:rFonts w:ascii="Times New Roman" w:cs="Times New Roman" w:eastAsia="Times New Roman" w:hAnsi="Times New Roman"/>
          <w:sz w:val="20"/>
          <w:szCs w:val="20"/>
          <w:color w:val="auto"/>
        </w:rPr>
        <w:t>As of December 31, 2022, the total amount of subordinated debt outstanding was $76.5 million, less approximately $511 thousand of remaining debt issuance costs for a total balance of $76.0 million.</w:t>
      </w:r>
    </w:p>
    <w:p>
      <w:pPr>
        <w:spacing w:after="0" w:line="137" w:lineRule="exact"/>
        <w:rPr>
          <w:sz w:val="20"/>
          <w:szCs w:val="20"/>
          <w:color w:val="auto"/>
        </w:rPr>
      </w:pPr>
    </w:p>
    <w:p>
      <w:pPr>
        <w:jc w:val="both"/>
        <w:ind w:right="60" w:firstLine="394"/>
        <w:spacing w:after="0" w:line="259" w:lineRule="auto"/>
        <w:rPr>
          <w:sz w:val="20"/>
          <w:szCs w:val="20"/>
          <w:color w:val="auto"/>
        </w:rPr>
      </w:pPr>
      <w:r>
        <w:rPr>
          <w:rFonts w:ascii="Times New Roman" w:cs="Times New Roman" w:eastAsia="Times New Roman" w:hAnsi="Times New Roman"/>
          <w:sz w:val="19"/>
          <w:szCs w:val="19"/>
          <w:i w:val="1"/>
          <w:iCs w:val="1"/>
          <w:color w:val="auto"/>
        </w:rPr>
        <w:t>Junior Subordinated Deferrable Interest Debentures and Trust Preferred Securities</w:t>
      </w:r>
      <w:r>
        <w:rPr>
          <w:rFonts w:ascii="Times New Roman" w:cs="Times New Roman" w:eastAsia="Times New Roman" w:hAnsi="Times New Roman"/>
          <w:sz w:val="19"/>
          <w:szCs w:val="19"/>
          <w:color w:val="auto"/>
        </w:rPr>
        <w:t>. Between March 2004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w:t>
      </w:r>
    </w:p>
    <w:p>
      <w:pPr>
        <w:sectPr>
          <w:pgSz w:w="12060" w:h="15667" w:orient="portrait"/>
          <w:cols w:equalWidth="0" w:num="1">
            <w:col w:w="9280"/>
          </w:cols>
          <w:pgMar w:left="1400" w:top="900" w:right="1387"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66</w:t>
      </w:r>
    </w:p>
    <w:p>
      <w:pPr>
        <w:sectPr>
          <w:pgSz w:w="12060" w:h="15667" w:orient="portrait"/>
          <w:cols w:equalWidth="0" w:num="1">
            <w:col w:w="9280"/>
          </w:cols>
          <w:pgMar w:left="1400" w:top="900" w:right="1387" w:bottom="203" w:gutter="0" w:footer="0" w:header="0"/>
          <w:type w:val="continuous"/>
        </w:sectPr>
      </w:pPr>
    </w:p>
    <w:bookmarkStart w:id="79" w:name="page80"/>
    <w:bookmarkEnd w:id="79"/>
    <w:p>
      <w:pPr>
        <w:jc w:val="both"/>
        <w:ind w:right="7"/>
        <w:spacing w:after="0" w:line="253" w:lineRule="auto"/>
        <w:rPr>
          <w:sz w:val="20"/>
          <w:szCs w:val="20"/>
          <w:color w:val="auto"/>
        </w:rPr>
      </w:pPr>
      <w:r>
        <w:rPr>
          <w:rFonts w:ascii="Times New Roman" w:cs="Times New Roman" w:eastAsia="Times New Roman" w:hAnsi="Times New Roman"/>
          <w:sz w:val="20"/>
          <w:szCs w:val="20"/>
          <w:color w:val="auto"/>
        </w:rPr>
        <w:t>consolidated balance sheets. The Company records interest expense on the debentures in its consolidated financial statements. The amount of debentures outstanding was $46.4 million at December 31, 2022 and 2021.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38"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The chart below indicates certain information, as of December 31, 2022,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of</w:t>
            </w: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60"/>
              <w:spacing w:after="0" w:line="178" w:lineRule="exact"/>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Issue</w:t>
            </w:r>
          </w:p>
        </w:tc>
        <w:tc>
          <w:tcPr>
            <w:tcW w:w="80" w:type="dxa"/>
            <w:vAlign w:val="bottom"/>
          </w:tcPr>
          <w:p>
            <w:pPr>
              <w:spacing w:after="0"/>
              <w:rPr>
                <w:sz w:val="15"/>
                <w:szCs w:val="15"/>
                <w:color w:val="auto"/>
              </w:rPr>
            </w:pPr>
          </w:p>
        </w:tc>
        <w:tc>
          <w:tcPr>
            <w:tcW w:w="72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7"/>
              </w:rPr>
              <w:t>of Trust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of Trust Preferred</w:t>
            </w:r>
          </w:p>
        </w:tc>
        <w:tc>
          <w:tcPr>
            <w:tcW w:w="60" w:type="dxa"/>
            <w:vAlign w:val="bottom"/>
          </w:tcPr>
          <w:p>
            <w:pPr>
              <w:spacing w:after="0"/>
              <w:rPr>
                <w:sz w:val="15"/>
                <w:szCs w:val="15"/>
                <w:color w:val="auto"/>
              </w:rPr>
            </w:pPr>
          </w:p>
        </w:tc>
        <w:tc>
          <w:tcPr>
            <w:tcW w:w="14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Trust Preferred</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5"/>
              </w:rPr>
              <w:t>Preferred</w:t>
            </w:r>
          </w:p>
        </w:tc>
        <w:tc>
          <w:tcPr>
            <w:tcW w:w="120" w:type="dxa"/>
            <w:vAlign w:val="bottom"/>
          </w:tcPr>
          <w:p>
            <w:pPr>
              <w:spacing w:after="0"/>
              <w:rPr>
                <w:sz w:val="14"/>
                <w:szCs w:val="14"/>
                <w:color w:val="auto"/>
              </w:rPr>
            </w:pPr>
          </w:p>
        </w:tc>
        <w:tc>
          <w:tcPr>
            <w:tcW w:w="7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Amount of</w:t>
            </w:r>
          </w:p>
        </w:tc>
        <w:tc>
          <w:tcPr>
            <w:tcW w:w="80" w:type="dxa"/>
            <w:vAlign w:val="bottom"/>
          </w:tcPr>
          <w:p>
            <w:pPr>
              <w:spacing w:after="0"/>
              <w:rPr>
                <w:sz w:val="14"/>
                <w:szCs w:val="14"/>
                <w:color w:val="auto"/>
              </w:rPr>
            </w:pPr>
          </w:p>
        </w:tc>
        <w:tc>
          <w:tcPr>
            <w:tcW w:w="13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9"/>
              </w:rPr>
              <w:t>Securities and</w:t>
            </w:r>
          </w:p>
        </w:tc>
        <w:tc>
          <w:tcPr>
            <w:tcW w:w="6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Securities and</w:t>
            </w:r>
          </w:p>
        </w:tc>
        <w:tc>
          <w:tcPr>
            <w:tcW w:w="0" w:type="dxa"/>
            <w:vAlign w:val="bottom"/>
          </w:tcPr>
          <w:p>
            <w:pPr>
              <w:spacing w:after="0"/>
              <w:rPr>
                <w:sz w:val="1"/>
                <w:szCs w:val="1"/>
                <w:color w:val="auto"/>
              </w:rPr>
            </w:pPr>
          </w:p>
        </w:tc>
      </w:tr>
      <w:tr>
        <w:trPr>
          <w:trHeight w:val="194"/>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Trust</w:t>
            </w:r>
          </w:p>
        </w:tc>
        <w:tc>
          <w:tcPr>
            <w:tcW w:w="1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80" w:type="dxa"/>
            <w:vAlign w:val="bottom"/>
          </w:tcPr>
          <w:p>
            <w:pPr>
              <w:spacing w:after="0"/>
              <w:rPr>
                <w:sz w:val="16"/>
                <w:szCs w:val="16"/>
                <w:color w:val="auto"/>
              </w:rPr>
            </w:pPr>
          </w:p>
        </w:tc>
        <w:tc>
          <w:tcPr>
            <w:tcW w:w="132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6"/>
                <w:szCs w:val="16"/>
                <w:b w:val="1"/>
                <w:bCs w:val="1"/>
                <w:color w:val="auto"/>
                <w:w w:val="98"/>
              </w:rPr>
              <w:t>Debentures</w:t>
            </w:r>
            <w:r>
              <w:rPr>
                <w:rFonts w:ascii="Times New Roman" w:cs="Times New Roman" w:eastAsia="Times New Roman" w:hAnsi="Times New Roman"/>
                <w:sz w:val="19"/>
                <w:szCs w:val="19"/>
                <w:b w:val="1"/>
                <w:bCs w:val="1"/>
                <w:color w:val="auto"/>
                <w:w w:val="98"/>
                <w:vertAlign w:val="superscript"/>
              </w:rPr>
              <w:t>(1)</w:t>
            </w:r>
          </w:p>
        </w:tc>
        <w:tc>
          <w:tcPr>
            <w:tcW w:w="60" w:type="dxa"/>
            <w:vAlign w:val="bottom"/>
          </w:tcPr>
          <w:p>
            <w:pPr>
              <w:spacing w:after="0"/>
              <w:rPr>
                <w:sz w:val="16"/>
                <w:szCs w:val="16"/>
                <w:color w:val="auto"/>
              </w:rPr>
            </w:pPr>
          </w:p>
        </w:tc>
        <w:tc>
          <w:tcPr>
            <w:tcW w:w="1420" w:type="dxa"/>
            <w:vAlign w:val="bottom"/>
          </w:tcPr>
          <w:p>
            <w:pPr>
              <w:jc w:val="center"/>
              <w:spacing w:after="0" w:line="194" w:lineRule="exact"/>
              <w:rPr>
                <w:sz w:val="20"/>
                <w:szCs w:val="20"/>
                <w:color w:val="auto"/>
              </w:rPr>
            </w:pPr>
            <w:r>
              <w:rPr>
                <w:rFonts w:ascii="Times New Roman" w:cs="Times New Roman" w:eastAsia="Times New Roman" w:hAnsi="Times New Roman"/>
                <w:sz w:val="16"/>
                <w:szCs w:val="16"/>
                <w:b w:val="1"/>
                <w:bCs w:val="1"/>
                <w:color w:val="auto"/>
                <w:w w:val="96"/>
              </w:rPr>
              <w:t>Debentures</w:t>
            </w:r>
            <w:r>
              <w:rPr>
                <w:rFonts w:ascii="Times New Roman" w:cs="Times New Roman" w:eastAsia="Times New Roman" w:hAnsi="Times New Roman"/>
                <w:sz w:val="19"/>
                <w:szCs w:val="19"/>
                <w:b w:val="1"/>
                <w:bCs w:val="1"/>
                <w:color w:val="auto"/>
                <w:w w:val="96"/>
                <w:vertAlign w:val="superscript"/>
              </w:rPr>
              <w:t>(2)(3)</w:t>
            </w:r>
          </w:p>
        </w:tc>
        <w:tc>
          <w:tcPr>
            <w:tcW w:w="0" w:type="dxa"/>
            <w:vAlign w:val="bottom"/>
          </w:tcPr>
          <w:p>
            <w:pPr>
              <w:spacing w:after="0"/>
              <w:rPr>
                <w:sz w:val="1"/>
                <w:szCs w:val="1"/>
                <w:color w:val="auto"/>
              </w:rPr>
            </w:pPr>
          </w:p>
        </w:tc>
      </w:tr>
      <w:tr>
        <w:trPr>
          <w:trHeight w:val="20"/>
        </w:trPr>
        <w:tc>
          <w:tcPr>
            <w:tcW w:w="4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South Plains Financial Capital Trust III. . . . . . . . .</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2004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$10,310</w:t>
            </w:r>
          </w:p>
        </w:tc>
        <w:tc>
          <w:tcPr>
            <w:tcW w:w="6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2034</w:t>
            </w:r>
          </w:p>
        </w:tc>
        <w:tc>
          <w:tcPr>
            <w:tcW w:w="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3-mo. LIBOR +</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265 bps; 6.97%</w:t>
            </w:r>
          </w:p>
        </w:tc>
        <w:tc>
          <w:tcPr>
            <w:tcW w:w="0" w:type="dxa"/>
            <w:vAlign w:val="bottom"/>
          </w:tcPr>
          <w:p>
            <w:pPr>
              <w:spacing w:after="0"/>
              <w:rPr>
                <w:sz w:val="1"/>
                <w:szCs w:val="1"/>
                <w:color w:val="auto"/>
              </w:rPr>
            </w:pPr>
          </w:p>
        </w:tc>
      </w:tr>
      <w:tr>
        <w:trPr>
          <w:trHeight w:val="25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IV . . . . . . . .</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2005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20,619</w:t>
            </w:r>
          </w:p>
        </w:tc>
        <w:tc>
          <w:tcPr>
            <w:tcW w:w="60" w:type="dxa"/>
            <w:vAlign w:val="bottom"/>
          </w:tcPr>
          <w:p>
            <w:pPr>
              <w:spacing w:after="0"/>
              <w:rPr>
                <w:sz w:val="21"/>
                <w:szCs w:val="21"/>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2035</w:t>
            </w:r>
          </w:p>
        </w:tc>
        <w:tc>
          <w:tcPr>
            <w:tcW w:w="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33-mo. LIBOR +</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139 bps; 6.16%</w:t>
            </w:r>
          </w:p>
        </w:tc>
        <w:tc>
          <w:tcPr>
            <w:tcW w:w="0" w:type="dxa"/>
            <w:vAlign w:val="bottom"/>
          </w:tcPr>
          <w:p>
            <w:pPr>
              <w:spacing w:after="0"/>
              <w:rPr>
                <w:sz w:val="1"/>
                <w:szCs w:val="1"/>
                <w:color w:val="auto"/>
              </w:rPr>
            </w:pPr>
          </w:p>
        </w:tc>
      </w:tr>
      <w:tr>
        <w:trPr>
          <w:trHeight w:val="25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V . . . . . . . . .</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2007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15,464</w:t>
            </w:r>
          </w:p>
        </w:tc>
        <w:tc>
          <w:tcPr>
            <w:tcW w:w="60" w:type="dxa"/>
            <w:vAlign w:val="bottom"/>
          </w:tcPr>
          <w:p>
            <w:pPr>
              <w:spacing w:after="0"/>
              <w:rPr>
                <w:sz w:val="21"/>
                <w:szCs w:val="21"/>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2037</w:t>
            </w:r>
          </w:p>
        </w:tc>
        <w:tc>
          <w:tcPr>
            <w:tcW w:w="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3-mo. LIBOR +</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150 bps; 6.27%</w:t>
            </w:r>
          </w:p>
        </w:tc>
        <w:tc>
          <w:tcPr>
            <w:tcW w:w="0" w:type="dxa"/>
            <w:vAlign w:val="bottom"/>
          </w:tcPr>
          <w:p>
            <w:pPr>
              <w:spacing w:after="0"/>
              <w:rPr>
                <w:sz w:val="1"/>
                <w:szCs w:val="1"/>
                <w:color w:val="auto"/>
              </w:rPr>
            </w:pPr>
          </w:p>
        </w:tc>
      </w:tr>
      <w:tr>
        <w:trPr>
          <w:trHeight w:val="281"/>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45,000</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46,393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237490</wp:posOffset>
                </wp:positionV>
                <wp:extent cx="90106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7pt" to="71.2pt,18.7pt" o:allowincell="f" strokecolor="#000000" strokeweight="0.493pt"/>
            </w:pict>
          </mc:Fallback>
        </mc:AlternateContent>
      </w:r>
    </w:p>
    <w:p>
      <w:pPr>
        <w:spacing w:after="0" w:line="200" w:lineRule="exact"/>
        <w:rPr>
          <w:sz w:val="20"/>
          <w:szCs w:val="20"/>
          <w:color w:val="auto"/>
        </w:rPr>
      </w:pPr>
    </w:p>
    <w:p>
      <w:pPr>
        <w:spacing w:after="0" w:line="246"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redeemed at the Company’s option.</w:t>
      </w:r>
    </w:p>
    <w:p>
      <w:pPr>
        <w:spacing w:after="0" w:line="52"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payable quarterly with principal due at maturity.</w:t>
      </w:r>
    </w:p>
    <w:p>
      <w:pPr>
        <w:spacing w:after="0" w:line="52"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Rate as of last reset date, prior to December 31, 2022.</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stockholders.</w:t>
      </w:r>
    </w:p>
    <w:p>
      <w:pPr>
        <w:spacing w:after="0" w:line="134"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if the projected future net interest income levels would be acceptable. The Company attempts to stay within acceptable net interest income levels.</w:t>
      </w:r>
    </w:p>
    <w:p>
      <w:pPr>
        <w:spacing w:after="0" w:line="13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13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67</w:t>
      </w:r>
    </w:p>
    <w:p>
      <w:pPr>
        <w:sectPr>
          <w:pgSz w:w="12060" w:h="15667" w:orient="portrait"/>
          <w:cols w:equalWidth="0" w:num="1">
            <w:col w:w="9227"/>
          </w:cols>
          <w:pgMar w:left="1400" w:top="912" w:right="1440" w:bottom="204" w:gutter="0" w:footer="0" w:header="0"/>
          <w:type w:val="continuous"/>
        </w:sectPr>
      </w:pPr>
    </w:p>
    <w:bookmarkStart w:id="80" w:name="page81"/>
    <w:bookmarkEnd w:id="80"/>
    <w:p>
      <w:pPr>
        <w:jc w:val="both"/>
        <w:ind w:right="180" w:firstLine="394"/>
        <w:spacing w:after="0" w:line="242" w:lineRule="auto"/>
        <w:rPr>
          <w:sz w:val="20"/>
          <w:szCs w:val="20"/>
          <w:color w:val="auto"/>
        </w:rPr>
      </w:pPr>
      <w:r>
        <w:rPr>
          <w:rFonts w:ascii="Times New Roman" w:cs="Times New Roman" w:eastAsia="Times New Roman" w:hAnsi="Times New Roman"/>
          <w:sz w:val="20"/>
          <w:szCs w:val="20"/>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Requirements</w:t>
      </w:r>
    </w:p>
    <w:p>
      <w:pPr>
        <w:spacing w:after="0" w:line="117" w:lineRule="exact"/>
        <w:rPr>
          <w:sz w:val="20"/>
          <w:szCs w:val="20"/>
          <w:color w:val="auto"/>
        </w:rPr>
      </w:pPr>
    </w:p>
    <w:p>
      <w:pPr>
        <w:jc w:val="both"/>
        <w:ind w:right="180" w:firstLine="394"/>
        <w:spacing w:after="0" w:line="259" w:lineRule="auto"/>
        <w:rPr>
          <w:sz w:val="20"/>
          <w:szCs w:val="20"/>
          <w:color w:val="auto"/>
        </w:rPr>
      </w:pPr>
      <w:r>
        <w:rPr>
          <w:rFonts w:ascii="Times New Roman" w:cs="Times New Roman" w:eastAsia="Times New Roman" w:hAnsi="Times New Roman"/>
          <w:sz w:val="19"/>
          <w:szCs w:val="19"/>
          <w:color w:val="auto"/>
        </w:rPr>
        <w:t>Total stockholders’ equity decreased to $357.0 million as of December 31, 2022, compared to $407.4 million as of December 31, 2021. The decrease from December 31, 2021 was primarily the result of a decline in the accumulated other comprehensive income (‘‘AOCI’’) of $78.8 million, repurchases of common stock of $22.7 million, and by $8.0 million in dividends paid, partially offset by $58.2 million in net earnings for the year ended December 31, 2022. The decrease in AOCI was attributed to the decline in fair value of our available for sale securities, partially offset by an increase in fair value of our fair value hedges, as a result of the rising interest rate environment.</w:t>
      </w:r>
    </w:p>
    <w:p>
      <w:pPr>
        <w:spacing w:after="0" w:line="123" w:lineRule="exact"/>
        <w:rPr>
          <w:sz w:val="20"/>
          <w:szCs w:val="20"/>
          <w:color w:val="auto"/>
        </w:rPr>
      </w:pPr>
    </w:p>
    <w:p>
      <w:pPr>
        <w:jc w:val="both"/>
        <w:ind w:right="180" w:firstLine="394"/>
        <w:spacing w:after="0" w:line="245" w:lineRule="auto"/>
        <w:rPr>
          <w:sz w:val="20"/>
          <w:szCs w:val="20"/>
          <w:color w:val="auto"/>
        </w:rPr>
      </w:pPr>
      <w:r>
        <w:rPr>
          <w:rFonts w:ascii="Times New Roman" w:cs="Times New Roman" w:eastAsia="Times New Roman" w:hAnsi="Times New Roman"/>
          <w:sz w:val="20"/>
          <w:szCs w:val="20"/>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consolidated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w:t>
      </w:r>
    </w:p>
    <w:p>
      <w:pPr>
        <w:spacing w:after="0" w:line="135"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34" w:lineRule="exact"/>
        <w:rPr>
          <w:sz w:val="20"/>
          <w:szCs w:val="20"/>
          <w:color w:val="auto"/>
        </w:rPr>
      </w:pPr>
    </w:p>
    <w:p>
      <w:pPr>
        <w:jc w:val="both"/>
        <w:ind w:right="180" w:firstLine="394"/>
        <w:spacing w:after="0" w:line="259" w:lineRule="auto"/>
        <w:rPr>
          <w:sz w:val="20"/>
          <w:szCs w:val="20"/>
          <w:color w:val="auto"/>
        </w:rPr>
      </w:pPr>
      <w:r>
        <w:rPr>
          <w:rFonts w:ascii="Times New Roman" w:cs="Times New Roman" w:eastAsia="Times New Roman" w:hAnsi="Times New Roman"/>
          <w:sz w:val="19"/>
          <w:szCs w:val="19"/>
          <w:color w:val="auto"/>
        </w:rPr>
        <w:t>At December 31, 2022, both we and the Bank met all the capital adequacy requirements to which we and the Bank were subject. At December 31, 2022, we and the Bank were ‘‘well capitalized’’ under the regulatory framework for prompt corrective action. Management believes that no conditions or events have occurred since December 31, 2022 that would materially adversely change such capital classifications. From time to time, we may need to raise additional capital to support our and the Bank’s further growth and to maintain our ‘‘well capitalized’’ status.</w:t>
      </w:r>
    </w:p>
    <w:p>
      <w:pPr>
        <w:spacing w:after="0" w:line="122" w:lineRule="exact"/>
        <w:rPr>
          <w:sz w:val="20"/>
          <w:szCs w:val="20"/>
          <w:color w:val="auto"/>
        </w:rPr>
      </w:pPr>
    </w:p>
    <w:p>
      <w:pPr>
        <w:jc w:val="both"/>
        <w:ind w:right="180" w:firstLine="394"/>
        <w:spacing w:after="0" w:line="259" w:lineRule="auto"/>
        <w:rPr>
          <w:sz w:val="20"/>
          <w:szCs w:val="20"/>
          <w:color w:val="auto"/>
        </w:rPr>
      </w:pPr>
      <w:r>
        <w:rPr>
          <w:rFonts w:ascii="Times New Roman" w:cs="Times New Roman" w:eastAsia="Times New Roman" w:hAnsi="Times New Roman"/>
          <w:sz w:val="19"/>
          <w:szCs w:val="19"/>
          <w:color w:val="auto"/>
        </w:rPr>
        <w:t>The table below also summarizes the capital requirements applicable to us and the Bank in order to be considered ‘‘well-capitalized’’ from a regulatory perspective, as well as our and the Bank’s capital ratios as of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Minimum Capital</w:t>
            </w:r>
          </w:p>
        </w:tc>
        <w:tc>
          <w:tcPr>
            <w:tcW w:w="40" w:type="dxa"/>
            <w:vAlign w:val="bottom"/>
          </w:tcPr>
          <w:p>
            <w:pPr>
              <w:spacing w:after="0"/>
              <w:rPr>
                <w:sz w:val="16"/>
                <w:szCs w:val="16"/>
                <w:color w:val="auto"/>
              </w:rPr>
            </w:pPr>
          </w:p>
        </w:tc>
        <w:tc>
          <w:tcPr>
            <w:tcW w:w="16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Minimum</w:t>
            </w:r>
          </w:p>
        </w:tc>
      </w:tr>
      <w:tr>
        <w:trPr>
          <w:trHeight w:val="177"/>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Requirement with</w:t>
            </w:r>
          </w:p>
        </w:tc>
        <w:tc>
          <w:tcPr>
            <w:tcW w:w="40" w:type="dxa"/>
            <w:vAlign w:val="bottom"/>
          </w:tcPr>
          <w:p>
            <w:pPr>
              <w:spacing w:after="0"/>
              <w:rPr>
                <w:sz w:val="15"/>
                <w:szCs w:val="15"/>
                <w:color w:val="auto"/>
              </w:rPr>
            </w:pPr>
          </w:p>
        </w:tc>
        <w:tc>
          <w:tcPr>
            <w:tcW w:w="1640" w:type="dxa"/>
            <w:vAlign w:val="bottom"/>
            <w:gridSpan w:val="5"/>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To be Considered</w:t>
            </w:r>
          </w:p>
        </w:tc>
      </w:tr>
      <w:tr>
        <w:trPr>
          <w:trHeight w:val="183"/>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line="181" w:lineRule="exact"/>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Capital Buffer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bottom w:val="single" w:sz="8" w:color="auto"/>
            </w:tcBorders>
            <w:gridSpan w:val="4"/>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Well Capitalized</w:t>
            </w:r>
          </w:p>
        </w:tc>
        <w:tc>
          <w:tcPr>
            <w:tcW w:w="180" w:type="dxa"/>
            <w:vAlign w:val="bottom"/>
          </w:tcPr>
          <w:p>
            <w:pPr>
              <w:spacing w:after="0"/>
              <w:rPr>
                <w:sz w:val="15"/>
                <w:szCs w:val="15"/>
                <w:color w:val="auto"/>
              </w:rPr>
            </w:pPr>
          </w:p>
        </w:tc>
      </w:tr>
      <w:tr>
        <w:trPr>
          <w:trHeight w:val="202"/>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80" w:type="dxa"/>
            <w:vAlign w:val="bottom"/>
          </w:tcPr>
          <w:p>
            <w:pPr>
              <w:spacing w:after="0"/>
              <w:rPr>
                <w:sz w:val="17"/>
                <w:szCs w:val="17"/>
                <w:color w:val="auto"/>
              </w:rPr>
            </w:pPr>
          </w:p>
        </w:tc>
      </w:tr>
      <w:tr>
        <w:trPr>
          <w:trHeight w:val="199"/>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4"/>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6"/>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$559,094</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16.58%</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$354,045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3"/>
              </w:rPr>
              <w:t>10.50%</w:t>
            </w:r>
          </w:p>
        </w:tc>
        <w:tc>
          <w:tcPr>
            <w:tcW w:w="4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454,427</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353,967</w:t>
            </w:r>
          </w:p>
        </w:tc>
        <w:tc>
          <w:tcPr>
            <w:tcW w:w="2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3"/>
              </w:rPr>
              <w:t>10.50%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$337,112</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4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443,265</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13.15%</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286,608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w:t>
            </w:r>
          </w:p>
        </w:tc>
        <w:tc>
          <w:tcPr>
            <w:tcW w:w="4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12.30%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286,545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269,689</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4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CET 1 capital (to risk-weighted assets)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398,265</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11.81%</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236,030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7.00%</w:t>
            </w:r>
          </w:p>
        </w:tc>
        <w:tc>
          <w:tcPr>
            <w:tcW w:w="4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12.30%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235,978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219,122</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24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443,265</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11.03%</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161,662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w:t>
            </w:r>
          </w:p>
        </w:tc>
        <w:tc>
          <w:tcPr>
            <w:tcW w:w="4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4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10.32%</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161,574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200,774</w:t>
            </w:r>
          </w:p>
        </w:tc>
        <w:tc>
          <w:tcPr>
            <w:tcW w:w="1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200" w:lineRule="exact"/>
        <w:rPr>
          <w:sz w:val="20"/>
          <w:szCs w:val="20"/>
          <w:color w:val="auto"/>
        </w:rPr>
      </w:pPr>
    </w:p>
    <w:p>
      <w:pPr>
        <w:sectPr>
          <w:pgSz w:w="12060" w:h="15667" w:orient="portrait"/>
          <w:cols w:equalWidth="0" w:num="1">
            <w:col w:w="9400"/>
          </w:cols>
          <w:pgMar w:left="1400" w:top="912" w:right="1267" w:bottom="204"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68</w:t>
      </w:r>
    </w:p>
    <w:p>
      <w:pPr>
        <w:sectPr>
          <w:pgSz w:w="12060" w:h="15667" w:orient="portrait"/>
          <w:cols w:equalWidth="0" w:num="1">
            <w:col w:w="9400"/>
          </w:cols>
          <w:pgMar w:left="1400" w:top="912" w:right="1267" w:bottom="204"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Minimum Capital</w:t>
            </w:r>
          </w:p>
        </w:tc>
        <w:tc>
          <w:tcPr>
            <w:tcW w:w="40" w:type="dxa"/>
            <w:vAlign w:val="bottom"/>
          </w:tcPr>
          <w:p>
            <w:pPr>
              <w:spacing w:after="0"/>
              <w:rPr>
                <w:sz w:val="16"/>
                <w:szCs w:val="16"/>
                <w:color w:val="auto"/>
              </w:rPr>
            </w:pPr>
          </w:p>
        </w:tc>
        <w:tc>
          <w:tcPr>
            <w:tcW w:w="16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Minimum</w:t>
            </w:r>
          </w:p>
        </w:tc>
      </w:tr>
      <w:tr>
        <w:trPr>
          <w:trHeight w:val="177"/>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Requirement with</w:t>
            </w:r>
          </w:p>
        </w:tc>
        <w:tc>
          <w:tcPr>
            <w:tcW w:w="40" w:type="dxa"/>
            <w:vAlign w:val="bottom"/>
          </w:tcPr>
          <w:p>
            <w:pPr>
              <w:spacing w:after="0"/>
              <w:rPr>
                <w:sz w:val="15"/>
                <w:szCs w:val="15"/>
                <w:color w:val="auto"/>
              </w:rPr>
            </w:pPr>
          </w:p>
        </w:tc>
        <w:tc>
          <w:tcPr>
            <w:tcW w:w="1640" w:type="dxa"/>
            <w:vAlign w:val="bottom"/>
            <w:gridSpan w:val="5"/>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To be Considered</w:t>
            </w:r>
          </w:p>
        </w:tc>
      </w:tr>
      <w:tr>
        <w:trPr>
          <w:trHeight w:val="183"/>
        </w:trPr>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line="181" w:lineRule="exact"/>
              <w:rPr>
                <w:sz w:val="20"/>
                <w:szCs w:val="20"/>
                <w:color w:val="auto"/>
              </w:rPr>
            </w:pPr>
            <w:r>
              <w:rPr>
                <w:rFonts w:ascii="Times New Roman" w:cs="Times New Roman" w:eastAsia="Times New Roman" w:hAnsi="Times New Roman"/>
                <w:sz w:val="16"/>
                <w:szCs w:val="16"/>
                <w:b w:val="1"/>
                <w:bCs w:val="1"/>
                <w:color w:val="auto"/>
              </w:rPr>
              <w:t>Actual</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Capital Buffer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bottom w:val="single" w:sz="8" w:color="auto"/>
            </w:tcBorders>
            <w:gridSpan w:val="4"/>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Well Capitalized</w:t>
            </w:r>
          </w:p>
        </w:tc>
        <w:tc>
          <w:tcPr>
            <w:tcW w:w="180" w:type="dxa"/>
            <w:vAlign w:val="bottom"/>
          </w:tcPr>
          <w:p>
            <w:pPr>
              <w:spacing w:after="0"/>
              <w:rPr>
                <w:sz w:val="15"/>
                <w:szCs w:val="15"/>
                <w:color w:val="auto"/>
              </w:rPr>
            </w:pPr>
          </w:p>
        </w:tc>
      </w:tr>
      <w:tr>
        <w:trPr>
          <w:trHeight w:val="212"/>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80" w:type="dxa"/>
            <w:vAlign w:val="bottom"/>
          </w:tcPr>
          <w:p>
            <w:pPr>
              <w:spacing w:after="0"/>
              <w:rPr>
                <w:sz w:val="18"/>
                <w:szCs w:val="18"/>
                <w:color w:val="auto"/>
              </w:rPr>
            </w:pPr>
          </w:p>
        </w:tc>
      </w:tr>
      <w:tr>
        <w:trPr>
          <w:trHeight w:val="209"/>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6"/>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Total capital (to risk-weighted assets)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$524,836</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18.40%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$299,521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3"/>
              </w:rPr>
              <w:t>10.50%</w:t>
            </w:r>
          </w:p>
        </w:tc>
        <w:tc>
          <w:tcPr>
            <w:tcW w:w="40" w:type="dxa"/>
            <w:vAlign w:val="bottom"/>
          </w:tcPr>
          <w:p>
            <w:pPr>
              <w:spacing w:after="0"/>
              <w:rPr>
                <w:sz w:val="21"/>
                <w:szCs w:val="21"/>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425,748</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14.93%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299,465</w:t>
            </w:r>
          </w:p>
        </w:tc>
        <w:tc>
          <w:tcPr>
            <w:tcW w:w="28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3"/>
              </w:rPr>
              <w:t>10.50%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$285,205</w:t>
            </w: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5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Tier 1 capital (to risk-weighted assets)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413,322</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14.49%</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242,469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w:t>
            </w:r>
          </w:p>
        </w:tc>
        <w:tc>
          <w:tcPr>
            <w:tcW w:w="40" w:type="dxa"/>
            <w:vAlign w:val="bottom"/>
          </w:tcPr>
          <w:p>
            <w:pPr>
              <w:spacing w:after="0"/>
              <w:rPr>
                <w:sz w:val="21"/>
                <w:szCs w:val="21"/>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13.67%</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242,424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228,164</w:t>
            </w: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5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CET 1 capital (to risk-weighted assets)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368,322</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12.91%</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199,681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7.00%</w:t>
            </w:r>
          </w:p>
        </w:tc>
        <w:tc>
          <w:tcPr>
            <w:tcW w:w="40" w:type="dxa"/>
            <w:vAlign w:val="bottom"/>
          </w:tcPr>
          <w:p>
            <w:pPr>
              <w:spacing w:after="0"/>
              <w:rPr>
                <w:sz w:val="21"/>
                <w:szCs w:val="21"/>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13.67%</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199,644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185,383</w:t>
            </w: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251"/>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Tier 1 capital (to average assets)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Consolidated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413,322</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10.77%</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154,592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w:t>
            </w:r>
          </w:p>
        </w:tc>
        <w:tc>
          <w:tcPr>
            <w:tcW w:w="40" w:type="dxa"/>
            <w:vAlign w:val="bottom"/>
          </w:tcPr>
          <w:p>
            <w:pPr>
              <w:spacing w:after="0"/>
              <w:rPr>
                <w:sz w:val="21"/>
                <w:szCs w:val="21"/>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N/A</w:t>
            </w:r>
          </w:p>
        </w:tc>
        <w:tc>
          <w:tcPr>
            <w:tcW w:w="1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N/A</w:t>
            </w:r>
          </w:p>
        </w:tc>
      </w:tr>
      <w:tr>
        <w:trPr>
          <w:trHeight w:val="251"/>
        </w:trPr>
        <w:tc>
          <w:tcPr>
            <w:tcW w:w="40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Bank. . . . . . . . . . . . . . . . . . . . . . . . . . . . . . . . . .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40" w:type="dxa"/>
            <w:vAlign w:val="bottom"/>
          </w:tcPr>
          <w:p>
            <w:pPr>
              <w:spacing w:after="0"/>
              <w:rPr>
                <w:sz w:val="21"/>
                <w:szCs w:val="21"/>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10.16%</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154,503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191,859</w:t>
            </w:r>
          </w:p>
        </w:tc>
        <w:tc>
          <w:tcPr>
            <w:tcW w:w="1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Stock</w:t>
      </w:r>
    </w:p>
    <w:p>
      <w:pPr>
        <w:spacing w:after="0" w:line="117" w:lineRule="exact"/>
        <w:rPr>
          <w:sz w:val="20"/>
          <w:szCs w:val="20"/>
          <w:color w:val="auto"/>
        </w:rPr>
      </w:pPr>
    </w:p>
    <w:p>
      <w:pPr>
        <w:jc w:val="both"/>
        <w:ind w:right="180" w:firstLine="394"/>
        <w:spacing w:after="0" w:line="243" w:lineRule="auto"/>
        <w:rPr>
          <w:sz w:val="20"/>
          <w:szCs w:val="20"/>
          <w:color w:val="auto"/>
        </w:rPr>
      </w:pPr>
      <w:r>
        <w:rPr>
          <w:rFonts w:ascii="Times New Roman" w:cs="Times New Roman" w:eastAsia="Times New Roman" w:hAnsi="Times New Roman"/>
          <w:sz w:val="20"/>
          <w:szCs w:val="20"/>
          <w:color w:val="auto"/>
        </w:rPr>
        <w:t>The Company repurchased stock in accordance with its stock repurchase programs during 2022 and 2021. In 2022, we repurchased 859,802 shares of common stock for a total of $22.7 million. In 2021, we repurchased 393,529 shares of common stock for a total of $9.2 million. See Part II, Item 5, ‘‘Market for Registrant’s Common Equity, Related Stockholder Matters, and Issuer Purchases of Equity Securities’’, of this Report for further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Sensitivity and Market Risk</w:t>
      </w:r>
    </w:p>
    <w:p>
      <w:pPr>
        <w:spacing w:after="0" w:line="117" w:lineRule="exact"/>
        <w:rPr>
          <w:sz w:val="20"/>
          <w:szCs w:val="20"/>
          <w:color w:val="auto"/>
        </w:rPr>
      </w:pPr>
    </w:p>
    <w:p>
      <w:pPr>
        <w:jc w:val="both"/>
        <w:ind w:right="180" w:firstLine="394"/>
        <w:spacing w:after="0" w:line="242" w:lineRule="auto"/>
        <w:rPr>
          <w:sz w:val="20"/>
          <w:szCs w:val="20"/>
          <w:color w:val="auto"/>
        </w:rPr>
      </w:pPr>
      <w:r>
        <w:rPr>
          <w:rFonts w:ascii="Times New Roman" w:cs="Times New Roman" w:eastAsia="Times New Roman" w:hAnsi="Times New Roman"/>
          <w:sz w:val="20"/>
          <w:szCs w:val="20"/>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37"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34" w:lineRule="exact"/>
        <w:rPr>
          <w:sz w:val="20"/>
          <w:szCs w:val="20"/>
          <w:color w:val="auto"/>
        </w:rPr>
      </w:pPr>
    </w:p>
    <w:p>
      <w:pPr>
        <w:jc w:val="both"/>
        <w:ind w:right="180" w:firstLine="394"/>
        <w:spacing w:after="0"/>
        <w:rPr>
          <w:sz w:val="20"/>
          <w:szCs w:val="20"/>
          <w:color w:val="auto"/>
        </w:rPr>
      </w:pPr>
      <w:r>
        <w:rPr>
          <w:rFonts w:ascii="Times New Roman" w:cs="Times New Roman" w:eastAsia="Times New Roman" w:hAnsi="Times New Roman"/>
          <w:sz w:val="20"/>
          <w:szCs w:val="20"/>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8" w:lineRule="exact"/>
        <w:rPr>
          <w:sz w:val="20"/>
          <w:szCs w:val="20"/>
          <w:color w:val="auto"/>
        </w:rPr>
      </w:pPr>
    </w:p>
    <w:p>
      <w:pPr>
        <w:jc w:val="both"/>
        <w:ind w:right="180" w:firstLine="394"/>
        <w:spacing w:after="0" w:line="259" w:lineRule="auto"/>
        <w:rPr>
          <w:sz w:val="20"/>
          <w:szCs w:val="20"/>
          <w:color w:val="auto"/>
        </w:rPr>
      </w:pPr>
      <w:r>
        <w:rPr>
          <w:rFonts w:ascii="Times New Roman" w:cs="Times New Roman" w:eastAsia="Times New Roman" w:hAnsi="Times New Roman"/>
          <w:sz w:val="19"/>
          <w:szCs w:val="19"/>
          <w:color w:val="auto"/>
        </w:rPr>
        <w:t>Our exposure to interest rate risk is managed by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25" w:lineRule="exact"/>
        <w:rPr>
          <w:sz w:val="20"/>
          <w:szCs w:val="20"/>
          <w:color w:val="auto"/>
        </w:rPr>
      </w:pPr>
    </w:p>
    <w:p>
      <w:pPr>
        <w:jc w:val="both"/>
        <w:ind w:right="180" w:firstLine="394"/>
        <w:spacing w:after="0" w:line="258" w:lineRule="auto"/>
        <w:rPr>
          <w:sz w:val="20"/>
          <w:szCs w:val="20"/>
          <w:color w:val="auto"/>
        </w:rPr>
      </w:pPr>
      <w:r>
        <w:rPr>
          <w:rFonts w:ascii="Times New Roman" w:cs="Times New Roman" w:eastAsia="Times New Roman" w:hAnsi="Times New Roman"/>
          <w:sz w:val="19"/>
          <w:szCs w:val="19"/>
          <w:color w:val="auto"/>
        </w:rPr>
        <w:t>We use interest rate risk simulation models and shock analyses to test the interest rate sensitivity of net interest income and fair value of equity, and the impact of changes in interest rates on other financial metrics. Contractual</w:t>
      </w:r>
    </w:p>
    <w:p>
      <w:pPr>
        <w:sectPr>
          <w:pgSz w:w="12060" w:h="15667" w:orient="portrait"/>
          <w:cols w:equalWidth="0" w:num="1">
            <w:col w:w="9400"/>
          </w:cols>
          <w:pgMar w:left="1400" w:top="984" w:right="1267"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69</w:t>
      </w:r>
    </w:p>
    <w:p>
      <w:pPr>
        <w:sectPr>
          <w:pgSz w:w="12060" w:h="15667" w:orient="portrait"/>
          <w:cols w:equalWidth="0" w:num="1">
            <w:col w:w="9400"/>
          </w:cols>
          <w:pgMar w:left="1400" w:top="984" w:right="1267" w:bottom="203" w:gutter="0" w:footer="0" w:header="0"/>
          <w:type w:val="continuous"/>
        </w:sectPr>
      </w:pPr>
    </w:p>
    <w:bookmarkStart w:id="82" w:name="page83"/>
    <w:bookmarkEnd w:id="82"/>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3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following tables summarize the simulated change in net interest income over a 12-month horizon as of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2"/>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6"/>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 Change in</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 Change in</w:t>
            </w:r>
          </w:p>
        </w:tc>
      </w:tr>
      <w:tr>
        <w:trPr>
          <w:trHeight w:val="183"/>
        </w:trPr>
        <w:tc>
          <w:tcPr>
            <w:tcW w:w="616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Change in Interest Rates (Basis Points)</w:t>
            </w:r>
          </w:p>
        </w:tc>
        <w:tc>
          <w:tcPr>
            <w:tcW w:w="160" w:type="dxa"/>
            <w:vAlign w:val="bottom"/>
          </w:tcPr>
          <w:p>
            <w:pPr>
              <w:spacing w:after="0"/>
              <w:rPr>
                <w:sz w:val="15"/>
                <w:szCs w:val="15"/>
                <w:color w:val="auto"/>
              </w:rPr>
            </w:pPr>
          </w:p>
        </w:tc>
        <w:tc>
          <w:tcPr>
            <w:tcW w:w="13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Net Interest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 Interest Income</w:t>
            </w:r>
          </w:p>
        </w:tc>
      </w:tr>
      <w:tr>
        <w:trPr>
          <w:trHeight w:val="260"/>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+300 . . . . . . . . . . . . . . . . . . . . . . . . . . . . . . . . . . . . . . . . . . . . . . . . . . . . . . . . . . .</w:t>
            </w: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2"/>
                <w:szCs w:val="22"/>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6.89</w:t>
            </w:r>
          </w:p>
        </w:tc>
      </w:tr>
      <w:tr>
        <w:trPr>
          <w:trHeight w:val="23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+200 . . . . . . . . . . . . . . . . . . . . . . . . . . . . . . . . . . . . . . . . . . . . . . . . . . . . . . . . . . .</w:t>
            </w: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(0.96)</w:t>
            </w:r>
          </w:p>
        </w:tc>
        <w:tc>
          <w:tcPr>
            <w:tcW w:w="80" w:type="dxa"/>
            <w:vAlign w:val="bottom"/>
          </w:tcPr>
          <w:p>
            <w:pPr>
              <w:spacing w:after="0"/>
              <w:rPr>
                <w:sz w:val="20"/>
                <w:szCs w:val="20"/>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4.53</w:t>
            </w:r>
          </w:p>
        </w:tc>
      </w:tr>
      <w:tr>
        <w:trPr>
          <w:trHeight w:val="23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+100 . . . . . . . . . . . . . . . . . . . . . . . . . . . . . . . . . . . . . . . . . . . . . . . . . . . . . . . . . . .</w:t>
            </w: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(0.61)</w:t>
            </w:r>
          </w:p>
        </w:tc>
        <w:tc>
          <w:tcPr>
            <w:tcW w:w="80" w:type="dxa"/>
            <w:vAlign w:val="bottom"/>
          </w:tcPr>
          <w:p>
            <w:pPr>
              <w:spacing w:after="0"/>
              <w:rPr>
                <w:sz w:val="20"/>
                <w:szCs w:val="20"/>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2.02</w:t>
            </w:r>
          </w:p>
        </w:tc>
      </w:tr>
      <w:tr>
        <w:trPr>
          <w:trHeight w:val="23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-100 . . . . . . . . . . . . . . . . . . . . . . . . . . . . . . . . . . . . . . . . . . . . . . . . . . . . . . . . . . .</w:t>
            </w: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7"/>
                <w:szCs w:val="17"/>
                <w:color w:val="auto"/>
              </w:rPr>
              <w:t>(1.05)</w:t>
            </w:r>
          </w:p>
        </w:tc>
      </w:tr>
      <w:tr>
        <w:trPr>
          <w:trHeight w:val="23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-200 . . . . . . . . . . . . . . . . . . . . . . . . . . . . . . . . . . . . . . . . . . . . . . . . . . . . . . . . . . .</w:t>
            </w: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7"/>
                <w:szCs w:val="17"/>
                <w:color w:val="auto"/>
              </w:rPr>
              <w:t>(1.92)</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Inflation</w:t>
      </w:r>
    </w:p>
    <w:p>
      <w:pPr>
        <w:spacing w:after="0" w:line="127"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20"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122"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27" w:lineRule="exact"/>
        <w:rPr>
          <w:sz w:val="20"/>
          <w:szCs w:val="20"/>
          <w:color w:val="auto"/>
        </w:rPr>
      </w:pPr>
    </w:p>
    <w:p>
      <w:pPr>
        <w:jc w:val="both"/>
        <w:ind w:right="7" w:firstLine="394"/>
        <w:spacing w:after="0" w:line="268" w:lineRule="auto"/>
        <w:rPr>
          <w:sz w:val="20"/>
          <w:szCs w:val="20"/>
          <w:color w:val="auto"/>
        </w:rPr>
      </w:pPr>
      <w:r>
        <w:rPr>
          <w:rFonts w:ascii="Times New Roman" w:cs="Times New Roman" w:eastAsia="Times New Roman" w:hAnsi="Times New Roman"/>
          <w:sz w:val="19"/>
          <w:szCs w:val="19"/>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70</w:t>
      </w:r>
    </w:p>
    <w:p>
      <w:pPr>
        <w:sectPr>
          <w:pgSz w:w="12060" w:h="15667" w:orient="portrait"/>
          <w:cols w:equalWidth="0" w:num="1">
            <w:col w:w="9227"/>
          </w:cols>
          <w:pgMar w:left="1400" w:top="912" w:right="1440" w:bottom="204" w:gutter="0" w:footer="0" w:header="0"/>
          <w:type w:val="continuous"/>
        </w:sectPr>
      </w:pPr>
    </w:p>
    <w:bookmarkStart w:id="83" w:name="page84"/>
    <w:bookmarkEnd w:id="83"/>
    <w:p>
      <w:pPr>
        <w:jc w:val="both"/>
        <w:ind w:right="180"/>
        <w:spacing w:after="0" w:line="242" w:lineRule="auto"/>
        <w:rPr>
          <w:sz w:val="20"/>
          <w:szCs w:val="20"/>
          <w:color w:val="auto"/>
        </w:rPr>
      </w:pPr>
      <w:r>
        <w:rPr>
          <w:rFonts w:ascii="Times New Roman" w:cs="Times New Roman" w:eastAsia="Times New Roman" w:hAnsi="Times New Roman"/>
          <w:sz w:val="20"/>
          <w:szCs w:val="20"/>
          <w:color w:val="auto"/>
        </w:rPr>
        <w:t>statements of comprehensive income(loss),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37"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34"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i w:val="1"/>
          <w:iCs w:val="1"/>
          <w:color w:val="auto"/>
        </w:rPr>
        <w:t>Tangible Book Value Per Common Share</w:t>
      </w:r>
      <w:r>
        <w:rPr>
          <w:rFonts w:ascii="Times New Roman" w:cs="Times New Roman" w:eastAsia="Times New Roman" w:hAnsi="Times New Roman"/>
          <w:sz w:val="20"/>
          <w:szCs w:val="20"/>
          <w:color w:val="auto"/>
        </w:rPr>
        <w:t>. Tangible book value per share is a non-GAAP measure generally used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37" w:lineRule="exact"/>
        <w:rPr>
          <w:sz w:val="20"/>
          <w:szCs w:val="20"/>
          <w:color w:val="auto"/>
        </w:rPr>
      </w:pPr>
    </w:p>
    <w:p>
      <w:pPr>
        <w:jc w:val="both"/>
        <w:ind w:right="180" w:firstLine="394"/>
        <w:spacing w:after="0" w:line="245" w:lineRule="auto"/>
        <w:rPr>
          <w:sz w:val="20"/>
          <w:szCs w:val="20"/>
          <w:color w:val="auto"/>
        </w:rPr>
      </w:pPr>
      <w:r>
        <w:rPr>
          <w:rFonts w:ascii="Times New Roman" w:cs="Times New Roman" w:eastAsia="Times New Roman" w:hAnsi="Times New Roman"/>
          <w:sz w:val="20"/>
          <w:szCs w:val="20"/>
          <w:i w:val="1"/>
          <w:iCs w:val="1"/>
          <w:color w:val="auto"/>
        </w:rPr>
        <w:t>Tangible Common Equity to Tangible Assets</w:t>
      </w:r>
      <w:r>
        <w:rPr>
          <w:rFonts w:ascii="Times New Roman" w:cs="Times New Roman" w:eastAsia="Times New Roman" w:hAnsi="Times New Roman"/>
          <w:sz w:val="20"/>
          <w:szCs w:val="20"/>
          <w:color w:val="auto"/>
        </w:rPr>
        <w:t>. Tangible common equity to tangible assets is a non-GAAP measure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34" w:lineRule="exact"/>
        <w:rPr>
          <w:sz w:val="20"/>
          <w:szCs w:val="20"/>
          <w:color w:val="auto"/>
        </w:rPr>
      </w:pPr>
    </w:p>
    <w:p>
      <w:pPr>
        <w:jc w:val="both"/>
        <w:ind w:right="180" w:firstLine="394"/>
        <w:spacing w:after="0"/>
        <w:rPr>
          <w:sz w:val="20"/>
          <w:szCs w:val="20"/>
          <w:color w:val="auto"/>
        </w:rPr>
      </w:pPr>
      <w:r>
        <w:rPr>
          <w:rFonts w:ascii="Times New Roman" w:cs="Times New Roman" w:eastAsia="Times New Roman" w:hAnsi="Times New Roman"/>
          <w:sz w:val="20"/>
          <w:szCs w:val="20"/>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9"/>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Total stockholders’ equity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357,014</w:t>
            </w: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407,427</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370,048</w:t>
            </w:r>
          </w:p>
        </w:tc>
        <w:tc>
          <w:tcPr>
            <w:tcW w:w="180" w:type="dxa"/>
            <w:vAlign w:val="bottom"/>
          </w:tcPr>
          <w:p>
            <w:pPr>
              <w:spacing w:after="0"/>
              <w:rPr>
                <w:sz w:val="24"/>
                <w:szCs w:val="24"/>
                <w:color w:val="auto"/>
              </w:rPr>
            </w:pPr>
          </w:p>
        </w:tc>
      </w:tr>
      <w:tr>
        <w:trPr>
          <w:trHeight w:val="249"/>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Less: Goodwill and other intangibles . . . . . . . . . . . . . . . . . . .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(23,857)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(25,403)</w:t>
            </w: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(27,070)</w:t>
            </w:r>
          </w:p>
        </w:tc>
      </w:tr>
      <w:tr>
        <w:trPr>
          <w:trHeight w:val="281"/>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Tangible common equity . . . . . . . . . . . . . . . . . . . . . . . . . . . .</w:t>
            </w: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333,157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382,024</w:t>
            </w:r>
          </w:p>
        </w:tc>
        <w:tc>
          <w:tcPr>
            <w:tcW w:w="4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342,978</w:t>
            </w:r>
          </w:p>
        </w:tc>
        <w:tc>
          <w:tcPr>
            <w:tcW w:w="180" w:type="dxa"/>
            <w:vAlign w:val="bottom"/>
          </w:tcPr>
          <w:p>
            <w:pPr>
              <w:spacing w:after="0"/>
              <w:rPr>
                <w:sz w:val="24"/>
                <w:szCs w:val="24"/>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34"/>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8"/>
              </w:rPr>
              <w:t>Total assets . . . . . . . . . .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3,944,063</w:t>
            </w: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3,901,855</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3,599,160</w:t>
            </w:r>
          </w:p>
        </w:tc>
        <w:tc>
          <w:tcPr>
            <w:tcW w:w="180" w:type="dxa"/>
            <w:vAlign w:val="bottom"/>
          </w:tcPr>
          <w:p>
            <w:pPr>
              <w:spacing w:after="0"/>
              <w:rPr>
                <w:sz w:val="24"/>
                <w:szCs w:val="24"/>
                <w:color w:val="auto"/>
              </w:rPr>
            </w:pPr>
          </w:p>
        </w:tc>
      </w:tr>
      <w:tr>
        <w:trPr>
          <w:trHeight w:val="249"/>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Less: Goodwill and other intangibles . . . . . . . . . . . . . . . . . . .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(23,857)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(25,403)</w:t>
            </w:r>
          </w:p>
        </w:tc>
        <w:tc>
          <w:tcPr>
            <w:tcW w:w="1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(27,070)</w:t>
            </w:r>
          </w:p>
        </w:tc>
      </w:tr>
      <w:tr>
        <w:trPr>
          <w:trHeight w:val="281"/>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Tangible assets . . . . . . . . . . . . . . . . . . . . . . . . . . . . . . . . . . . .</w:t>
            </w: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3,920,206</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3,876,452</w:t>
            </w:r>
          </w:p>
        </w:tc>
        <w:tc>
          <w:tcPr>
            <w:tcW w:w="4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3,572,090</w:t>
            </w:r>
          </w:p>
        </w:tc>
        <w:tc>
          <w:tcPr>
            <w:tcW w:w="180" w:type="dxa"/>
            <w:vAlign w:val="bottom"/>
          </w:tcPr>
          <w:p>
            <w:pPr>
              <w:spacing w:after="0"/>
              <w:rPr>
                <w:sz w:val="24"/>
                <w:szCs w:val="24"/>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0"/>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Shares outstanding . . . . . . . . . . . . . . . . . . . . . . . . . . . . . . . . .</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17,027,197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17,760,243</w:t>
            </w: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18,076,364</w:t>
            </w:r>
          </w:p>
        </w:tc>
        <w:tc>
          <w:tcPr>
            <w:tcW w:w="180" w:type="dxa"/>
            <w:vAlign w:val="bottom"/>
          </w:tcPr>
          <w:p>
            <w:pPr>
              <w:spacing w:after="0"/>
              <w:rPr>
                <w:sz w:val="24"/>
                <w:szCs w:val="24"/>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3"/>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Total stockholders’ equity to total assets. . . . . . . . . . . . . . . .</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10.44%</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w:t>
            </w:r>
          </w:p>
        </w:tc>
      </w:tr>
      <w:tr>
        <w:trPr>
          <w:trHeight w:val="251"/>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Tangible common equity to tangible assets . . . . . . . . . . . .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9.85%</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9.60%</w:t>
            </w:r>
          </w:p>
        </w:tc>
      </w:tr>
      <w:tr>
        <w:trPr>
          <w:trHeight w:val="251"/>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Book value per share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22.94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20.47</w:t>
            </w:r>
          </w:p>
        </w:tc>
      </w:tr>
      <w:tr>
        <w:trPr>
          <w:trHeight w:val="251"/>
        </w:trPr>
        <w:tc>
          <w:tcPr>
            <w:tcW w:w="51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Tangible book value per share.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21.51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18.97</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17" w:lineRule="exact"/>
        <w:rPr>
          <w:sz w:val="20"/>
          <w:szCs w:val="20"/>
          <w:color w:val="auto"/>
        </w:rPr>
      </w:pPr>
    </w:p>
    <w:p>
      <w:pPr>
        <w:jc w:val="both"/>
        <w:ind w:right="180" w:firstLine="394"/>
        <w:spacing w:after="0" w:line="278"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w:t>
      </w:r>
    </w:p>
    <w:p>
      <w:pPr>
        <w:sectPr>
          <w:pgSz w:w="12060" w:h="15667" w:orient="portrait"/>
          <w:cols w:equalWidth="0" w:num="1">
            <w:col w:w="9400"/>
          </w:cols>
          <w:pgMar w:left="1400" w:top="912" w:right="1267" w:bottom="204"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71</w:t>
      </w:r>
    </w:p>
    <w:p>
      <w:pPr>
        <w:sectPr>
          <w:pgSz w:w="12060" w:h="15667" w:orient="portrait"/>
          <w:cols w:equalWidth="0" w:num="1">
            <w:col w:w="9400"/>
          </w:cols>
          <w:pgMar w:left="1400" w:top="912" w:right="1267" w:bottom="204" w:gutter="0" w:footer="0" w:header="0"/>
          <w:type w:val="continuous"/>
        </w:sectPr>
      </w:pPr>
    </w:p>
    <w:bookmarkStart w:id="84" w:name="page85"/>
    <w:bookmarkEnd w:id="84"/>
    <w:p>
      <w:pPr>
        <w:jc w:val="both"/>
        <w:ind w:right="7"/>
        <w:spacing w:after="0" w:line="289" w:lineRule="auto"/>
        <w:rPr>
          <w:sz w:val="20"/>
          <w:szCs w:val="20"/>
          <w:color w:val="auto"/>
        </w:rPr>
      </w:pPr>
      <w:r>
        <w:rPr>
          <w:rFonts w:ascii="Times New Roman" w:cs="Times New Roman" w:eastAsia="Times New Roman" w:hAnsi="Times New Roman"/>
          <w:sz w:val="18"/>
          <w:szCs w:val="18"/>
          <w:color w:val="auto"/>
        </w:rPr>
        <w:t>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07"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39"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2022.</w:t>
      </w:r>
    </w:p>
    <w:p>
      <w:pPr>
        <w:spacing w:after="0" w:line="139"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Securities. </w:t>
      </w:r>
      <w:r>
        <w:rPr>
          <w:rFonts w:ascii="Times New Roman" w:cs="Times New Roman" w:eastAsia="Times New Roman" w:hAnsi="Times New Roman"/>
          <w:sz w:val="20"/>
          <w:szCs w:val="20"/>
          <w:color w:val="auto"/>
        </w:rPr>
        <w:t>Investment securities may be classified into trading, held-to-maturity, or available-for-sale portfolios.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40"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Loans. </w:t>
      </w:r>
      <w:r>
        <w:rPr>
          <w:rFonts w:ascii="Times New Roman" w:cs="Times New Roman" w:eastAsia="Times New Roman" w:hAnsi="Times New Roman"/>
          <w:sz w:val="20"/>
          <w:szCs w:val="20"/>
          <w:color w:val="auto"/>
        </w:rPr>
        <w:t>Loans that management has the intent and ability to hold for the foreseeable future or until maturity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Allowance for Loan Losses. </w:t>
      </w:r>
      <w:r>
        <w:rPr>
          <w:rFonts w:ascii="Times New Roman" w:cs="Times New Roman" w:eastAsia="Times New Roman" w:hAnsi="Times New Roman"/>
          <w:sz w:val="20"/>
          <w:szCs w:val="20"/>
          <w:color w:val="auto"/>
        </w:rPr>
        <w:t>The allowance for loan losses is established as losses are estimated to have occurred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 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39"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72</w:t>
      </w:r>
    </w:p>
    <w:p>
      <w:pPr>
        <w:sectPr>
          <w:pgSz w:w="12060" w:h="15667" w:orient="portrait"/>
          <w:cols w:equalWidth="0" w:num="1">
            <w:col w:w="9227"/>
          </w:cols>
          <w:pgMar w:left="1400" w:top="912" w:right="1440" w:bottom="204" w:gutter="0" w:footer="0" w:header="0"/>
          <w:type w:val="continuous"/>
        </w:sectPr>
      </w:pPr>
    </w:p>
    <w:bookmarkStart w:id="85" w:name="page86"/>
    <w:bookmarkEnd w:id="85"/>
    <w:p>
      <w:pPr>
        <w:jc w:val="both"/>
        <w:ind w:right="7"/>
        <w:spacing w:after="0"/>
        <w:rPr>
          <w:sz w:val="20"/>
          <w:szCs w:val="20"/>
          <w:color w:val="auto"/>
        </w:rPr>
      </w:pPr>
      <w:r>
        <w:rPr>
          <w:rFonts w:ascii="Times New Roman" w:cs="Times New Roman" w:eastAsia="Times New Roman" w:hAnsi="Times New Roman"/>
          <w:sz w:val="20"/>
          <w:szCs w:val="20"/>
          <w:color w:val="auto"/>
        </w:rPr>
        <w:t>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38"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34"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35"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Loans Held for Sale. </w:t>
      </w:r>
      <w:r>
        <w:rPr>
          <w:rFonts w:ascii="Times New Roman" w:cs="Times New Roman" w:eastAsia="Times New Roman" w:hAnsi="Times New Roman"/>
          <w:sz w:val="19"/>
          <w:szCs w:val="19"/>
          <w:color w:val="auto"/>
        </w:rPr>
        <w:t>Loans held for sale are comprised of residential mortgage loans. Loans that are originated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best efforts delivery are carried at the lower of 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spacing w:after="0" w:line="122"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Mortgage Servicing Rights Asset. </w:t>
      </w:r>
      <w:r>
        <w:rPr>
          <w:rFonts w:ascii="Times New Roman" w:cs="Times New Roman" w:eastAsia="Times New Roman" w:hAnsi="Times New Roman"/>
          <w:sz w:val="20"/>
          <w:szCs w:val="20"/>
          <w:color w:val="auto"/>
        </w:rPr>
        <w:t>When mortgage loans are sold with servicing retained, servicing rights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initially recorded at fair value with 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37"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36"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Goodwill and Other Intangible Assets. </w:t>
      </w:r>
      <w:r>
        <w:rPr>
          <w:rFonts w:ascii="Times New Roman" w:cs="Times New Roman" w:eastAsia="Times New Roman" w:hAnsi="Times New Roman"/>
          <w:sz w:val="20"/>
          <w:szCs w:val="20"/>
          <w:color w:val="auto"/>
        </w:rPr>
        <w:t>Goodwill resulting from business combinations is generally determined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the excess of 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17" w:lineRule="exact"/>
        <w:rPr>
          <w:sz w:val="20"/>
          <w:szCs w:val="20"/>
          <w:color w:val="auto"/>
        </w:rPr>
      </w:pPr>
    </w:p>
    <w:p>
      <w:pPr>
        <w:jc w:val="both"/>
        <w:ind w:right="7" w:firstLine="394"/>
        <w:spacing w:after="0" w:line="258" w:lineRule="auto"/>
        <w:rPr>
          <w:sz w:val="20"/>
          <w:szCs w:val="20"/>
          <w:color w:val="auto"/>
        </w:rPr>
      </w:pPr>
      <w:r>
        <w:rPr>
          <w:rFonts w:ascii="Times New Roman" w:cs="Times New Roman" w:eastAsia="Times New Roman" w:hAnsi="Times New Roman"/>
          <w:sz w:val="19"/>
          <w:szCs w:val="19"/>
          <w:color w:val="auto"/>
        </w:rPr>
        <w:t>See Note 1, Summary of Significant Accounting Policies, in the notes to the consolidated financial statements included elsewhere in this Report regarding the impact of new accounting pronouncements which we have adopted.</w:t>
      </w:r>
    </w:p>
    <w:p>
      <w:pPr>
        <w:spacing w:after="0" w:line="17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17" w:lineRule="exact"/>
        <w:rPr>
          <w:sz w:val="20"/>
          <w:szCs w:val="20"/>
          <w:color w:val="auto"/>
        </w:rPr>
      </w:pPr>
    </w:p>
    <w:p>
      <w:pPr>
        <w:jc w:val="both"/>
        <w:ind w:right="7" w:firstLine="394"/>
        <w:spacing w:after="0" w:line="258" w:lineRule="auto"/>
        <w:rPr>
          <w:sz w:val="20"/>
          <w:szCs w:val="20"/>
          <w:color w:val="auto"/>
        </w:rPr>
      </w:pPr>
      <w:r>
        <w:rPr>
          <w:rFonts w:ascii="Times New Roman" w:cs="Times New Roman" w:eastAsia="Times New Roman" w:hAnsi="Times New Roman"/>
          <w:sz w:val="19"/>
          <w:szCs w:val="19"/>
          <w:color w:val="auto"/>
        </w:rPr>
        <w:t>See ‘‘Item 7. Management’s Discussion and Analysis of Financial Condition and Results of Operations – Interest Rate Sensitivity and Market Risk’’ of this Report for discussion on how the Company manages market risk.</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73</w:t>
      </w:r>
    </w:p>
    <w:p>
      <w:pPr>
        <w:sectPr>
          <w:pgSz w:w="12060" w:h="15667" w:orient="portrait"/>
          <w:cols w:equalWidth="0" w:num="1">
            <w:col w:w="9227"/>
          </w:cols>
          <w:pgMar w:left="1400" w:top="912" w:right="1440" w:bottom="203" w:gutter="0" w:footer="0" w:header="0"/>
          <w:type w:val="continuous"/>
        </w:sectPr>
      </w:pPr>
    </w:p>
    <w:bookmarkStart w:id="86" w:name="page87"/>
    <w:bookmarkEnd w:id="86"/>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3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ind w:left="26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CONSOLIDATED FINANCIAL STATEMENTS</w:t>
      </w:r>
    </w:p>
    <w:p>
      <w:pPr>
        <w:ind w:left="286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Years Ended December 31, 2022 and 2021</w:t>
      </w:r>
    </w:p>
    <w:p>
      <w:pPr>
        <w:spacing w:after="0" w:line="22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i w:val="1"/>
          <w:iCs w:val="1"/>
          <w:color w:val="auto"/>
        </w:rPr>
        <w:t>TABLE OF CONTENTS</w:t>
      </w:r>
    </w:p>
    <w:p>
      <w:pPr>
        <w:spacing w:after="0" w:line="192" w:lineRule="exact"/>
        <w:rPr>
          <w:sz w:val="20"/>
          <w:szCs w:val="20"/>
          <w:color w:val="auto"/>
        </w:rPr>
      </w:pPr>
    </w:p>
    <w:p>
      <w:pPr>
        <w:jc w:val="right"/>
        <w:ind w:right="7"/>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79"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#686)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21"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#410) . . . . . . . . . . . . . . . . . . . . . .</w:t>
      </w:r>
      <w:r>
        <w:rPr>
          <w:sz w:val="20"/>
          <w:szCs w:val="20"/>
          <w:color w:val="auto"/>
        </w:rPr>
        <w:tab/>
      </w:r>
      <w:r>
        <w:rPr>
          <w:rFonts w:ascii="Times New Roman" w:cs="Times New Roman" w:eastAsia="Times New Roman" w:hAnsi="Times New Roman"/>
          <w:sz w:val="20"/>
          <w:szCs w:val="20"/>
          <w:color w:val="auto"/>
        </w:rPr>
        <w:t>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21" w:lineRule="exact"/>
        <w:rPr>
          <w:sz w:val="20"/>
          <w:szCs w:val="20"/>
          <w:color w:val="auto"/>
        </w:rPr>
      </w:pPr>
    </w:p>
    <w:p>
      <w:pPr>
        <w:ind w:left="200"/>
        <w:spacing w:after="0"/>
        <w:tabs>
          <w:tab w:leader="none" w:pos="2640" w:val="left"/>
          <w:tab w:leader="none" w:pos="8940" w:val="left"/>
        </w:tabs>
        <w:rPr>
          <w:sz w:val="20"/>
          <w:szCs w:val="20"/>
          <w:color w:val="auto"/>
        </w:rPr>
      </w:pPr>
      <w:r>
        <w:rPr>
          <w:rFonts w:ascii="Times New Roman" w:cs="Times New Roman" w:eastAsia="Times New Roman" w:hAnsi="Times New Roman"/>
          <w:sz w:val="20"/>
          <w:szCs w:val="20"/>
          <w:color w:val="auto"/>
        </w:rPr>
        <w:t>Consolidated Balance Sheets</w:t>
        <w:tab/>
        <w:t>.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21" w:lineRule="exact"/>
        <w:rPr>
          <w:sz w:val="20"/>
          <w:szCs w:val="20"/>
          <w:color w:val="auto"/>
        </w:rPr>
      </w:pPr>
    </w:p>
    <w:p>
      <w:pPr>
        <w:ind w:left="200"/>
        <w:spacing w:after="0"/>
        <w:tabs>
          <w:tab w:leader="none" w:pos="8940" w:val="left"/>
        </w:tabs>
        <w:rPr>
          <w:sz w:val="20"/>
          <w:szCs w:val="20"/>
          <w:color w:val="auto"/>
        </w:rPr>
      </w:pPr>
      <w:r>
        <w:rPr>
          <w:rFonts w:ascii="Times New Roman" w:cs="Times New Roman" w:eastAsia="Times New Roman" w:hAnsi="Times New Roman"/>
          <w:sz w:val="20"/>
          <w:szCs w:val="20"/>
          <w:color w:val="auto"/>
        </w:rPr>
        <w:t>Consolidated Statements of Comprehensive Income (Loss) . . . . . . . . . . . . . . . . . . . . . . . . . . . . . . . . . . . .</w:t>
      </w:r>
      <w:r>
        <w:rPr>
          <w:sz w:val="20"/>
          <w:szCs w:val="20"/>
          <w:color w:val="auto"/>
        </w:rPr>
        <w:tab/>
      </w:r>
      <w:r>
        <w:rPr>
          <w:rFonts w:ascii="Times New Roman" w:cs="Times New Roman" w:eastAsia="Times New Roman" w:hAnsi="Times New Roman"/>
          <w:sz w:val="20"/>
          <w:szCs w:val="20"/>
          <w:color w:val="auto"/>
        </w:rPr>
        <w:t>78</w:t>
      </w:r>
    </w:p>
    <w:p>
      <w:pPr>
        <w:spacing w:after="0" w:line="21" w:lineRule="exact"/>
        <w:rPr>
          <w:sz w:val="20"/>
          <w:szCs w:val="20"/>
          <w:color w:val="auto"/>
        </w:rPr>
      </w:pPr>
    </w:p>
    <w:p>
      <w:pPr>
        <w:ind w:left="200"/>
        <w:spacing w:after="0"/>
        <w:tabs>
          <w:tab w:leader="none" w:pos="8940" w:val="left"/>
        </w:tabs>
        <w:rPr>
          <w:sz w:val="20"/>
          <w:szCs w:val="20"/>
          <w:color w:val="auto"/>
        </w:rPr>
      </w:pPr>
      <w:r>
        <w:rPr>
          <w:rFonts w:ascii="Times New Roman" w:cs="Times New Roman" w:eastAsia="Times New Roman" w:hAnsi="Times New Roman"/>
          <w:sz w:val="20"/>
          <w:szCs w:val="20"/>
          <w:color w:val="auto"/>
        </w:rPr>
        <w:t>Consolidated Statements of Changes in Stockholders’ Equity  . . . . . . . . . . . . . . . . . . . . . . . . . . . . . . . . . .</w:t>
      </w:r>
      <w:r>
        <w:rPr>
          <w:sz w:val="20"/>
          <w:szCs w:val="20"/>
          <w:color w:val="auto"/>
        </w:rPr>
        <w:tab/>
      </w:r>
      <w:r>
        <w:rPr>
          <w:rFonts w:ascii="Times New Roman" w:cs="Times New Roman" w:eastAsia="Times New Roman" w:hAnsi="Times New Roman"/>
          <w:sz w:val="20"/>
          <w:szCs w:val="20"/>
          <w:color w:val="auto"/>
        </w:rPr>
        <w:t>80</w:t>
      </w:r>
    </w:p>
    <w:p>
      <w:pPr>
        <w:spacing w:after="0" w:line="21" w:lineRule="exact"/>
        <w:rPr>
          <w:sz w:val="20"/>
          <w:szCs w:val="20"/>
          <w:color w:val="auto"/>
        </w:rPr>
      </w:pPr>
    </w:p>
    <w:p>
      <w:pPr>
        <w:ind w:left="200"/>
        <w:spacing w:after="0"/>
        <w:tabs>
          <w:tab w:leader="none" w:pos="3520" w:val="left"/>
          <w:tab w:leader="none" w:pos="8940" w:val="left"/>
        </w:tabs>
        <w:rPr>
          <w:sz w:val="20"/>
          <w:szCs w:val="20"/>
          <w:color w:val="auto"/>
        </w:rPr>
      </w:pPr>
      <w:r>
        <w:rPr>
          <w:rFonts w:ascii="Times New Roman" w:cs="Times New Roman" w:eastAsia="Times New Roman" w:hAnsi="Times New Roman"/>
          <w:sz w:val="20"/>
          <w:szCs w:val="20"/>
          <w:color w:val="auto"/>
        </w:rPr>
        <w:t>Consolidated Statements of Cash Flows</w:t>
        <w:tab/>
        <w:t>. . . . . . . . . . . . . . . . . . . . . . . . . . . . . . . . . . . . . . . . . . . . . . . . . . .</w:t>
      </w:r>
      <w:r>
        <w:rPr>
          <w:sz w:val="20"/>
          <w:szCs w:val="20"/>
          <w:color w:val="auto"/>
        </w:rPr>
        <w:tab/>
      </w:r>
      <w:r>
        <w:rPr>
          <w:rFonts w:ascii="Times New Roman" w:cs="Times New Roman" w:eastAsia="Times New Roman" w:hAnsi="Times New Roman"/>
          <w:sz w:val="20"/>
          <w:szCs w:val="20"/>
          <w:color w:val="auto"/>
        </w:rPr>
        <w:t>81</w:t>
      </w:r>
    </w:p>
    <w:p>
      <w:pPr>
        <w:spacing w:after="0" w:line="21" w:lineRule="exact"/>
        <w:rPr>
          <w:sz w:val="20"/>
          <w:szCs w:val="20"/>
          <w:color w:val="auto"/>
        </w:rPr>
      </w:pPr>
    </w:p>
    <w:p>
      <w:pPr>
        <w:ind w:left="200"/>
        <w:spacing w:after="0"/>
        <w:tabs>
          <w:tab w:leader="none" w:pos="894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w:t>
      </w:r>
      <w:r>
        <w:rPr>
          <w:sz w:val="20"/>
          <w:szCs w:val="20"/>
          <w:color w:val="auto"/>
        </w:rPr>
        <w:tab/>
      </w:r>
      <w:r>
        <w:rPr>
          <w:rFonts w:ascii="Times New Roman" w:cs="Times New Roman" w:eastAsia="Times New Roman" w:hAnsi="Times New Roman"/>
          <w:sz w:val="20"/>
          <w:szCs w:val="20"/>
          <w:color w:val="auto"/>
        </w:rPr>
        <w:t>82</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74</w:t>
      </w:r>
    </w:p>
    <w:p>
      <w:pPr>
        <w:sectPr>
          <w:pgSz w:w="12060" w:h="15667" w:orient="portrait"/>
          <w:cols w:equalWidth="0" w:num="1">
            <w:col w:w="9227"/>
          </w:cols>
          <w:pgMar w:left="1400" w:top="900" w:right="1440" w:bottom="204" w:gutter="0" w:footer="0" w:header="0"/>
          <w:type w:val="continuous"/>
        </w:sectPr>
      </w:pPr>
    </w:p>
    <w:bookmarkStart w:id="87" w:name="page88"/>
    <w:bookmarkEnd w:id="87"/>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Board of Directors, and Audit Committee</w:t>
      </w:r>
    </w:p>
    <w:p>
      <w:pPr>
        <w:spacing w:after="0" w:line="236" w:lineRule="auto"/>
        <w:rPr>
          <w:sz w:val="20"/>
          <w:szCs w:val="20"/>
          <w:color w:val="auto"/>
        </w:rPr>
      </w:pPr>
      <w:r>
        <w:rPr>
          <w:rFonts w:ascii="Times New Roman" w:cs="Times New Roman" w:eastAsia="Times New Roman" w:hAnsi="Times New Roman"/>
          <w:sz w:val="20"/>
          <w:szCs w:val="20"/>
          <w:color w:val="auto"/>
        </w:rPr>
        <w:t>South Plains Financial, Inc.</w:t>
      </w:r>
    </w:p>
    <w:p>
      <w:pPr>
        <w:spacing w:after="0" w:line="236" w:lineRule="auto"/>
        <w:rPr>
          <w:sz w:val="20"/>
          <w:szCs w:val="20"/>
          <w:color w:val="auto"/>
        </w:rPr>
      </w:pPr>
      <w:r>
        <w:rPr>
          <w:rFonts w:ascii="Times New Roman" w:cs="Times New Roman" w:eastAsia="Times New Roman" w:hAnsi="Times New Roman"/>
          <w:sz w:val="20"/>
          <w:szCs w:val="20"/>
          <w:color w:val="auto"/>
        </w:rPr>
        <w:t>Lubbock, Texas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27"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South Plains Financial, Inc. and Subsidiaries (the ‘‘Company’’) as of December 31, 2022, and the related consolidated statements of comprehensive income (loss), changes in stockholders’ equity, and cash flows for the year ended December 31, 2022, and the related notes (collectively referred to as the ‘‘financial statements’’). 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w:t>
      </w:r>
    </w:p>
    <w:p>
      <w:pPr>
        <w:spacing w:after="0" w:line="143"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39"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FORVIS,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2023</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75</w:t>
      </w:r>
    </w:p>
    <w:p>
      <w:pPr>
        <w:sectPr>
          <w:pgSz w:w="12060" w:h="15667" w:orient="portrait"/>
          <w:cols w:equalWidth="0" w:num="1">
            <w:col w:w="9227"/>
          </w:cols>
          <w:pgMar w:left="1400" w:top="900" w:right="1440" w:bottom="204" w:gutter="0" w:footer="0" w:header="0"/>
          <w:type w:val="continuous"/>
        </w:sectPr>
      </w:pPr>
    </w:p>
    <w:bookmarkStart w:id="88" w:name="page89"/>
    <w:bookmarkEnd w:id="88"/>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36" w:lineRule="auto"/>
        <w:rPr>
          <w:sz w:val="20"/>
          <w:szCs w:val="20"/>
          <w:color w:val="auto"/>
        </w:rPr>
      </w:pPr>
      <w:r>
        <w:rPr>
          <w:rFonts w:ascii="Times New Roman" w:cs="Times New Roman" w:eastAsia="Times New Roman" w:hAnsi="Times New Roman"/>
          <w:sz w:val="20"/>
          <w:szCs w:val="20"/>
          <w:color w:val="auto"/>
        </w:rPr>
        <w:t>South Plains Financial, Inc.</w:t>
      </w:r>
    </w:p>
    <w:p>
      <w:pPr>
        <w:spacing w:after="0" w:line="236" w:lineRule="auto"/>
        <w:rPr>
          <w:sz w:val="20"/>
          <w:szCs w:val="20"/>
          <w:color w:val="auto"/>
        </w:rPr>
      </w:pPr>
      <w:r>
        <w:rPr>
          <w:rFonts w:ascii="Times New Roman" w:cs="Times New Roman" w:eastAsia="Times New Roman" w:hAnsi="Times New Roman"/>
          <w:sz w:val="20"/>
          <w:szCs w:val="20"/>
          <w:color w:val="auto"/>
        </w:rPr>
        <w:t>Lubbock, Texas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27"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South Plains Financial, Inc. and Subsidiaries (the ‘‘Company’’) as of December 31, 2021, and the related consolidated statements of comprehensive income, changes in stockholders’ equity, and cash flows for each of the two years in the period ended December 31, 2021, and the related notes to the consolidated financial statements (collectively referred to as the ‘‘financial statements’’). In our opinion, the consolidated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7"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1"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WEAVER AND TIDWELL,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South Plains Financial, Inc.’s auditor from 2018 to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7, 2022</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76</w:t>
      </w:r>
    </w:p>
    <w:p>
      <w:pPr>
        <w:sectPr>
          <w:pgSz w:w="12060" w:h="15667" w:orient="portrait"/>
          <w:cols w:equalWidth="0" w:num="1">
            <w:col w:w="9227"/>
          </w:cols>
          <w:pgMar w:left="1400" w:top="900" w:right="1440" w:bottom="204" w:gutter="0" w:footer="0" w:header="0"/>
          <w:type w:val="continuous"/>
        </w:sectPr>
      </w:pPr>
    </w:p>
    <w:bookmarkStart w:id="89" w:name="page90"/>
    <w:bookmarkEnd w:id="89"/>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spacing w:after="0" w:line="22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40" w:type="dxa"/>
            <w:vAlign w:val="bottom"/>
            <w:gridSpan w:val="9"/>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0" w:type="dxa"/>
            <w:vAlign w:val="bottom"/>
          </w:tcPr>
          <w:p>
            <w:pPr>
              <w:spacing w:after="0"/>
              <w:rPr>
                <w:sz w:val="1"/>
                <w:szCs w:val="1"/>
                <w:color w:val="auto"/>
              </w:rPr>
            </w:pPr>
          </w:p>
        </w:tc>
      </w:tr>
      <w:tr>
        <w:trPr>
          <w:trHeight w:val="30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ASSETS</w:t>
            </w:r>
          </w:p>
        </w:tc>
        <w:tc>
          <w:tcPr>
            <w:tcW w:w="52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due from banks. . . . . . . . . . . . . . . . . . . . . . . . . . . . . . . . . . .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61,613</w:t>
            </w:r>
          </w:p>
        </w:tc>
        <w:tc>
          <w:tcPr>
            <w:tcW w:w="3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68,425</w:t>
            </w:r>
          </w:p>
        </w:tc>
        <w:tc>
          <w:tcPr>
            <w:tcW w:w="0" w:type="dxa"/>
            <w:vAlign w:val="bottom"/>
          </w:tcPr>
          <w:p>
            <w:pPr>
              <w:spacing w:after="0"/>
              <w:rPr>
                <w:sz w:val="1"/>
                <w:szCs w:val="1"/>
                <w:color w:val="auto"/>
              </w:rPr>
            </w:pPr>
          </w:p>
        </w:tc>
      </w:tr>
      <w:tr>
        <w:trPr>
          <w:trHeight w:val="249"/>
        </w:trPr>
        <w:tc>
          <w:tcPr>
            <w:tcW w:w="6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Interest-bearing deposits in banks . . . . . . . . . . . . . . . . . . . . . . . . . . . . . .</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173,270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418,396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234,883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486,821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Securities available for sale . . . . . . . . . . . . . . . . . . . . . . . . . . . . . . . . . .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701,711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724,504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 held for sale ($10,038 and $47,593 at fair value at</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December 31, 2022 and 2021, respectively) . . . . . . . . . . . . . . . . . . . .</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30,403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76,507</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Loans held for investment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2,748,081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2,437,577</w:t>
            </w:r>
          </w:p>
        </w:tc>
        <w:tc>
          <w:tcPr>
            <w:tcW w:w="0" w:type="dxa"/>
            <w:vAlign w:val="bottom"/>
          </w:tcPr>
          <w:p>
            <w:pPr>
              <w:spacing w:after="0"/>
              <w:rPr>
                <w:sz w:val="1"/>
                <w:szCs w:val="1"/>
                <w:color w:val="auto"/>
              </w:rPr>
            </w:pPr>
          </w:p>
        </w:tc>
      </w:tr>
      <w:tr>
        <w:trPr>
          <w:trHeight w:val="249"/>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Allowance for loan losses . . . . . . . . . . . . . . . . . . . . . . . . . . . . . . . . . .</w:t>
            </w:r>
          </w:p>
        </w:tc>
        <w:tc>
          <w:tcPr>
            <w:tcW w:w="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(39,288)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(42,098)</w:t>
            </w:r>
          </w:p>
        </w:tc>
        <w:tc>
          <w:tcPr>
            <w:tcW w:w="0" w:type="dxa"/>
            <w:vAlign w:val="bottom"/>
          </w:tcPr>
          <w:p>
            <w:pPr>
              <w:spacing w:after="0"/>
              <w:rPr>
                <w:sz w:val="1"/>
                <w:szCs w:val="1"/>
                <w:color w:val="auto"/>
              </w:rPr>
            </w:pPr>
          </w:p>
        </w:tc>
      </w:tr>
      <w:tr>
        <w:trPr>
          <w:trHeight w:val="283"/>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Loans held for investment, net. . . . . . . . . . . . . . . . . . . . . . . . . . . . . . .</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2,708,793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2,395,479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Accrued interest receivable . . . . . . . . . . . . . . . . . . . . . . . . . . . . . . . . . .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13,900</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Premises and equipment, net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56,337</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57,699</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8"/>
              </w:rPr>
              <w:t>Bank-owned life insurance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73,174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71,978</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8"/>
              </w:rPr>
              <w:t>Goodwill . . . . . . . . . . . . . .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19,508</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8"/>
              </w:rPr>
              <w:t>Intangible assets, net. . . . .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4,349</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5,895</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Mortgage servicing rights.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27,474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19,700</w:t>
            </w: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Deferred tax asset, net . . .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22,818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3,038</w:t>
            </w:r>
          </w:p>
        </w:tc>
        <w:tc>
          <w:tcPr>
            <w:tcW w:w="0" w:type="dxa"/>
            <w:vAlign w:val="bottom"/>
          </w:tcPr>
          <w:p>
            <w:pPr>
              <w:spacing w:after="0"/>
              <w:rPr>
                <w:sz w:val="1"/>
                <w:szCs w:val="1"/>
                <w:color w:val="auto"/>
              </w:rPr>
            </w:pPr>
          </w:p>
        </w:tc>
      </w:tr>
      <w:tr>
        <w:trPr>
          <w:trHeight w:val="248"/>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8"/>
              </w:rPr>
              <w:t>Other assets . . . . . . . . . . . . . . . . . . . . . . . . . . . . . . . . . . . . . . . . . . . . . . . .</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48,181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26,826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9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3,944,063</w:t>
            </w: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3,901,855</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59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Deposits:</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Noninterest-bearing. . . . . . . . . . . . . . . . . . . . . . . . . . . . . . . . . . . . . .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1,150,488</w:t>
            </w:r>
          </w:p>
        </w:tc>
        <w:tc>
          <w:tcPr>
            <w:tcW w:w="3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1,071,367</w:t>
            </w:r>
          </w:p>
        </w:tc>
        <w:tc>
          <w:tcPr>
            <w:tcW w:w="0" w:type="dxa"/>
            <w:vAlign w:val="bottom"/>
          </w:tcPr>
          <w:p>
            <w:pPr>
              <w:spacing w:after="0"/>
              <w:rPr>
                <w:sz w:val="1"/>
                <w:szCs w:val="1"/>
                <w:color w:val="auto"/>
              </w:rPr>
            </w:pPr>
          </w:p>
        </w:tc>
      </w:tr>
      <w:tr>
        <w:trPr>
          <w:trHeight w:val="249"/>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Interest-bearing . . . . . . . . . . . . . . . . . . . . . . . . . . . . . . . . . . . . . . . . . . .</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2,255,942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2,269,855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Total deposits . . . . . . . . . . . . . . . . . . . . . . . . . . . . . . . . . . . . . . . . .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3,406,430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3,341,222</w:t>
            </w:r>
          </w:p>
        </w:tc>
        <w:tc>
          <w:tcPr>
            <w:tcW w:w="0" w:type="dxa"/>
            <w:vAlign w:val="bottom"/>
          </w:tcPr>
          <w:p>
            <w:pPr>
              <w:spacing w:after="0"/>
              <w:rPr>
                <w:sz w:val="1"/>
                <w:szCs w:val="1"/>
                <w:color w:val="auto"/>
              </w:rPr>
            </w:pPr>
          </w:p>
        </w:tc>
      </w:tr>
      <w:tr>
        <w:trPr>
          <w:trHeight w:val="502"/>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Accrued expenses and other liabilities. . . . . . . . . . . . . . . . . . . . . . . . . . .</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31,038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8"/>
              </w:rPr>
              <w:t>Subordinated debt . . . . . . .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75,775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w w:val="99"/>
              </w:rPr>
              <w:t>Junior subordinated deferrable interest debentures . . . . . . . . . . . . . . . . .</w:t>
            </w: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46,393</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46,393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3,587,049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3,494,428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gridSpan w:val="3"/>
          </w:tcPr>
          <w:p>
            <w:pPr>
              <w:jc w:val="right"/>
              <w:ind w:right="920"/>
              <w:spacing w:after="0"/>
              <w:rPr>
                <w:sz w:val="20"/>
                <w:szCs w:val="20"/>
                <w:color w:val="auto"/>
              </w:rPr>
            </w:pPr>
            <w:r>
              <w:rPr>
                <w:rFonts w:ascii="Times New Roman" w:cs="Times New Roman" w:eastAsia="Times New Roman" w:hAnsi="Times New Roman"/>
                <w:sz w:val="20"/>
                <w:szCs w:val="20"/>
                <w:color w:val="auto"/>
              </w:rPr>
              <w:t>Common stock, $1 par value, 30,000,000 shares authorized;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17,027,197 issued in 2022 and 17,760,243 issued in 2021 . . . . .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112,834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Retained earnings . . . . . . . . . . . .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292,261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242,750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9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(65,108)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280" w:type="dxa"/>
            <w:vAlign w:val="bottom"/>
            <w:gridSpan w:val="4"/>
          </w:tcPr>
          <w:p>
            <w:pPr>
              <w:jc w:val="right"/>
              <w:ind w:right="505"/>
              <w:spacing w:after="0"/>
              <w:rPr>
                <w:sz w:val="20"/>
                <w:szCs w:val="20"/>
                <w:color w:val="auto"/>
              </w:rPr>
            </w:pPr>
            <w:r>
              <w:rPr>
                <w:rFonts w:ascii="Times New Roman" w:cs="Times New Roman" w:eastAsia="Times New Roman" w:hAnsi="Times New Roman"/>
                <w:sz w:val="20"/>
                <w:szCs w:val="20"/>
                <w:color w:val="auto"/>
              </w:rPr>
              <w:t>Total stockholders’ equity. . . . . . . . . . . . . . . . . . . . . . . . . . . . . . . . .</w:t>
            </w:r>
          </w:p>
        </w:tc>
        <w:tc>
          <w:tcPr>
            <w:tcW w:w="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357,014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407,427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98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3,944,063</w:t>
            </w: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3,901,855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7" w:orient="portrait"/>
          <w:cols w:equalWidth="0" w:num="1">
            <w:col w:w="9227"/>
          </w:cols>
          <w:pgMar w:left="1400" w:top="900" w:right="1440" w:bottom="204" w:gutter="0" w:footer="0" w:header="0"/>
        </w:sectPr>
      </w:pPr>
    </w:p>
    <w:p>
      <w:pPr>
        <w:spacing w:after="0" w:line="18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77</w:t>
      </w:r>
    </w:p>
    <w:p>
      <w:pPr>
        <w:sectPr>
          <w:pgSz w:w="12060" w:h="15667" w:orient="portrait"/>
          <w:cols w:equalWidth="0" w:num="1">
            <w:col w:w="9227"/>
          </w:cols>
          <w:pgMar w:left="1400" w:top="900" w:right="1440" w:bottom="204" w:gutter="0" w:footer="0" w:header="0"/>
          <w:type w:val="continuous"/>
        </w:sectPr>
      </w:pPr>
    </w:p>
    <w:bookmarkStart w:id="90" w:name="page91"/>
    <w:bookmarkEnd w:id="90"/>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spacing w:after="0" w:line="22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COMPREHENSIVE INCOME (LOSS)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02"/>
        </w:trPr>
        <w:tc>
          <w:tcPr>
            <w:tcW w:w="56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9"/>
        </w:trPr>
        <w:tc>
          <w:tcPr>
            <w:tcW w:w="5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r>
      <w:tr>
        <w:trPr>
          <w:trHeight w:val="299"/>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Loans, including fees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137,954</w:t>
            </w: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120,540</w:t>
            </w:r>
          </w:p>
        </w:tc>
        <w:tc>
          <w:tcPr>
            <w:tcW w:w="6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121,733</w:t>
            </w:r>
          </w:p>
        </w:tc>
      </w:tr>
      <w:tr>
        <w:trPr>
          <w:trHeight w:val="241"/>
        </w:trPr>
        <w:tc>
          <w:tcPr>
            <w:tcW w:w="5660" w:type="dxa"/>
            <w:vAlign w:val="bottom"/>
          </w:tcPr>
          <w:p>
            <w:pPr>
              <w:jc w:val="right"/>
              <w:ind w:right="4521"/>
              <w:spacing w:after="0"/>
              <w:rPr>
                <w:sz w:val="20"/>
                <w:szCs w:val="20"/>
                <w:color w:val="auto"/>
              </w:rPr>
            </w:pPr>
            <w:r>
              <w:rPr>
                <w:rFonts w:ascii="Times New Roman" w:cs="Times New Roman" w:eastAsia="Times New Roman" w:hAnsi="Times New Roman"/>
                <w:sz w:val="20"/>
                <w:szCs w:val="20"/>
                <w:color w:val="auto"/>
              </w:rPr>
              <w:t>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Taxable . . . . . . .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12,267</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Non taxable. . . .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4,639</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Federal funds sold and interest-bearing deposits in banks .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Total interest income . . . . . . . . . . . . . . . . . . . . . . . . . . .</w:t>
            </w: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161,168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135,036</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138,231</w:t>
            </w:r>
          </w:p>
        </w:tc>
      </w:tr>
      <w:tr>
        <w:trPr>
          <w:trHeight w:val="51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Deposits . . . . . . . .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11,894</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Notes payable &amp; other borrowings . . . . . . . . . . . . . . . . . . . .</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Subordinated debt.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4,056</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Junior subordinated deferrable interest debentures . . . . . . .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Total interest expense. . . . . . . . . . . . . . . . . . . . . . . . . . . . .</w:t>
            </w: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22,692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13,272</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15,946</w:t>
            </w:r>
          </w:p>
        </w:tc>
      </w:tr>
      <w:tr>
        <w:trPr>
          <w:trHeight w:val="515"/>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Net interest income . . . . . . . . . . . . . . . . . . . . . . . . . . . . . . . . . .</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138,476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121,764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122,285</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Provision for loan losses . . . . . . . . . . . . . . . . . . . . . . . . . . . . . .</w:t>
            </w: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(2,619)</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auto"/>
              </w:rPr>
              <w:t>(1,918)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25,570</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Net interest income, after provision for loan losses . . . . . . .</w:t>
            </w:r>
          </w:p>
        </w:tc>
        <w:tc>
          <w:tcPr>
            <w:tcW w:w="8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141,095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123,682</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96,715</w:t>
            </w:r>
          </w:p>
        </w:tc>
      </w:tr>
      <w:tr>
        <w:trPr>
          <w:trHeight w:val="51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Noninterest income: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Service charges on deposit accounts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7,032</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Income from insurance activities.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8,314</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7,644</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Net gain on sales of loans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20,764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51,184</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63,531</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Bank card services and interchange fees.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12,239</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10,035</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Other mortgage banking income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8,542</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Realized gain on sale of securities . . . . . . . . . . . . . . . . . . . .</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2,318</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Investment commissions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Fiduciary fees . . . .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3,185</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Other . . . . . . . . . . . . . . . . . . . . . . . . . . . . . . . . . . . . . . . . . . .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9,959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4,649</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Total noninterest income . . . . . . . . . . . . . . . . . . . . . . . . . .</w:t>
            </w: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76,145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97,469</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101,603</w:t>
            </w:r>
          </w:p>
        </w:tc>
      </w:tr>
      <w:tr>
        <w:trPr>
          <w:trHeight w:val="51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Noninterest expense: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Salaries and employee benefits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93,360</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89,220</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Occupancy and equipment, net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14,560</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14,658</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Professional services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6,752</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Marketing and development.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3,088</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IT and data services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Bank card expenses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4,253</w:t>
            </w:r>
          </w:p>
        </w:tc>
      </w:tr>
      <w:tr>
        <w:trPr>
          <w:trHeight w:val="24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Appraisal expenses . . . . . . . . . . . . . . . . . . . . . . . . . . . . . . . . .</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3,248</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2,782</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Other . . . . . . . . . . . . . . . . . . . . . . . . . . . . . . . . . . . . . . . . . . .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17,883</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17,818</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Total noninterest expense. . . . . . . . . . . . . . . . . . . . . . . . . .</w:t>
            </w: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144,089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148,030</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141,715</w:t>
            </w:r>
          </w:p>
        </w:tc>
      </w:tr>
      <w:tr>
        <w:trPr>
          <w:trHeight w:val="514"/>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Income before income taxes . . . . . . . . . . . . . . . . . . . . . . . . . . .</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73,151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73,121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56,603</w:t>
            </w:r>
          </w:p>
        </w:tc>
      </w:tr>
      <w:tr>
        <w:trPr>
          <w:trHeight w:val="239"/>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9"/>
              </w:rPr>
              <w:t>Income tax expense . . . . . . . . . . . . . . . . . . . . . . . . . . . . . . . . . .</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14,911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14,507</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11,250</w:t>
            </w:r>
          </w:p>
        </w:tc>
      </w:tr>
      <w:tr>
        <w:trPr>
          <w:trHeight w:val="271"/>
        </w:trPr>
        <w:tc>
          <w:tcPr>
            <w:tcW w:w="566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Net income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58,240</w:t>
            </w:r>
          </w:p>
        </w:tc>
        <w:tc>
          <w:tcPr>
            <w:tcW w:w="1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58,614</w:t>
            </w:r>
          </w:p>
        </w:tc>
        <w:tc>
          <w:tcPr>
            <w:tcW w:w="6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45,353</w:t>
            </w:r>
          </w:p>
        </w:tc>
      </w:tr>
      <w:tr>
        <w:trPr>
          <w:trHeight w:val="20"/>
        </w:trPr>
        <w:tc>
          <w:tcPr>
            <w:tcW w:w="5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7" w:orient="portrait"/>
          <w:cols w:equalWidth="0" w:num="1">
            <w:col w:w="9227"/>
          </w:cols>
          <w:pgMar w:left="1400" w:top="900" w:right="1440" w:bottom="204" w:gutter="0" w:footer="0" w:header="0"/>
        </w:sectPr>
      </w:pPr>
    </w:p>
    <w:p>
      <w:pPr>
        <w:spacing w:after="0" w:line="18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78</w:t>
      </w:r>
    </w:p>
    <w:p>
      <w:pPr>
        <w:sectPr>
          <w:pgSz w:w="12060" w:h="15667" w:orient="portrait"/>
          <w:cols w:equalWidth="0" w:num="1">
            <w:col w:w="9227"/>
          </w:cols>
          <w:pgMar w:left="1400" w:top="900" w:right="1440" w:bottom="204"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5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1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r>
      <w:tr>
        <w:trPr>
          <w:trHeight w:val="29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Basic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Diluted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3"/>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w w:val="98"/>
              </w:rPr>
              <w:t>Net income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58,240</w:t>
            </w: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58,614</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45,353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Unrealized gain (loss) on securities available for sale . . . . .</w:t>
            </w: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4"/>
              </w:rPr>
              <w:t>(114,367)</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w w:val="96"/>
              </w:rPr>
              <w:t>(15,479)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28,193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560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Less: Change in fair value on hedged state and municipal</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securities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41"/>
        </w:trPr>
        <w:tc>
          <w:tcPr>
            <w:tcW w:w="560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Reclassification adjustment for (gain) loss included in net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income. . . . . . . . . . . . . . . . . . . . . . . . . . . . . . . . . . . . . . . . .</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(2,318)</w:t>
            </w:r>
          </w:p>
        </w:tc>
      </w:tr>
      <w:tr>
        <w:trPr>
          <w:trHeight w:val="239"/>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Tax effect . . . . . . . . . . . . . . . . . . . . . . . . . . . . . . . . . . . . . . .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(5,418)</w:t>
            </w:r>
          </w:p>
        </w:tc>
      </w:tr>
      <w:tr>
        <w:trPr>
          <w:trHeight w:val="20"/>
        </w:trPr>
        <w:tc>
          <w:tcPr>
            <w:tcW w:w="560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Other comprehensive income (loss) . . . . . . . . . . . . . . . . .</w:t>
            </w:r>
          </w:p>
        </w:tc>
        <w:tc>
          <w:tcPr>
            <w:tcW w:w="100" w:type="dxa"/>
            <w:vAlign w:val="bottom"/>
          </w:tcPr>
          <w:p>
            <w:pPr>
              <w:spacing w:after="0"/>
              <w:rPr>
                <w:sz w:val="23"/>
                <w:szCs w:val="2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(78,810)</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rPr>
              <w:t>(7,637)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20,381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56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Comprehensive income (loss)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(20,570)</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50,977</w:t>
            </w: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65,734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7" w:orient="portrait"/>
          <w:cols w:equalWidth="0" w:num="1">
            <w:col w:w="9240"/>
          </w:cols>
          <w:pgMar w:left="1400" w:top="987" w:right="1427" w:bottom="20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060" w:h="15667" w:orient="portrait"/>
          <w:cols w:equalWidth="0" w:num="1">
            <w:col w:w="9240"/>
          </w:cols>
          <w:pgMar w:left="1400" w:top="987" w:right="1427" w:bottom="204" w:gutter="0" w:footer="0" w:header="0"/>
          <w:type w:val="continuous"/>
        </w:sectPr>
      </w:pPr>
    </w:p>
    <w:bookmarkStart w:id="92" w:name="page93"/>
    <w:bookmarkEnd w:id="92"/>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spacing w:after="0" w:line="22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CHANGES IN STOCKHOLDERS’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96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5"/>
          </w:tcPr>
          <w:p>
            <w:pPr>
              <w:jc w:val="center"/>
              <w:ind w:right="500"/>
              <w:spacing w:after="0" w:line="17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1960" w:type="dxa"/>
            <w:vAlign w:val="bottom"/>
            <w:gridSpan w:val="7"/>
            <w:vMerge w:val="continue"/>
          </w:tcPr>
          <w:p>
            <w:pPr>
              <w:spacing w:after="0"/>
              <w:rPr>
                <w:sz w:val="10"/>
                <w:szCs w:val="10"/>
                <w:color w:val="auto"/>
              </w:rPr>
            </w:pPr>
          </w:p>
        </w:tc>
        <w:tc>
          <w:tcPr>
            <w:tcW w:w="960" w:type="dxa"/>
            <w:vAlign w:val="bottom"/>
            <w:gridSpan w:val="3"/>
            <w:vMerge w:val="restart"/>
          </w:tcPr>
          <w:p>
            <w:pPr>
              <w:jc w:val="right"/>
              <w:ind w:right="34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4"/>
            <w:vMerge w:val="restart"/>
          </w:tcPr>
          <w:p>
            <w:pPr>
              <w:jc w:val="right"/>
              <w:ind w:right="280"/>
              <w:spacing w:after="0" w:line="17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60" w:type="dxa"/>
            <w:vAlign w:val="bottom"/>
            <w:gridSpan w:val="7"/>
            <w:vMerge w:val="restart"/>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1260" w:type="dxa"/>
            <w:vAlign w:val="bottom"/>
            <w:gridSpan w:val="7"/>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tcPr>
          <w:p>
            <w:pPr>
              <w:spacing w:after="0"/>
              <w:rPr>
                <w:sz w:val="15"/>
                <w:szCs w:val="15"/>
                <w:color w:val="auto"/>
              </w:rPr>
            </w:pPr>
          </w:p>
        </w:tc>
        <w:tc>
          <w:tcPr>
            <w:tcW w:w="880" w:type="dxa"/>
            <w:vAlign w:val="bottom"/>
            <w:tcBorders>
              <w:bottom w:val="single" w:sz="8" w:color="auto"/>
            </w:tcBorders>
          </w:tcPr>
          <w:p>
            <w:pPr>
              <w:jc w:val="right"/>
              <w:ind w:right="103"/>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5"/>
                <w:szCs w:val="15"/>
                <w:color w:val="auto"/>
              </w:rPr>
            </w:pPr>
          </w:p>
        </w:tc>
        <w:tc>
          <w:tcPr>
            <w:tcW w:w="700" w:type="dxa"/>
            <w:vAlign w:val="bottom"/>
            <w:tcBorders>
              <w:bottom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gridSpan w:val="2"/>
          </w:tcPr>
          <w:p>
            <w:pPr>
              <w:spacing w:after="0"/>
              <w:rPr>
                <w:sz w:val="15"/>
                <w:szCs w:val="15"/>
                <w:color w:val="auto"/>
              </w:rPr>
            </w:pPr>
          </w:p>
        </w:tc>
        <w:tc>
          <w:tcPr>
            <w:tcW w:w="780" w:type="dxa"/>
            <w:vAlign w:val="bottom"/>
            <w:tcBorders>
              <w:bottom w:val="single" w:sz="8" w:color="auto"/>
            </w:tcBorders>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5"/>
                <w:szCs w:val="15"/>
                <w:color w:val="auto"/>
              </w:rPr>
            </w:pPr>
          </w:p>
        </w:tc>
        <w:tc>
          <w:tcPr>
            <w:tcW w:w="800" w:type="dxa"/>
            <w:vAlign w:val="bottom"/>
            <w:tcBorders>
              <w:bottom w:val="single" w:sz="8" w:color="auto"/>
            </w:tcBorders>
            <w:gridSpan w:val="3"/>
          </w:tcPr>
          <w:p>
            <w:pPr>
              <w:jc w:val="right"/>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5"/>
                <w:szCs w:val="15"/>
                <w:color w:val="auto"/>
              </w:rPr>
            </w:pPr>
          </w:p>
        </w:tc>
        <w:tc>
          <w:tcPr>
            <w:tcW w:w="1060" w:type="dxa"/>
            <w:vAlign w:val="bottom"/>
            <w:tcBorders>
              <w:bottom w:val="single" w:sz="8" w:color="auto"/>
            </w:tcBorders>
            <w:gridSpan w:val="6"/>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Income (Loss)</w:t>
            </w:r>
          </w:p>
        </w:tc>
        <w:tc>
          <w:tcPr>
            <w:tcW w:w="200" w:type="dxa"/>
            <w:vAlign w:val="bottom"/>
          </w:tcPr>
          <w:p>
            <w:pPr>
              <w:spacing w:after="0"/>
              <w:rPr>
                <w:sz w:val="15"/>
                <w:szCs w:val="15"/>
                <w:color w:val="auto"/>
              </w:rPr>
            </w:pPr>
          </w:p>
        </w:tc>
        <w:tc>
          <w:tcPr>
            <w:tcW w:w="760" w:type="dxa"/>
            <w:vAlign w:val="bottom"/>
            <w:tcBorders>
              <w:bottom w:val="single" w:sz="8" w:color="auto"/>
            </w:tcBorders>
            <w:gridSpan w:val="4"/>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gridSpan w:val="19"/>
          </w:tcPr>
          <w:p>
            <w:pPr>
              <w:ind w:left="42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2019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18,036,115</w:t>
            </w:r>
          </w:p>
        </w:tc>
        <w:tc>
          <w:tcPr>
            <w:tcW w:w="22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5"/>
              </w:rPr>
              <w:t>$18,036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5"/>
              </w:rPr>
              <w:t>$140,492</w:t>
            </w:r>
          </w:p>
        </w:tc>
        <w:tc>
          <w:tcPr>
            <w:tcW w:w="18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5"/>
              </w:rPr>
              <w:t>$146,696</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w w:val="95"/>
              </w:rPr>
              <w:t>$306,182</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45,353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45,353</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declared - $0.14</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 share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(2,528)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20,381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20,381</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Exercise of employee stock</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net of 69,855 shares for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cashless exercise and net of</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17,762 shares for taxes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59,284</w:t>
            </w:r>
          </w:p>
        </w:tc>
        <w:tc>
          <w:tcPr>
            <w:tcW w:w="2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(378)</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Repurchases of common stock . . .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(19,035)</w:t>
            </w: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(19)</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(274)</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0" w:type="dxa"/>
            <w:vAlign w:val="bottom"/>
          </w:tcPr>
          <w:p>
            <w:pPr>
              <w:spacing w:after="0"/>
              <w:rPr>
                <w:sz w:val="1"/>
                <w:szCs w:val="1"/>
                <w:color w:val="auto"/>
              </w:rPr>
            </w:pPr>
          </w:p>
        </w:tc>
      </w:tr>
      <w:tr>
        <w:trPr>
          <w:trHeight w:val="249"/>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1,272</w:t>
            </w:r>
          </w:p>
        </w:tc>
        <w:tc>
          <w:tcPr>
            <w:tcW w:w="180" w:type="dxa"/>
            <w:vAlign w:val="bottom"/>
          </w:tcPr>
          <w:p>
            <w:pPr>
              <w:spacing w:after="0"/>
              <w:rPr>
                <w:sz w:val="21"/>
                <w:szCs w:val="21"/>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1,272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94967277"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2020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18,076,364</w:t>
            </w:r>
          </w:p>
        </w:tc>
        <w:tc>
          <w:tcPr>
            <w:tcW w:w="22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18,076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141,112</w:t>
            </w:r>
          </w:p>
        </w:tc>
        <w:tc>
          <w:tcPr>
            <w:tcW w:w="18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189,521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21,339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370,048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94967277"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58,614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58,614</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declared - $0.30</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 share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(5,385)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(5,385)</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(7,637)</w:t>
            </w:r>
          </w:p>
        </w:tc>
        <w:tc>
          <w:tcPr>
            <w:tcW w:w="200" w:type="dxa"/>
            <w:vAlign w:val="bottom"/>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(7,637)</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Exercise of employee stock</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net of 82,004 shares for</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cashless exercise and net of</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23,559 shares for taxes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77,408</w:t>
            </w:r>
          </w:p>
        </w:tc>
        <w:tc>
          <w:tcPr>
            <w:tcW w:w="220" w:type="dxa"/>
            <w:vAlign w:val="bottom"/>
          </w:tcPr>
          <w:p>
            <w:pPr>
              <w:spacing w:after="0"/>
              <w:rPr>
                <w:sz w:val="20"/>
                <w:szCs w:val="20"/>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77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(702)</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Repurchases of common stock . . .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(393,529)</w:t>
            </w: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(393)</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(8,834)</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(9,227)</w:t>
            </w: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1,639</w:t>
            </w:r>
          </w:p>
        </w:tc>
        <w:tc>
          <w:tcPr>
            <w:tcW w:w="180" w:type="dxa"/>
            <w:vAlign w:val="bottom"/>
          </w:tcPr>
          <w:p>
            <w:pPr>
              <w:spacing w:after="0"/>
              <w:rPr>
                <w:sz w:val="21"/>
                <w:szCs w:val="21"/>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1,639</w:t>
            </w:r>
          </w:p>
        </w:tc>
        <w:tc>
          <w:tcPr>
            <w:tcW w:w="0" w:type="dxa"/>
            <w:vAlign w:val="bottom"/>
          </w:tcPr>
          <w:p>
            <w:pPr>
              <w:spacing w:after="0"/>
              <w:rPr>
                <w:sz w:val="1"/>
                <w:szCs w:val="1"/>
                <w:color w:val="auto"/>
              </w:rPr>
            </w:pPr>
          </w:p>
        </w:tc>
      </w:tr>
      <w:tr>
        <w:trPr>
          <w:trHeight w:val="28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2021 . . . .</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17,760,243</w:t>
            </w:r>
          </w:p>
        </w:tc>
        <w:tc>
          <w:tcPr>
            <w:tcW w:w="220" w:type="dxa"/>
            <w:vAlign w:val="bottom"/>
          </w:tcPr>
          <w:p>
            <w:pPr>
              <w:spacing w:after="0"/>
              <w:rPr>
                <w:sz w:val="24"/>
                <w:szCs w:val="24"/>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17,760</w:t>
            </w:r>
          </w:p>
        </w:tc>
        <w:tc>
          <w:tcPr>
            <w:tcW w:w="40" w:type="dxa"/>
            <w:vAlign w:val="bottom"/>
            <w:tcBorders>
              <w:top w:val="single" w:sz="8" w:color="auto"/>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133,215</w:t>
            </w:r>
          </w:p>
        </w:tc>
        <w:tc>
          <w:tcPr>
            <w:tcW w:w="180" w:type="dxa"/>
            <w:vAlign w:val="bottom"/>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242,750</w:t>
            </w: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13,702</w:t>
            </w: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407,427</w:t>
            </w:r>
          </w:p>
        </w:tc>
        <w:tc>
          <w:tcPr>
            <w:tcW w:w="4294967277" w:type="dxa"/>
            <w:vAlign w:val="bottom"/>
            <w:tcBorders>
              <w:top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58,240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58,240</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 declared - $0.46</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per share . . . . . .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(8,012)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(8,012)</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w w:val="93"/>
              </w:rPr>
              <w:t>(78,810)</w:t>
            </w:r>
          </w:p>
        </w:tc>
        <w:tc>
          <w:tcPr>
            <w:tcW w:w="200" w:type="dxa"/>
            <w:vAlign w:val="bottom"/>
          </w:tcPr>
          <w:p>
            <w:pPr>
              <w:spacing w:after="0"/>
              <w:rPr>
                <w:sz w:val="21"/>
                <w:szCs w:val="21"/>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(78,810)</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Impact of adoption of Topic 842</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to leases . . . . . .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(717)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Exercise of employee stock</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options, net of 141,762 shares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 cashless exercise and net of</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42,386 shares for taxes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126,756</w:t>
            </w:r>
          </w:p>
        </w:tc>
        <w:tc>
          <w:tcPr>
            <w:tcW w:w="220" w:type="dxa"/>
            <w:vAlign w:val="bottom"/>
          </w:tcPr>
          <w:p>
            <w:pPr>
              <w:spacing w:after="0"/>
              <w:rPr>
                <w:sz w:val="20"/>
                <w:szCs w:val="20"/>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127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(1,295)</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0" w:type="dxa"/>
            <w:vAlign w:val="bottom"/>
          </w:tcPr>
          <w:p>
            <w:pPr>
              <w:spacing w:after="0"/>
              <w:rPr>
                <w:sz w:val="1"/>
                <w:szCs w:val="1"/>
                <w:color w:val="auto"/>
              </w:rPr>
            </w:pPr>
          </w:p>
        </w:tc>
      </w:tr>
      <w:tr>
        <w:trPr>
          <w:trHeight w:val="25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Repurchases of common stock . . . .</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(859,802)</w:t>
            </w:r>
          </w:p>
        </w:tc>
        <w:tc>
          <w:tcPr>
            <w:tcW w:w="8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(860)</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(21,839)</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(22,699)</w:t>
            </w: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 . . . . . .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2,753</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5"/>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2,753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 . . .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17,027,197</w:t>
            </w:r>
          </w:p>
        </w:tc>
        <w:tc>
          <w:tcPr>
            <w:tcW w:w="220" w:type="dxa"/>
            <w:vAlign w:val="bottom"/>
          </w:tcPr>
          <w:p>
            <w:pPr>
              <w:spacing w:after="0"/>
              <w:rPr>
                <w:sz w:val="24"/>
                <w:szCs w:val="24"/>
                <w:color w:val="auto"/>
              </w:rPr>
            </w:pPr>
          </w:p>
        </w:tc>
        <w:tc>
          <w:tcPr>
            <w:tcW w:w="860" w:type="dxa"/>
            <w:vAlign w:val="bottom"/>
            <w:gridSpan w:val="5"/>
          </w:tcPr>
          <w:p>
            <w:pPr>
              <w:jc w:val="right"/>
              <w:ind w:right="22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17,027</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112,834</w:t>
            </w: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292,261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w w:val="93"/>
              </w:rPr>
              <w:t>(65,108)</w:t>
            </w:r>
          </w:p>
        </w:tc>
        <w:tc>
          <w:tcPr>
            <w:tcW w:w="200" w:type="dxa"/>
            <w:vAlign w:val="bottom"/>
          </w:tcPr>
          <w:p>
            <w:pPr>
              <w:spacing w:after="0"/>
              <w:rPr>
                <w:sz w:val="24"/>
                <w:szCs w:val="24"/>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357,014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7" w:orient="portrait"/>
          <w:cols w:equalWidth="0" w:num="1">
            <w:col w:w="9227"/>
          </w:cols>
          <w:pgMar w:left="1400" w:top="900" w:right="1440" w:bottom="203" w:gutter="0" w:footer="0" w:header="0"/>
        </w:sectPr>
      </w:pPr>
    </w:p>
    <w:p>
      <w:pPr>
        <w:spacing w:after="0" w:line="18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80</w:t>
      </w:r>
    </w:p>
    <w:p>
      <w:pPr>
        <w:sectPr>
          <w:pgSz w:w="12060" w:h="15667" w:orient="portrait"/>
          <w:cols w:equalWidth="0" w:num="1">
            <w:col w:w="9227"/>
          </w:cols>
          <w:pgMar w:left="1400" w:top="900" w:right="1440" w:bottom="203"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14"/>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9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2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07"/>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7"/>
              <w:spacing w:after="0" w:line="174" w:lineRule="exact"/>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ind w:left="80"/>
              <w:spacing w:after="0" w:line="171" w:lineRule="exact"/>
              <w:rPr>
                <w:sz w:val="20"/>
                <w:szCs w:val="20"/>
                <w:color w:val="auto"/>
              </w:rPr>
            </w:pPr>
            <w:r>
              <w:rPr>
                <w:rFonts w:ascii="Times New Roman" w:cs="Times New Roman" w:eastAsia="Times New Roman" w:hAnsi="Times New Roman"/>
                <w:sz w:val="16"/>
                <w:szCs w:val="16"/>
                <w:b w:val="1"/>
                <w:bCs w:val="1"/>
                <w:color w:val="auto"/>
                <w:w w:val="96"/>
              </w:rPr>
              <w:t>(Dollars in</w:t>
            </w:r>
          </w:p>
        </w:tc>
        <w:tc>
          <w:tcPr>
            <w:tcW w:w="1240" w:type="dxa"/>
            <w:vAlign w:val="bottom"/>
            <w:gridSpan w:val="5"/>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w w:val="95"/>
              </w:rPr>
              <w:t>thousands, except</w:t>
            </w:r>
          </w:p>
        </w:tc>
        <w:tc>
          <w:tcPr>
            <w:tcW w:w="1220" w:type="dxa"/>
            <w:vAlign w:val="bottom"/>
            <w:gridSpan w:val="5"/>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rPr>
              <w:t>per share data)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operating activities: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Net income. . . . . . . . . . . . . . . . . . . . . . . . . . . . . . . . . . . . . . . . . . . . . . .</w:t>
            </w: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58,240</w:t>
            </w:r>
          </w:p>
        </w:tc>
        <w:tc>
          <w:tcPr>
            <w:tcW w:w="2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58,614</w:t>
            </w:r>
          </w:p>
        </w:tc>
        <w:tc>
          <w:tcPr>
            <w:tcW w:w="2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45,353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920" w:type="dxa"/>
            <w:vAlign w:val="bottom"/>
          </w:tcPr>
          <w:p>
            <w:pPr>
              <w:ind w:left="200"/>
              <w:spacing w:after="0" w:line="187" w:lineRule="exact"/>
              <w:rPr>
                <w:sz w:val="20"/>
                <w:szCs w:val="20"/>
                <w:color w:val="auto"/>
              </w:rPr>
            </w:pPr>
            <w:r>
              <w:rPr>
                <w:rFonts w:ascii="Times New Roman" w:cs="Times New Roman" w:eastAsia="Times New Roman" w:hAnsi="Times New Roman"/>
                <w:sz w:val="19"/>
                <w:szCs w:val="19"/>
                <w:color w:val="auto"/>
              </w:rPr>
              <w:t>Adjustments to reconcile net income to net cash from 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4706"/>
              <w:spacing w:after="0" w:line="202" w:lineRule="exact"/>
              <w:rPr>
                <w:sz w:val="20"/>
                <w:szCs w:val="20"/>
                <w:color w:val="auto"/>
              </w:rPr>
            </w:pPr>
            <w:r>
              <w:rPr>
                <w:rFonts w:ascii="Times New Roman" w:cs="Times New Roman" w:eastAsia="Times New Roman" w:hAnsi="Times New Roman"/>
                <w:sz w:val="19"/>
                <w:szCs w:val="19"/>
                <w:color w:val="auto"/>
              </w:rPr>
              <w:t>activities: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Provision for loan losses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(2,619)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(1,918)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25,570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Depreciation and amortization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6,965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6,436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6,575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Accretion and amortization.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4,072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4,513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3,166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Other gains, net . . . . .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(729)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(2,539)</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Net gain on sales of loans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(20,764)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(51,184)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(63,531)</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Proceeds from sales of loans held for sale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783,212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1,577,953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1,434,173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Loans originated for sale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w w:val="94"/>
              </w:rPr>
              <w:t>(719,413)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w w:val="96"/>
              </w:rPr>
              <w:t>(1,500,995)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w w:val="94"/>
              </w:rPr>
              <w:t>(1,442,913)</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Deferred income tax expense (benefit)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1,359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1,453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(1,588)</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Earnings on bank-owned life insurance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(1,196)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(1,247)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(1,334)</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Stock-based compensation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2,753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1,639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1,272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Change in valuation of mortgage servicing rights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(4,705)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(1,455)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2,834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Net change in: . . . . . .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Accrued interest receivable and other assets.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(1,067)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3,382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(3,082)</w:t>
            </w:r>
          </w:p>
        </w:tc>
        <w:tc>
          <w:tcPr>
            <w:tcW w:w="0" w:type="dxa"/>
            <w:vAlign w:val="bottom"/>
          </w:tcPr>
          <w:p>
            <w:pPr>
              <w:spacing w:after="0"/>
              <w:rPr>
                <w:sz w:val="1"/>
                <w:szCs w:val="1"/>
                <w:color w:val="auto"/>
              </w:rPr>
            </w:pPr>
          </w:p>
        </w:tc>
      </w:tr>
      <w:tr>
        <w:trPr>
          <w:trHeight w:val="206"/>
        </w:trPr>
        <w:tc>
          <w:tcPr>
            <w:tcW w:w="5920" w:type="dxa"/>
            <w:vAlign w:val="bottom"/>
          </w:tcPr>
          <w:p>
            <w:pPr>
              <w:jc w:val="right"/>
              <w:ind w:right="146"/>
              <w:spacing w:after="0" w:line="206" w:lineRule="exact"/>
              <w:rPr>
                <w:sz w:val="20"/>
                <w:szCs w:val="20"/>
                <w:color w:val="auto"/>
              </w:rPr>
            </w:pPr>
            <w:r>
              <w:rPr>
                <w:rFonts w:ascii="Times New Roman" w:cs="Times New Roman" w:eastAsia="Times New Roman" w:hAnsi="Times New Roman"/>
                <w:sz w:val="19"/>
                <w:szCs w:val="19"/>
                <w:color w:val="auto"/>
              </w:rPr>
              <w:t>Accrued expenses and other liabilities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6" w:lineRule="exact"/>
              <w:rPr>
                <w:sz w:val="20"/>
                <w:szCs w:val="20"/>
                <w:color w:val="auto"/>
              </w:rPr>
            </w:pPr>
            <w:r>
              <w:rPr>
                <w:rFonts w:ascii="Times New Roman" w:cs="Times New Roman" w:eastAsia="Times New Roman" w:hAnsi="Times New Roman"/>
                <w:sz w:val="19"/>
                <w:szCs w:val="19"/>
                <w:color w:val="auto"/>
              </w:rPr>
              <w:t>16,919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6" w:lineRule="exact"/>
              <w:rPr>
                <w:sz w:val="20"/>
                <w:szCs w:val="20"/>
                <w:color w:val="auto"/>
              </w:rPr>
            </w:pPr>
            <w:r>
              <w:rPr>
                <w:rFonts w:ascii="Times New Roman" w:cs="Times New Roman" w:eastAsia="Times New Roman" w:hAnsi="Times New Roman"/>
                <w:sz w:val="19"/>
                <w:szCs w:val="19"/>
                <w:color w:val="auto"/>
              </w:rPr>
              <w:t>(191)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19"/>
                <w:szCs w:val="19"/>
                <w:color w:val="auto"/>
              </w:rPr>
              <w:t>1,671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Net cash provided by operating activities. . . . . . . . . . . . . . . . . .</w:t>
            </w: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123,590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96,271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investing activities: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0"/>
              <w:spacing w:after="0" w:line="202" w:lineRule="exact"/>
              <w:rPr>
                <w:sz w:val="20"/>
                <w:szCs w:val="20"/>
                <w:color w:val="auto"/>
              </w:rPr>
            </w:pPr>
            <w:r>
              <w:rPr>
                <w:rFonts w:ascii="Times New Roman" w:cs="Times New Roman" w:eastAsia="Times New Roman" w:hAnsi="Times New Roman"/>
                <w:sz w:val="19"/>
                <w:szCs w:val="19"/>
                <w:color w:val="auto"/>
              </w:rPr>
              <w:t>Activity in securities available for sale: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Purchases . . . . . . . . . .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w w:val="94"/>
              </w:rPr>
              <w:t>(176,713)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(61,548)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(279,727)</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Sales. . . . . . . . . . . . . .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94,514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Maturities, prepayments, and calls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81,253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120,325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114,850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Loan originations and principal collections, net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w w:val="94"/>
              </w:rPr>
              <w:t>(311,459)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(218,458)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(84,991)</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Cash paid for acquisition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(687)</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Goodwill adjustment related to litigation settlement.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460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Purchases of premises and equipment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(4,469)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(2,920)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(3,310)</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Proceeds from sales of premises and equipment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1,458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20" w:type="dxa"/>
            <w:vAlign w:val="bottom"/>
          </w:tcPr>
          <w:p>
            <w:pPr>
              <w:jc w:val="right"/>
              <w:ind w:right="146"/>
              <w:spacing w:after="0" w:line="206" w:lineRule="exact"/>
              <w:rPr>
                <w:sz w:val="20"/>
                <w:szCs w:val="20"/>
                <w:color w:val="auto"/>
              </w:rPr>
            </w:pPr>
            <w:r>
              <w:rPr>
                <w:rFonts w:ascii="Times New Roman" w:cs="Times New Roman" w:eastAsia="Times New Roman" w:hAnsi="Times New Roman"/>
                <w:sz w:val="19"/>
                <w:szCs w:val="19"/>
                <w:color w:val="auto"/>
              </w:rPr>
              <w:t>Proceeds from sales of foreclosed assets . . . . . . . . . . . . . . . . . . . . . . . .</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9"/>
                <w:szCs w:val="19"/>
                <w:color w:val="auto"/>
              </w:rPr>
              <w:t>2,051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9"/>
                <w:szCs w:val="19"/>
                <w:color w:val="auto"/>
              </w:rPr>
              <w:t>1,302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9"/>
                <w:szCs w:val="19"/>
                <w:color w:val="auto"/>
              </w:rPr>
              <w:t>2,441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Net cash used in investing activities.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41"/>
              <w:spacing w:after="0"/>
              <w:rPr>
                <w:sz w:val="20"/>
                <w:szCs w:val="20"/>
                <w:color w:val="auto"/>
              </w:rPr>
            </w:pPr>
            <w:r>
              <w:rPr>
                <w:rFonts w:ascii="Times New Roman" w:cs="Times New Roman" w:eastAsia="Times New Roman" w:hAnsi="Times New Roman"/>
                <w:sz w:val="19"/>
                <w:szCs w:val="19"/>
                <w:color w:val="auto"/>
                <w:w w:val="94"/>
              </w:rPr>
              <w:t>(408,857)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141"/>
              <w:spacing w:after="0"/>
              <w:rPr>
                <w:sz w:val="20"/>
                <w:szCs w:val="20"/>
                <w:color w:val="auto"/>
              </w:rPr>
            </w:pPr>
            <w:r>
              <w:rPr>
                <w:rFonts w:ascii="Times New Roman" w:cs="Times New Roman" w:eastAsia="Times New Roman" w:hAnsi="Times New Roman"/>
                <w:sz w:val="19"/>
                <w:szCs w:val="19"/>
                <w:color w:val="auto"/>
              </w:rPr>
              <w:t>(159,841)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(156,228)</w:t>
            </w:r>
          </w:p>
        </w:tc>
        <w:tc>
          <w:tcPr>
            <w:tcW w:w="0" w:type="dxa"/>
            <w:vAlign w:val="bottom"/>
          </w:tcPr>
          <w:p>
            <w:pPr>
              <w:spacing w:after="0"/>
              <w:rPr>
                <w:sz w:val="1"/>
                <w:szCs w:val="1"/>
                <w:color w:val="auto"/>
              </w:rPr>
            </w:pPr>
          </w:p>
        </w:tc>
      </w:tr>
      <w:tr>
        <w:trPr>
          <w:trHeight w:val="429"/>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financing activities:</w:t>
            </w: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Net change in deposits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Times New Roman" w:cs="Times New Roman" w:eastAsia="Times New Roman" w:hAnsi="Times New Roman"/>
                <w:sz w:val="19"/>
                <w:szCs w:val="19"/>
                <w:color w:val="auto"/>
              </w:rPr>
              <w:t>65,208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366,871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277,494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Net change in short-term borrowings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(26,550)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(10,615)</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Proceeds from subordinated debt issuance, net.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49,070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Proceeds from notes payable and other borrowings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75,000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Payments to tax authorities for stock-based compensation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(1,168)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(625)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(319)</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Payments made on notes payable and other borrowings.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2" w:lineRule="exact"/>
              <w:rPr>
                <w:sz w:val="20"/>
                <w:szCs w:val="20"/>
                <w:color w:val="auto"/>
              </w:rPr>
            </w:pPr>
            <w:r>
              <w:rPr>
                <w:rFonts w:ascii="Times New Roman" w:cs="Times New Roman" w:eastAsia="Times New Roman" w:hAnsi="Times New Roman"/>
                <w:sz w:val="19"/>
                <w:szCs w:val="19"/>
                <w:color w:val="auto"/>
              </w:rPr>
              <w:t>(75,000)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9"/>
                <w:szCs w:val="19"/>
                <w:color w:val="auto"/>
              </w:rPr>
              <w:t>(95,000)</w:t>
            </w: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3" w:lineRule="exact"/>
              <w:rPr>
                <w:sz w:val="20"/>
                <w:szCs w:val="20"/>
                <w:color w:val="auto"/>
              </w:rPr>
            </w:pPr>
            <w:r>
              <w:rPr>
                <w:rFonts w:ascii="Times New Roman" w:cs="Times New Roman" w:eastAsia="Times New Roman" w:hAnsi="Times New Roman"/>
                <w:sz w:val="19"/>
                <w:szCs w:val="19"/>
                <w:color w:val="auto"/>
              </w:rPr>
              <w:t>Cash dividends paid on common stock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3" w:lineRule="exact"/>
              <w:rPr>
                <w:sz w:val="20"/>
                <w:szCs w:val="20"/>
                <w:color w:val="auto"/>
              </w:rPr>
            </w:pPr>
            <w:r>
              <w:rPr>
                <w:rFonts w:ascii="Times New Roman" w:cs="Times New Roman" w:eastAsia="Times New Roman" w:hAnsi="Times New Roman"/>
                <w:sz w:val="19"/>
                <w:szCs w:val="19"/>
                <w:color w:val="auto"/>
              </w:rPr>
              <w:t>(8,012)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3" w:lineRule="exact"/>
              <w:rPr>
                <w:sz w:val="20"/>
                <w:szCs w:val="20"/>
                <w:color w:val="auto"/>
              </w:rPr>
            </w:pPr>
            <w:r>
              <w:rPr>
                <w:rFonts w:ascii="Times New Roman" w:cs="Times New Roman" w:eastAsia="Times New Roman" w:hAnsi="Times New Roman"/>
                <w:sz w:val="19"/>
                <w:szCs w:val="19"/>
                <w:color w:val="auto"/>
              </w:rPr>
              <w:t>(5,385)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9"/>
                <w:szCs w:val="19"/>
                <w:color w:val="auto"/>
              </w:rPr>
              <w:t>(2,528)</w:t>
            </w:r>
          </w:p>
        </w:tc>
        <w:tc>
          <w:tcPr>
            <w:tcW w:w="0" w:type="dxa"/>
            <w:vAlign w:val="bottom"/>
          </w:tcPr>
          <w:p>
            <w:pPr>
              <w:spacing w:after="0"/>
              <w:rPr>
                <w:sz w:val="1"/>
                <w:szCs w:val="1"/>
                <w:color w:val="auto"/>
              </w:rPr>
            </w:pPr>
          </w:p>
        </w:tc>
      </w:tr>
      <w:tr>
        <w:trPr>
          <w:trHeight w:val="206"/>
        </w:trPr>
        <w:tc>
          <w:tcPr>
            <w:tcW w:w="5920" w:type="dxa"/>
            <w:vAlign w:val="bottom"/>
          </w:tcPr>
          <w:p>
            <w:pPr>
              <w:jc w:val="right"/>
              <w:ind w:right="146"/>
              <w:spacing w:after="0" w:line="206" w:lineRule="exact"/>
              <w:rPr>
                <w:sz w:val="20"/>
                <w:szCs w:val="20"/>
                <w:color w:val="auto"/>
              </w:rPr>
            </w:pPr>
            <w:r>
              <w:rPr>
                <w:rFonts w:ascii="Times New Roman" w:cs="Times New Roman" w:eastAsia="Times New Roman" w:hAnsi="Times New Roman"/>
                <w:sz w:val="19"/>
                <w:szCs w:val="19"/>
                <w:color w:val="auto"/>
              </w:rPr>
              <w:t>Payments to repurchase common stock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141"/>
              <w:spacing w:after="0" w:line="206" w:lineRule="exact"/>
              <w:rPr>
                <w:sz w:val="20"/>
                <w:szCs w:val="20"/>
                <w:color w:val="auto"/>
              </w:rPr>
            </w:pPr>
            <w:r>
              <w:rPr>
                <w:rFonts w:ascii="Times New Roman" w:cs="Times New Roman" w:eastAsia="Times New Roman" w:hAnsi="Times New Roman"/>
                <w:sz w:val="19"/>
                <w:szCs w:val="19"/>
                <w:color w:val="auto"/>
              </w:rPr>
              <w:t>(22,699)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1"/>
              <w:spacing w:after="0" w:line="206" w:lineRule="exact"/>
              <w:rPr>
                <w:sz w:val="20"/>
                <w:szCs w:val="20"/>
                <w:color w:val="auto"/>
              </w:rPr>
            </w:pPr>
            <w:r>
              <w:rPr>
                <w:rFonts w:ascii="Times New Roman" w:cs="Times New Roman" w:eastAsia="Times New Roman" w:hAnsi="Times New Roman"/>
                <w:sz w:val="19"/>
                <w:szCs w:val="19"/>
                <w:color w:val="auto"/>
              </w:rPr>
              <w:t>(9,227)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19"/>
                <w:szCs w:val="19"/>
                <w:color w:val="auto"/>
              </w:rPr>
              <w:t>(293)</w:t>
            </w:r>
          </w:p>
        </w:tc>
        <w:tc>
          <w:tcPr>
            <w:tcW w:w="0" w:type="dxa"/>
            <w:vAlign w:val="bottom"/>
          </w:tcPr>
          <w:p>
            <w:pPr>
              <w:spacing w:after="0"/>
              <w:rPr>
                <w:sz w:val="1"/>
                <w:szCs w:val="1"/>
                <w:color w:val="auto"/>
              </w:rPr>
            </w:pPr>
          </w:p>
        </w:tc>
      </w:tr>
      <w:tr>
        <w:trPr>
          <w:trHeight w:val="231"/>
        </w:trPr>
        <w:tc>
          <w:tcPr>
            <w:tcW w:w="59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Net cash provided by financing activities. . . . . . . . . . . . . . . . . . . .</w:t>
            </w: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33,329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250,084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292,809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59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Net change in cash and cash equivalents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4"/>
          </w:tcPr>
          <w:p>
            <w:pPr>
              <w:jc w:val="right"/>
              <w:ind w:right="141"/>
              <w:spacing w:after="0"/>
              <w:rPr>
                <w:sz w:val="20"/>
                <w:szCs w:val="20"/>
                <w:color w:val="auto"/>
              </w:rPr>
            </w:pPr>
            <w:r>
              <w:rPr>
                <w:rFonts w:ascii="Times New Roman" w:cs="Times New Roman" w:eastAsia="Times New Roman" w:hAnsi="Times New Roman"/>
                <w:sz w:val="19"/>
                <w:szCs w:val="19"/>
                <w:color w:val="auto"/>
                <w:w w:val="94"/>
              </w:rPr>
              <w:t>(251,938)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186,514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142,208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920" w:type="dxa"/>
            <w:vAlign w:val="bottom"/>
          </w:tcPr>
          <w:p>
            <w:pPr>
              <w:jc w:val="right"/>
              <w:ind w:right="146"/>
              <w:spacing w:after="0" w:line="206" w:lineRule="exact"/>
              <w:rPr>
                <w:sz w:val="20"/>
                <w:szCs w:val="20"/>
                <w:color w:val="auto"/>
              </w:rPr>
            </w:pPr>
            <w:r>
              <w:rPr>
                <w:rFonts w:ascii="Times New Roman" w:cs="Times New Roman" w:eastAsia="Times New Roman" w:hAnsi="Times New Roman"/>
                <w:sz w:val="19"/>
                <w:szCs w:val="19"/>
                <w:color w:val="auto"/>
              </w:rPr>
              <w:t>Beginning cash and cash equivalents . . . . . . . . . . . . . . . . . . . . . . . . . . . . .</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9"/>
                <w:szCs w:val="19"/>
                <w:color w:val="auto"/>
              </w:rPr>
              <w:t>486,821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9"/>
                <w:szCs w:val="19"/>
                <w:color w:val="auto"/>
              </w:rPr>
              <w:t>300,307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9"/>
                <w:szCs w:val="19"/>
                <w:color w:val="auto"/>
              </w:rPr>
              <w:t>158,099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Ending cash and cash equivalents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234,883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486,821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300,307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Supplemental disclosures of cash flow information:</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9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Interest paid on deposits and borrowed funds . . . . . . . . . . . . . . . . . . . .</w:t>
            </w: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21,770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13,471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16,116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Income taxes paid . . . . . . . . . . . . . . .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13,835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12,400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13,513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Supplemental schedule of noncash activities: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Loans transferred to foreclosed assets .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764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927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1,867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20" w:type="dxa"/>
            <w:vAlign w:val="bottom"/>
          </w:tcPr>
          <w:p>
            <w:pPr>
              <w:jc w:val="right"/>
              <w:ind w:right="146"/>
              <w:spacing w:after="0" w:line="202" w:lineRule="exact"/>
              <w:rPr>
                <w:sz w:val="20"/>
                <w:szCs w:val="20"/>
                <w:color w:val="auto"/>
              </w:rPr>
            </w:pPr>
            <w:r>
              <w:rPr>
                <w:rFonts w:ascii="Times New Roman" w:cs="Times New Roman" w:eastAsia="Times New Roman" w:hAnsi="Times New Roman"/>
                <w:sz w:val="19"/>
                <w:szCs w:val="19"/>
                <w:color w:val="auto"/>
              </w:rPr>
              <w:t>Business combination measurement period adjustment.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201"/>
              <w:spacing w:after="0" w:line="202" w:lineRule="exact"/>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1,211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tcPr>
          <w:p>
            <w:pPr>
              <w:jc w:val="right"/>
              <w:ind w:right="146"/>
              <w:spacing w:after="0" w:line="207" w:lineRule="exact"/>
              <w:rPr>
                <w:sz w:val="20"/>
                <w:szCs w:val="20"/>
                <w:color w:val="auto"/>
              </w:rPr>
            </w:pPr>
            <w:r>
              <w:rPr>
                <w:rFonts w:ascii="Times New Roman" w:cs="Times New Roman" w:eastAsia="Times New Roman" w:hAnsi="Times New Roman"/>
                <w:sz w:val="19"/>
                <w:szCs w:val="19"/>
                <w:color w:val="auto"/>
              </w:rPr>
              <w:t>Additions to mortgage servicing rights. . . . . . . . . . . . . . . . . . . . . . . . .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3,069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9,196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9,829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060" w:h="15667" w:orient="portrait"/>
          <w:cols w:equalWidth="0" w:num="1">
            <w:col w:w="9240"/>
          </w:cols>
          <w:pgMar w:left="1400" w:top="900" w:right="1427" w:bottom="20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060" w:h="15667" w:orient="portrait"/>
          <w:cols w:equalWidth="0" w:num="1">
            <w:col w:w="9240"/>
          </w:cols>
          <w:pgMar w:left="1400" w:top="900" w:right="1427" w:bottom="204" w:gutter="0" w:footer="0" w:header="0"/>
          <w:type w:val="continuous"/>
        </w:sectPr>
      </w:pPr>
    </w:p>
    <w:bookmarkStart w:id="94" w:name="page95"/>
    <w:bookmarkEnd w:id="94"/>
    <w:p>
      <w:pPr>
        <w:jc w:val="center"/>
        <w:ind w:right="7"/>
        <w:spacing w:after="0"/>
        <w:rPr>
          <w:sz w:val="20"/>
          <w:szCs w:val="20"/>
          <w:color w:val="auto"/>
        </w:rPr>
      </w:pPr>
      <w:r>
        <w:rPr>
          <w:rFonts w:ascii="Times New Roman" w:cs="Times New Roman" w:eastAsia="Times New Roman" w:hAnsi="Times New Roman"/>
          <w:sz w:val="20"/>
          <w:szCs w:val="20"/>
          <w:b w:val="1"/>
          <w:bCs w:val="1"/>
          <w:i w:val="1"/>
          <w:iCs w:val="1"/>
          <w:color w:val="auto"/>
        </w:rPr>
        <w:t>SOUTH PLAINS FINANCIAL, INC. AND SUBSIDIARIES</w:t>
      </w: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i w:val="1"/>
          <w:iCs w:val="1"/>
          <w:color w:val="auto"/>
        </w:rPr>
        <w:t>NOTES TO CONSOLIDATED FINANCIAL STATEMENTS</w:t>
      </w:r>
    </w:p>
    <w:p>
      <w:pPr>
        <w:spacing w:after="0" w:line="154" w:lineRule="exact"/>
        <w:rPr>
          <w:sz w:val="20"/>
          <w:szCs w:val="20"/>
          <w:color w:val="auto"/>
        </w:rPr>
      </w:pPr>
    </w:p>
    <w:p>
      <w:pPr>
        <w:ind w:left="360" w:hanging="354"/>
        <w:spacing w:after="0"/>
        <w:tabs>
          <w:tab w:leader="none" w:pos="360" w:val="left"/>
        </w:tabs>
        <w:numPr>
          <w:ilvl w:val="0"/>
          <w:numId w:val="2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SUMMARY OF SIGNIFICANT ACCOUNTING POLICIES</w:t>
      </w:r>
    </w:p>
    <w:p>
      <w:pPr>
        <w:spacing w:after="0" w:line="11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Nature of Operations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South Plains Financial, Inc. (‘‘SPFI’’) is a Texas corporation and registered bank holding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that conducts its principal 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Wholly-Owned, Consolidated Subsidiaries:</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City Bank</w:t>
      </w:r>
      <w:r>
        <w:rPr>
          <w:sz w:val="20"/>
          <w:szCs w:val="20"/>
          <w:color w:val="auto"/>
        </w:rPr>
        <w:tab/>
      </w:r>
      <w:r>
        <w:rPr>
          <w:rFonts w:ascii="Times New Roman" w:cs="Times New Roman" w:eastAsia="Times New Roman" w:hAnsi="Times New Roman"/>
          <w:sz w:val="19"/>
          <w:szCs w:val="19"/>
          <w:color w:val="auto"/>
        </w:rPr>
        <w:t>Bank subsidiary</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Windmark Insurance Agency, Inc. (‘‘Windmark’’)</w:t>
      </w:r>
      <w:r>
        <w:rPr>
          <w:sz w:val="20"/>
          <w:szCs w:val="20"/>
          <w:color w:val="auto"/>
        </w:rPr>
        <w:tab/>
      </w:r>
      <w:r>
        <w:rPr>
          <w:rFonts w:ascii="Times New Roman" w:cs="Times New Roman" w:eastAsia="Times New Roman" w:hAnsi="Times New Roman"/>
          <w:sz w:val="19"/>
          <w:szCs w:val="19"/>
          <w:color w:val="auto"/>
        </w:rPr>
        <w:t>Non-bank subsidiary</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Ruidoso Retail, Inc.</w:t>
      </w:r>
      <w:r>
        <w:rPr>
          <w:sz w:val="20"/>
          <w:szCs w:val="20"/>
          <w:color w:val="auto"/>
        </w:rPr>
        <w:tab/>
      </w:r>
      <w:r>
        <w:rPr>
          <w:rFonts w:ascii="Times New Roman" w:cs="Times New Roman" w:eastAsia="Times New Roman" w:hAnsi="Times New Roman"/>
          <w:sz w:val="19"/>
          <w:szCs w:val="19"/>
          <w:color w:val="auto"/>
        </w:rPr>
        <w:t>Non-bank subsidiary</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CB Provence, LLC</w:t>
      </w:r>
      <w:r>
        <w:rPr>
          <w:sz w:val="20"/>
          <w:szCs w:val="20"/>
          <w:color w:val="auto"/>
        </w:rPr>
        <w:tab/>
      </w:r>
      <w:r>
        <w:rPr>
          <w:rFonts w:ascii="Times New Roman" w:cs="Times New Roman" w:eastAsia="Times New Roman" w:hAnsi="Times New Roman"/>
          <w:sz w:val="19"/>
          <w:szCs w:val="19"/>
          <w:color w:val="auto"/>
        </w:rPr>
        <w:t>Non-bank subsidiary</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CBT Brushy Creek, LLC</w:t>
      </w:r>
      <w:r>
        <w:rPr>
          <w:sz w:val="20"/>
          <w:szCs w:val="20"/>
          <w:color w:val="auto"/>
        </w:rPr>
        <w:tab/>
      </w:r>
      <w:r>
        <w:rPr>
          <w:rFonts w:ascii="Times New Roman" w:cs="Times New Roman" w:eastAsia="Times New Roman" w:hAnsi="Times New Roman"/>
          <w:sz w:val="19"/>
          <w:szCs w:val="19"/>
          <w:color w:val="auto"/>
        </w:rPr>
        <w:t>Non-bank subsidiary</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CBT Properties, LLC</w:t>
      </w:r>
      <w:r>
        <w:rPr>
          <w:sz w:val="20"/>
          <w:szCs w:val="20"/>
          <w:color w:val="auto"/>
        </w:rPr>
        <w:tab/>
      </w:r>
      <w:r>
        <w:rPr>
          <w:rFonts w:ascii="Times New Roman" w:cs="Times New Roman" w:eastAsia="Times New Roman" w:hAnsi="Times New Roman"/>
          <w:sz w:val="19"/>
          <w:szCs w:val="19"/>
          <w:color w:val="auto"/>
        </w:rPr>
        <w:t>Non-bank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Wholly-Owned, Equity Method Subsidiaries:</w:t>
      </w:r>
    </w:p>
    <w:p>
      <w:pPr>
        <w:spacing w:after="0" w:line="21" w:lineRule="exact"/>
        <w:rPr>
          <w:sz w:val="20"/>
          <w:szCs w:val="20"/>
          <w:color w:val="auto"/>
        </w:rPr>
      </w:pPr>
    </w:p>
    <w:p>
      <w:pPr>
        <w:ind w:left="200"/>
        <w:spacing w:after="0"/>
        <w:tabs>
          <w:tab w:leader="none" w:pos="4720" w:val="left"/>
        </w:tabs>
        <w:rPr>
          <w:sz w:val="20"/>
          <w:szCs w:val="20"/>
          <w:color w:val="auto"/>
        </w:rPr>
      </w:pPr>
      <w:r>
        <w:rPr>
          <w:rFonts w:ascii="Times New Roman" w:cs="Times New Roman" w:eastAsia="Times New Roman" w:hAnsi="Times New Roman"/>
          <w:sz w:val="20"/>
          <w:szCs w:val="20"/>
          <w:color w:val="auto"/>
        </w:rPr>
        <w:t>South Plains Financial Capital Trusts (SPFCT) III-V</w:t>
      </w:r>
      <w:r>
        <w:rPr>
          <w:sz w:val="20"/>
          <w:szCs w:val="20"/>
          <w:color w:val="auto"/>
        </w:rPr>
        <w:tab/>
      </w:r>
      <w:r>
        <w:rPr>
          <w:rFonts w:ascii="Times New Roman" w:cs="Times New Roman" w:eastAsia="Times New Roman" w:hAnsi="Times New Roman"/>
          <w:sz w:val="19"/>
          <w:szCs w:val="19"/>
          <w:color w:val="auto"/>
        </w:rPr>
        <w:t>Non-bank subsidiaries</w:t>
      </w:r>
    </w:p>
    <w:p>
      <w:pPr>
        <w:spacing w:after="0" w:line="152"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i w:val="1"/>
          <w:iCs w:val="1"/>
          <w:u w:val="single" w:color="auto"/>
          <w:color w:val="auto"/>
        </w:rPr>
        <w:t>Basis of Presentation and Consolidation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consolidated financial statements include the accounts of SPFI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its wholly-owned consolidated subsidiaries (collectively referred to as the ‘‘Company’’) identified above. All significant intercompany balances and transactions have been eliminated in consolidation.</w:t>
      </w:r>
    </w:p>
    <w:p>
      <w:pPr>
        <w:spacing w:after="0" w:line="138"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 xml:space="preserve">The Company’s consolidated financial statements are prepared and presented in accordance with generally accepted accounting principles (‘‘GAAP’’) in the U.S. </w:t>
      </w:r>
      <w:r>
        <w:rPr>
          <w:rFonts w:ascii="Times New Roman" w:cs="Times New Roman" w:eastAsia="Times New Roman" w:hAnsi="Times New Roman"/>
          <w:sz w:val="20"/>
          <w:szCs w:val="20"/>
          <w:i w:val="1"/>
          <w:iCs w:val="1"/>
          <w:color w:val="auto"/>
        </w:rPr>
        <w:t>Financial Accounting Standards Board (‘‘FASB’’)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Standards Codification (‘‘ASC’’) </w:t>
      </w:r>
      <w:r>
        <w:rPr>
          <w:rFonts w:ascii="Times New Roman" w:cs="Times New Roman" w:eastAsia="Times New Roman" w:hAnsi="Times New Roman"/>
          <w:sz w:val="20"/>
          <w:szCs w:val="20"/>
          <w:color w:val="auto"/>
        </w:rPr>
        <w:t>constitutes GAAP for nongovernmental entities.</w:t>
      </w:r>
    </w:p>
    <w:p>
      <w:pPr>
        <w:spacing w:after="0" w:line="138"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Use of Estimates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preparation of financial statements in conformity with GAAP requires management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37"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Concentration of Credit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bank subsidiary is primarily involved in real estate, commercial, agricultural,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consumer 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136"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Comprehensive Income (Loss)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Comprehensive income (loss) is comprised of net income or loss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comprehensive income or loss (‘‘OCI’’). Relevant examples of OCI items are unrealized holding gains and losses on securities available for sale, subsequent decreases (if not an other-than-temporary impairment) or increases in the fair value of securities available for sale previously written down as impaired, and net gains and losses on fair value hedges.</w:t>
      </w:r>
    </w:p>
    <w:p>
      <w:pPr>
        <w:spacing w:after="0" w:line="136"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Cash and Cash Equivalents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includes all cash on hand, balances due from other banks,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funds sold, all of which have original maturities within three months, as cash and cash equivalents in the accompanying consolidated financial statements. On March 15, 2020, the Federal Reserve Bank announced that it had reduced regulatory reserve requirements to zero percent effective on March 26, 2020; therefore, no cash is required to be maintained to satisfy regulatory reserve requirements.</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Securities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Investment securities may be classified into trading, held to maturity (‘‘HTM’’) or available for sale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other comprehensive income (loss).</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82</w:t>
      </w:r>
    </w:p>
    <w:p>
      <w:pPr>
        <w:sectPr>
          <w:pgSz w:w="12060" w:h="15667" w:orient="portrait"/>
          <w:cols w:equalWidth="0" w:num="1">
            <w:col w:w="9227"/>
          </w:cols>
          <w:pgMar w:left="1400" w:top="900" w:right="1440" w:bottom="204" w:gutter="0" w:footer="0" w:header="0"/>
          <w:type w:val="continuous"/>
        </w:sectPr>
      </w:pPr>
    </w:p>
    <w:bookmarkStart w:id="95" w:name="page96"/>
    <w:bookmarkEnd w:id="95"/>
    <w:p>
      <w:pPr>
        <w:jc w:val="both"/>
        <w:ind w:right="7"/>
        <w:spacing w:after="0" w:line="254" w:lineRule="auto"/>
        <w:rPr>
          <w:sz w:val="20"/>
          <w:szCs w:val="20"/>
          <w:color w:val="auto"/>
        </w:rPr>
      </w:pPr>
      <w:r>
        <w:rPr>
          <w:rFonts w:ascii="Times New Roman" w:cs="Times New Roman" w:eastAsia="Times New Roman" w:hAnsi="Times New Roman"/>
          <w:sz w:val="20"/>
          <w:szCs w:val="20"/>
          <w:color w:val="auto"/>
        </w:rPr>
        <w:t>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134"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i w:val="1"/>
          <w:iCs w:val="1"/>
          <w:u w:val="single" w:color="auto"/>
          <w:color w:val="auto"/>
        </w:rPr>
        <w:t>Nonmarketable Equity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Securities with limited marketability, such as stock in the Federal Home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Bank of Dallas (‘‘FHLB’’), are carried at cost and 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spacing w:after="0" w:line="138"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Loans that management has the intent and ability to hold for the foreseeable future or until maturity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36" w:lineRule="exact"/>
        <w:rPr>
          <w:sz w:val="20"/>
          <w:szCs w:val="20"/>
          <w:color w:val="auto"/>
        </w:rPr>
      </w:pPr>
    </w:p>
    <w:p>
      <w:pPr>
        <w:jc w:val="both"/>
        <w:ind w:right="7" w:firstLine="394"/>
        <w:spacing w:after="0" w:line="249" w:lineRule="auto"/>
        <w:rPr>
          <w:sz w:val="20"/>
          <w:szCs w:val="20"/>
          <w:color w:val="auto"/>
        </w:rPr>
      </w:pPr>
      <w:r>
        <w:rPr>
          <w:rFonts w:ascii="Times New Roman" w:cs="Times New Roman" w:eastAsia="Times New Roman" w:hAnsi="Times New Roman"/>
          <w:sz w:val="20"/>
          <w:szCs w:val="20"/>
          <w:i w:val="1"/>
          <w:iCs w:val="1"/>
          <w:u w:val="single" w:color="auto"/>
          <w:color w:val="auto"/>
        </w:rPr>
        <w:t>Allowance for Loan Losses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allowance for loan losses is established by management as an estimate to cover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probable loan losses through a 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33"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35"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w:t>
      </w:r>
    </w:p>
    <w:p>
      <w:pPr>
        <w:sectPr>
          <w:pgSz w:w="12060" w:h="15667" w:orient="portrait"/>
          <w:cols w:equalWidth="0" w:num="1">
            <w:col w:w="9227"/>
          </w:cols>
          <w:pgMar w:left="1400" w:top="912" w:right="1440" w:bottom="203"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83</w:t>
      </w:r>
    </w:p>
    <w:p>
      <w:pPr>
        <w:sectPr>
          <w:pgSz w:w="12060" w:h="15667" w:orient="portrait"/>
          <w:cols w:equalWidth="0" w:num="1">
            <w:col w:w="9227"/>
          </w:cols>
          <w:pgMar w:left="1400" w:top="912" w:right="1440" w:bottom="203" w:gutter="0" w:footer="0" w:header="0"/>
          <w:type w:val="continuous"/>
        </w:sectPr>
      </w:pPr>
    </w:p>
    <w:bookmarkStart w:id="96" w:name="page97"/>
    <w:bookmarkEnd w:id="96"/>
    <w:p>
      <w:pPr>
        <w:jc w:val="both"/>
        <w:ind w:right="7"/>
        <w:spacing w:after="0" w:line="270" w:lineRule="auto"/>
        <w:rPr>
          <w:sz w:val="20"/>
          <w:szCs w:val="20"/>
          <w:color w:val="auto"/>
        </w:rPr>
      </w:pPr>
      <w:r>
        <w:rPr>
          <w:rFonts w:ascii="Times New Roman" w:cs="Times New Roman" w:eastAsia="Times New Roman" w:hAnsi="Times New Roman"/>
          <w:sz w:val="19"/>
          <w:szCs w:val="19"/>
          <w:color w:val="auto"/>
        </w:rPr>
        <w:t>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20"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38"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34"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auto"/>
        </w:rPr>
        <w:t>Acquired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Loans that the Company acquires in connection with business combinations are recorded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with no 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138" w:lineRule="exact"/>
        <w:rPr>
          <w:sz w:val="20"/>
          <w:szCs w:val="20"/>
          <w:color w:val="auto"/>
        </w:rPr>
      </w:pPr>
    </w:p>
    <w:p>
      <w:pPr>
        <w:jc w:val="both"/>
        <w:ind w:right="7" w:firstLine="394"/>
        <w:spacing w:after="0" w:line="262" w:lineRule="auto"/>
        <w:rPr>
          <w:sz w:val="20"/>
          <w:szCs w:val="20"/>
          <w:color w:val="auto"/>
        </w:rPr>
      </w:pPr>
      <w:r>
        <w:rPr>
          <w:rFonts w:ascii="Times New Roman" w:cs="Times New Roman" w:eastAsia="Times New Roman" w:hAnsi="Times New Roman"/>
          <w:sz w:val="19"/>
          <w:szCs w:val="19"/>
          <w:color w:val="auto"/>
        </w:rPr>
        <w:t xml:space="preserve">Any loans the Company determines have evidence of deterioration of credit quality since origination, and it is probable, at acquisition, that all contractually required payments will not be collected, are considered to be purchase credit impaired loans. 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FASB ASC 310-30, </w:t>
      </w:r>
      <w:r>
        <w:rPr>
          <w:rFonts w:ascii="Times New Roman" w:cs="Times New Roman" w:eastAsia="Times New Roman" w:hAnsi="Times New Roman"/>
          <w:sz w:val="19"/>
          <w:szCs w:val="19"/>
          <w:i w:val="1"/>
          <w:iCs w:val="1"/>
          <w:color w:val="auto"/>
        </w:rPr>
        <w:t>Loans and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Securities Acquired with Deteriorated Credit Quality. </w:t>
      </w:r>
      <w:r>
        <w:rPr>
          <w:rFonts w:ascii="Times New Roman" w:cs="Times New Roman" w:eastAsia="Times New Roman" w:hAnsi="Times New Roman"/>
          <w:sz w:val="19"/>
          <w:szCs w:val="19"/>
          <w:color w:val="auto"/>
        </w:rPr>
        <w:t>The nonaccretable discount includes estimated future credit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25"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 xml:space="preserve">Loans acquired through business combinations that do not meet the specific criteria of ASC 310-30 are accounted for under ASC 310-20, </w:t>
      </w:r>
      <w:r>
        <w:rPr>
          <w:rFonts w:ascii="Times New Roman" w:cs="Times New Roman" w:eastAsia="Times New Roman" w:hAnsi="Times New Roman"/>
          <w:sz w:val="19"/>
          <w:szCs w:val="19"/>
          <w:i w:val="1"/>
          <w:iCs w:val="1"/>
          <w:color w:val="auto"/>
        </w:rPr>
        <w:t>Receivables—Nonrefundable Fees and Other Costs</w:t>
      </w:r>
      <w:r>
        <w:rPr>
          <w:rFonts w:ascii="Times New Roman" w:cs="Times New Roman" w:eastAsia="Times New Roman" w:hAnsi="Times New Roman"/>
          <w:sz w:val="19"/>
          <w:szCs w:val="19"/>
          <w:color w:val="auto"/>
        </w:rPr>
        <w:t>.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22"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84</w:t>
      </w:r>
    </w:p>
    <w:p>
      <w:pPr>
        <w:sectPr>
          <w:pgSz w:w="12060" w:h="15667" w:orient="portrait"/>
          <w:cols w:equalWidth="0" w:num="1">
            <w:col w:w="9227"/>
          </w:cols>
          <w:pgMar w:left="1400" w:top="912" w:right="1440" w:bottom="204" w:gutter="0" w:footer="0" w:header="0"/>
          <w:type w:val="continuous"/>
        </w:sectPr>
      </w:pPr>
    </w:p>
    <w:bookmarkStart w:id="97" w:name="page98"/>
    <w:bookmarkEnd w:id="97"/>
    <w:p>
      <w:pPr>
        <w:jc w:val="both"/>
        <w:ind w:right="7"/>
        <w:spacing w:after="0" w:line="250" w:lineRule="auto"/>
        <w:rPr>
          <w:sz w:val="20"/>
          <w:szCs w:val="20"/>
          <w:color w:val="auto"/>
        </w:rPr>
      </w:pPr>
      <w:r>
        <w:rPr>
          <w:rFonts w:ascii="Times New Roman" w:cs="Times New Roman" w:eastAsia="Times New Roman" w:hAnsi="Times New Roman"/>
          <w:sz w:val="20"/>
          <w:szCs w:val="20"/>
          <w:color w:val="auto"/>
        </w:rPr>
        <w:t>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39"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auto"/>
        </w:rPr>
        <w:t>Mortgage Servicing Rights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When mortgage loans are sold with servicing retained, servicing rights are initially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recorded at fair value with 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38" w:lineRule="exact"/>
        <w:rPr>
          <w:sz w:val="20"/>
          <w:szCs w:val="20"/>
          <w:color w:val="auto"/>
        </w:rPr>
      </w:pPr>
    </w:p>
    <w:p>
      <w:pPr>
        <w:jc w:val="both"/>
        <w:ind w:right="7" w:firstLine="394"/>
        <w:spacing w:after="0" w:line="251" w:lineRule="auto"/>
        <w:rPr>
          <w:sz w:val="20"/>
          <w:szCs w:val="20"/>
          <w:color w:val="auto"/>
        </w:rPr>
      </w:pPr>
      <w:r>
        <w:rPr>
          <w:rFonts w:ascii="Times New Roman" w:cs="Times New Roman" w:eastAsia="Times New Roman" w:hAnsi="Times New Roman"/>
          <w:sz w:val="20"/>
          <w:szCs w:val="20"/>
          <w:color w:val="auto"/>
        </w:rPr>
        <w:t>Under the fair value measurement method, the Company measures servicing rights at fair value at each reporting date and reports changes in the fair value of servicing rights in earnings in the period in which the changes occur, and are included with Other mortgage banking income in the consolidated financial statements. The fair value of servicing rights are subject to significant fluctuations as a result of changes in estimated and actual prepayment speeds and default rates and losses.</w:t>
      </w:r>
    </w:p>
    <w:p>
      <w:pPr>
        <w:spacing w:after="0" w:line="128"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Servicing fee income, which is reported in the consolidated financial statements as Other mortgage banking income, is recorded for fees earned for servicing loans. The fees are based on a contractual percentage of the outstanding principal or a fixed amount per loan and recorded when income is earned. Servicing income was $4.1 million, $3.1 million, and $781 thousand for the years ended December 31, 2022, 2021, and 2020, respectively.</w:t>
      </w:r>
    </w:p>
    <w:p>
      <w:pPr>
        <w:spacing w:after="0" w:line="137"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Transfers of Financial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Transfers of financial assets are accounted for as sales, when control over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has been 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Loans Held for Sale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Loans held for sale are comprised of residential mortgage loans. Loans that are originated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best efforts delivery are carried at the lower of 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spacing w:after="0" w:line="122"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i w:val="1"/>
          <w:iCs w:val="1"/>
          <w:u w:val="single" w:color="auto"/>
          <w:color w:val="auto"/>
        </w:rPr>
        <w:t>Premises and Equipment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Land is carried at cost. Buildings and equipment are carried at cost, less accumulated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computed on the straight-line method. Buildings and improvements are depreciated on a useful life up to 40 years. Furniture and equipment are depreciated on a useful life between 3 to 10 years.</w:t>
      </w:r>
    </w:p>
    <w:p>
      <w:pPr>
        <w:spacing w:after="0" w:line="138"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i w:val="1"/>
          <w:iCs w:val="1"/>
          <w:u w:val="single" w:color="auto"/>
          <w:color w:val="auto"/>
        </w:rPr>
        <w:t>Foreclosed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Assets acquired through, or in lieu of, loan foreclosure or repossession are held for sale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initially 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136"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Bank-Owned Life Insurance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bank subsidiary has purchased life insurance policies on various officers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also is the beneficiary. These policies are issued by third party insurance companies. Assets are carried at the cash surrender value and changes in the cash surrender values are recognized in other noninterest income in the accompanying consolidated financial statements.</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Goodwill and Other Intangible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Goodwill resulting from business combinations is generally determined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years ended December 31, 2022, 2021 and 2020, respectively.</w:t>
      </w:r>
    </w:p>
    <w:p>
      <w:pPr>
        <w:spacing w:after="0" w:line="122"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122"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color w:val="auto"/>
        </w:rPr>
        <w:t>The remaining other intangible assets consist of customer relationship and employment agreement intangible assets and are amortized over their estimated useful lives of 5 years using the straight-line method.</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85</w:t>
      </w:r>
    </w:p>
    <w:p>
      <w:pPr>
        <w:sectPr>
          <w:pgSz w:w="12060" w:h="15667" w:orient="portrait"/>
          <w:cols w:equalWidth="0" w:num="1">
            <w:col w:w="9227"/>
          </w:cols>
          <w:pgMar w:left="1400" w:top="912" w:right="1440" w:bottom="204" w:gutter="0" w:footer="0" w:header="0"/>
          <w:type w:val="continuous"/>
        </w:sectPr>
      </w:pPr>
    </w:p>
    <w:bookmarkStart w:id="98" w:name="page99"/>
    <w:bookmarkEnd w:id="98"/>
    <w:p>
      <w:pPr>
        <w:jc w:val="both"/>
        <w:ind w:right="7" w:firstLine="394"/>
        <w:spacing w:after="0" w:line="253" w:lineRule="auto"/>
        <w:rPr>
          <w:sz w:val="20"/>
          <w:szCs w:val="20"/>
          <w:color w:val="auto"/>
        </w:rPr>
      </w:pPr>
      <w:r>
        <w:rPr>
          <w:rFonts w:ascii="Times New Roman" w:cs="Times New Roman" w:eastAsia="Times New Roman" w:hAnsi="Times New Roman"/>
          <w:sz w:val="20"/>
          <w:szCs w:val="20"/>
          <w:i w:val="1"/>
          <w:iCs w:val="1"/>
          <w:u w:val="single" w:color="auto"/>
          <w:color w:val="auto"/>
        </w:rPr>
        <w:t>Mortgage Banking Derivatives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Commitments to fund mortgage loans (interest rate locks) to be sold into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secondary market, 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 These mortgage banking derivatives are not designated in hedge relationships.</w:t>
      </w:r>
    </w:p>
    <w:p>
      <w:pPr>
        <w:spacing w:after="0" w:line="138"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rate on the loan is locked.</w:t>
      </w:r>
    </w:p>
    <w:p>
      <w:pPr>
        <w:spacing w:after="0" w:line="126"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order to hedge the change in interest rates resulting from all other mortgage commitments to fund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rate on the loan is locked. Changes in the fair values of these derivatives are included in net gain on sales of loans in the consolidated financial statements.</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Derivatives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At the inception of a derivative contract, the Company designates the derivative as one of three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types based on the Company’s intentions and belief as to likely effectiveness as a hedge. These three types are (1) a hedge of the fair value of a recognized asset or liability or of an unrecognized firm commitment (‘‘fair value hedge’’),</w:t>
      </w:r>
    </w:p>
    <w:p>
      <w:pPr>
        <w:spacing w:after="0" w:line="2" w:lineRule="exact"/>
        <w:rPr>
          <w:sz w:val="20"/>
          <w:szCs w:val="20"/>
          <w:color w:val="auto"/>
        </w:rPr>
      </w:pPr>
    </w:p>
    <w:p>
      <w:pPr>
        <w:jc w:val="both"/>
        <w:ind w:right="7" w:firstLine="5"/>
        <w:spacing w:after="0" w:line="245" w:lineRule="auto"/>
        <w:tabs>
          <w:tab w:leader="none" w:pos="28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34"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3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35"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34"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i w:val="1"/>
          <w:iCs w:val="1"/>
          <w:u w:val="single" w:color="auto"/>
          <w:color w:val="auto"/>
        </w:rPr>
        <w:t>Leases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During the second quarter of 2022, the Company adopted Accounting Standards Update (‘‘ASU’’)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2016-02 — Leases (Topic 842), effective as of January 1, 2022, using the alternative transition method under the option to apply the lease standard at its effective date without adjusting the prior period comparative financial</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86</w:t>
      </w:r>
    </w:p>
    <w:p>
      <w:pPr>
        <w:sectPr>
          <w:pgSz w:w="12060" w:h="15667" w:orient="portrait"/>
          <w:cols w:equalWidth="0" w:num="1">
            <w:col w:w="9227"/>
          </w:cols>
          <w:pgMar w:left="1400" w:top="912" w:right="1440" w:bottom="204" w:gutter="0" w:footer="0" w:header="0"/>
          <w:type w:val="continuous"/>
        </w:sectPr>
      </w:pPr>
    </w:p>
    <w:bookmarkStart w:id="99" w:name="page100"/>
    <w:bookmarkEnd w:id="99"/>
    <w:p>
      <w:pPr>
        <w:jc w:val="both"/>
        <w:ind w:right="7"/>
        <w:spacing w:after="0" w:line="263" w:lineRule="auto"/>
        <w:rPr>
          <w:sz w:val="20"/>
          <w:szCs w:val="20"/>
          <w:color w:val="auto"/>
        </w:rPr>
      </w:pPr>
      <w:r>
        <w:rPr>
          <w:rFonts w:ascii="Times New Roman" w:cs="Times New Roman" w:eastAsia="Times New Roman" w:hAnsi="Times New Roman"/>
          <w:sz w:val="19"/>
          <w:szCs w:val="19"/>
          <w:color w:val="auto"/>
        </w:rPr>
        <w:t>statements. The Company elected the package of practical expedients to not reassess: (i) whether any existing contracts are or contain a lease, (ii) 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debit to retained earnings.</w:t>
      </w:r>
    </w:p>
    <w:p>
      <w:pPr>
        <w:spacing w:after="0" w:line="120"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spacing w:after="0" w:line="140"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spacing w:after="0" w:line="134"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 (Loss).</w:t>
      </w:r>
    </w:p>
    <w:p>
      <w:pPr>
        <w:spacing w:after="0" w:line="140"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Revenue Recognition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majority of the Company’s revenues come from interest income and other sources,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loans, securities and derivatives, that are outside the scope of ASC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OREO. Substantially all of the Company’s revenue is generated from contracts with customers. Noninterest income streams within the scope of Topic 606 are discussed below.</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Charges on Deposit Accounts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Bank Card Services and Interchange Fees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87</w:t>
      </w:r>
    </w:p>
    <w:p>
      <w:pPr>
        <w:sectPr>
          <w:pgSz w:w="12060" w:h="15667" w:orient="portrait"/>
          <w:cols w:equalWidth="0" w:num="1">
            <w:col w:w="9227"/>
          </w:cols>
          <w:pgMar w:left="1400" w:top="912" w:right="1440" w:bottom="204"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i w:val="1"/>
          <w:iCs w:val="1"/>
          <w:color w:val="auto"/>
        </w:rPr>
        <w:t>Investment Commissions and Fiduciary Trust Fees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3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Gains/Losses on Sales of OREO</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Balances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2022 and 2021.</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Acquisition Costs</w:t>
      </w:r>
    </w:p>
    <w:p>
      <w:pPr>
        <w:spacing w:after="0" w:line="11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Insurance Activities</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Company’s primary source of revenues for insurance activities are commissions from underwriting enterprises, based on a percentage of premiums paid by clients. These commissions and fees revenues are substantially recognized at a point in time on the effective date of the associated policies when control of the policy transfers to the client. Commissions are fixed at the contract effective date and generally are based on a percentage</w:t>
      </w:r>
    </w:p>
    <w:p>
      <w:pPr>
        <w:sectPr>
          <w:pgSz w:w="12060" w:h="15667" w:orient="portrait"/>
          <w:cols w:equalWidth="0" w:num="1">
            <w:col w:w="9227"/>
          </w:cols>
          <w:pgMar w:left="1400" w:top="900" w:right="1440" w:bottom="203"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88</w:t>
      </w:r>
    </w:p>
    <w:p>
      <w:pPr>
        <w:sectPr>
          <w:pgSz w:w="12060" w:h="15667" w:orient="portrait"/>
          <w:cols w:equalWidth="0" w:num="1">
            <w:col w:w="9227"/>
          </w:cols>
          <w:pgMar w:left="1400" w:top="900" w:right="1440" w:bottom="203" w:gutter="0" w:footer="0" w:header="0"/>
          <w:type w:val="continuous"/>
        </w:sectPr>
      </w:pPr>
    </w:p>
    <w:bookmarkStart w:id="101" w:name="page102"/>
    <w:bookmarkEnd w:id="101"/>
    <w:p>
      <w:pPr>
        <w:jc w:val="both"/>
        <w:ind w:right="7"/>
        <w:spacing w:after="0" w:line="252" w:lineRule="auto"/>
        <w:rPr>
          <w:sz w:val="20"/>
          <w:szCs w:val="20"/>
          <w:color w:val="auto"/>
        </w:rPr>
      </w:pPr>
      <w:r>
        <w:rPr>
          <w:rFonts w:ascii="Times New Roman" w:cs="Times New Roman" w:eastAsia="Times New Roman" w:hAnsi="Times New Roman"/>
          <w:sz w:val="20"/>
          <w:szCs w:val="20"/>
          <w:color w:val="auto"/>
        </w:rPr>
        <w:t>of premiums for insurance coverage. Commissions depend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pacing w:after="0" w:line="138"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i w:val="1"/>
          <w:iCs w:val="1"/>
          <w:u w:val="single" w:color="auto"/>
          <w:color w:val="auto"/>
        </w:rPr>
        <w:t>Stock-Based Compensation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sponsors an equity incentive plan under which options to acquire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the 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40"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Advertising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Advertising costs are recognized when incurred. Advertising costs during 2022, 2021, and 2020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approximately $3.1 million, $2.6 million, and $2.6 million, respectively.</w:t>
      </w:r>
    </w:p>
    <w:p>
      <w:pPr>
        <w:spacing w:after="0" w:line="143" w:lineRule="exact"/>
        <w:rPr>
          <w:sz w:val="20"/>
          <w:szCs w:val="20"/>
          <w:color w:val="auto"/>
        </w:rPr>
      </w:pPr>
    </w:p>
    <w:p>
      <w:pPr>
        <w:jc w:val="both"/>
        <w:ind w:right="7" w:firstLine="394"/>
        <w:spacing w:after="0" w:line="251" w:lineRule="auto"/>
        <w:rPr>
          <w:sz w:val="20"/>
          <w:szCs w:val="20"/>
          <w:color w:val="auto"/>
        </w:rPr>
      </w:pPr>
      <w:r>
        <w:rPr>
          <w:rFonts w:ascii="Times New Roman" w:cs="Times New Roman" w:eastAsia="Times New Roman" w:hAnsi="Times New Roman"/>
          <w:sz w:val="20"/>
          <w:szCs w:val="20"/>
          <w:i w:val="1"/>
          <w:iCs w:val="1"/>
          <w:u w:val="single" w:color="auto"/>
          <w:color w:val="auto"/>
        </w:rPr>
        <w:t>Income Taxes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files a consolidated federal income tax return including the results of its wholly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subsidiary, the Bank. The Company estimates income taxes payable based on the amount it expects to owe. Income tax expense is the total of the current year income tax due or refundable and the change in deferred tax assets and liabilities (excluding deferred tax assets and liabilities related to components of other comprehensive income (loss)).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2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3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The State of Texas franchise tax is an income tax for financial reporting purposes under GAAP and the Company and its subsidiaries are subject to the modified tax as a combined group.</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Earnings per Share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Basic earnings per share is net income divided by the weighted average number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shares outstanding during the period. Shares held in the South Plains Financial, Inc. Employee Stock Ownership Plan (‘‘ESOP’’)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spacing w:after="0" w:line="122"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Fair Values of Financial Instruments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Fair values of financial instruments are estimated using relevant market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and other assumptions, as more fully described in Note 22. Fair value estimates involve uncertainties and matters of significant judgment. Changes in assumptions or in market conditions could significantly affect estimates.</w:t>
      </w:r>
    </w:p>
    <w:p>
      <w:pPr>
        <w:spacing w:after="0" w:line="120" w:lineRule="exact"/>
        <w:rPr>
          <w:sz w:val="20"/>
          <w:szCs w:val="20"/>
          <w:color w:val="auto"/>
        </w:rPr>
      </w:pPr>
    </w:p>
    <w:p>
      <w:pPr>
        <w:jc w:val="both"/>
        <w:ind w:right="7" w:firstLine="394"/>
        <w:spacing w:after="0" w:line="258" w:lineRule="auto"/>
        <w:rPr>
          <w:sz w:val="20"/>
          <w:szCs w:val="20"/>
          <w:color w:val="auto"/>
        </w:rPr>
      </w:pPr>
      <w:r>
        <w:rPr>
          <w:rFonts w:ascii="Times New Roman" w:cs="Times New Roman" w:eastAsia="Times New Roman" w:hAnsi="Times New Roman"/>
          <w:sz w:val="19"/>
          <w:szCs w:val="19"/>
          <w:i w:val="1"/>
          <w:iCs w:val="1"/>
          <w:u w:val="single" w:color="auto"/>
          <w:color w:val="auto"/>
        </w:rPr>
        <w:t>Trust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Custodial assets of City Bank’s trust department, other than cash on deposit at City Bank, if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not included in the accompanying consolidated financial statements because they are not assets of City Bank.</w:t>
      </w:r>
    </w:p>
    <w:p>
      <w:pPr>
        <w:spacing w:after="0" w:line="121"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i w:val="1"/>
          <w:iCs w:val="1"/>
          <w:u w:val="single" w:color="auto"/>
          <w:color w:val="auto"/>
        </w:rPr>
        <w:t>Segment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has two reportable segments: banking and insurance. The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policies of the segments 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137"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auto"/>
        </w:rPr>
        <w:t>Reclassification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Certain amounts in the 2020 and 2021 consolidated financial statements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reclassified to conform to the 2022 presentation.</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89</w:t>
      </w:r>
    </w:p>
    <w:p>
      <w:pPr>
        <w:sectPr>
          <w:pgSz w:w="12060" w:h="15667" w:orient="portrait"/>
          <w:cols w:equalWidth="0" w:num="1">
            <w:col w:w="9227"/>
          </w:cols>
          <w:pgMar w:left="1400" w:top="912" w:right="1440" w:bottom="204" w:gutter="0" w:footer="0" w:header="0"/>
          <w:type w:val="continuous"/>
        </w:sectPr>
      </w:pPr>
    </w:p>
    <w:bookmarkStart w:id="102" w:name="page103"/>
    <w:bookmarkEnd w:id="102"/>
    <w:p>
      <w:pPr>
        <w:jc w:val="both"/>
        <w:ind w:right="7" w:firstLine="394"/>
        <w:spacing w:after="0" w:line="244" w:lineRule="auto"/>
        <w:rPr>
          <w:sz w:val="20"/>
          <w:szCs w:val="20"/>
          <w:color w:val="auto"/>
        </w:rPr>
      </w:pPr>
      <w:r>
        <w:rPr>
          <w:rFonts w:ascii="Times New Roman" w:cs="Times New Roman" w:eastAsia="Times New Roman" w:hAnsi="Times New Roman"/>
          <w:sz w:val="20"/>
          <w:szCs w:val="20"/>
          <w:i w:val="1"/>
          <w:iCs w:val="1"/>
          <w:u w:val="single" w:color="auto"/>
          <w:color w:val="auto"/>
        </w:rPr>
        <w:t>Recent Accounting Pronouncements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Updates to ASC are prescribed in ASU, which are not authoritative until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incorporated into the ASC.</w:t>
      </w:r>
    </w:p>
    <w:p>
      <w:pPr>
        <w:spacing w:after="0" w:line="143"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ASU 2021-01, Reference Rate Reform (Topic 848)</w:t>
      </w:r>
      <w:r>
        <w:rPr>
          <w:rFonts w:ascii="Times New Roman" w:cs="Times New Roman" w:eastAsia="Times New Roman" w:hAnsi="Times New Roman"/>
          <w:sz w:val="20"/>
          <w:szCs w:val="20"/>
          <w:color w:val="auto"/>
        </w:rPr>
        <w:t>. In January 2021, the FASB issued ASU 2021-01 to clarify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scope of Topic 848 so that derivatives 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41"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ASU 2020-04, Reference Rate Reform (Topic 848): Facilitation of the Effects of Reference Rate Reform on Financial Reporting. </w:t>
      </w:r>
      <w:r>
        <w:rPr>
          <w:rFonts w:ascii="Times New Roman" w:cs="Times New Roman" w:eastAsia="Times New Roman" w:hAnsi="Times New Roman"/>
          <w:sz w:val="20"/>
          <w:szCs w:val="20"/>
          <w:color w:val="auto"/>
        </w:rPr>
        <w:t>In March 2020, the FASB issued ASU 2020-04 and it provides optional expedients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ASU 2019-12, Income Taxes, Simplifying the Accounting for Income Taxes (Topic 740). </w:t>
      </w:r>
      <w:r>
        <w:rPr>
          <w:rFonts w:ascii="Times New Roman" w:cs="Times New Roman" w:eastAsia="Times New Roman" w:hAnsi="Times New Roman"/>
          <w:sz w:val="20"/>
          <w:szCs w:val="20"/>
          <w:color w:val="auto"/>
        </w:rPr>
        <w:t>In December 2019,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FASB issued ASU 2019-12 to simplify the 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36"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ASU 2017-04, Intangibles - Goodwill and Other (Topic 350). </w:t>
      </w:r>
      <w:r>
        <w:rPr>
          <w:rFonts w:ascii="Times New Roman" w:cs="Times New Roman" w:eastAsia="Times New Roman" w:hAnsi="Times New Roman"/>
          <w:sz w:val="20"/>
          <w:szCs w:val="20"/>
          <w:color w:val="auto"/>
        </w:rPr>
        <w:t>This ASU simplifies the accounting for goodwill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impairment for all entities by eliminating 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136" w:lineRule="exact"/>
        <w:rPr>
          <w:sz w:val="20"/>
          <w:szCs w:val="20"/>
          <w:color w:val="auto"/>
        </w:rPr>
      </w:pPr>
    </w:p>
    <w:p>
      <w:pPr>
        <w:jc w:val="both"/>
        <w:ind w:right="7" w:firstLine="394"/>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ASU 2016-13 Financial Instruments - Credit Losses (Topic 326). </w:t>
      </w:r>
      <w:r>
        <w:rPr>
          <w:rFonts w:ascii="Times New Roman" w:cs="Times New Roman" w:eastAsia="Times New Roman" w:hAnsi="Times New Roman"/>
          <w:sz w:val="20"/>
          <w:szCs w:val="20"/>
          <w:color w:val="auto"/>
        </w:rPr>
        <w:t>The FASB issued guidance to replace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incurred loss model 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The Company adopted CECL on January 1, 2023 and anticipates recognizing a one-time, after tax cumulative effect charge of approximately $900 thousand to retained earnings at the beginning of the first quarter of 2023, increasing the allowance for credit losses by approximately $100 thousand and increasing the off-balance sheet reserve for unfunded commitments by approximately $1.0 million. The allowance for credit losses at the transition date may vary from our estimate due to refinements in the loss estimation models or factors.</w:t>
      </w:r>
    </w:p>
    <w:p>
      <w:pPr>
        <w:spacing w:after="0" w:line="138" w:lineRule="exact"/>
        <w:rPr>
          <w:sz w:val="20"/>
          <w:szCs w:val="20"/>
          <w:color w:val="auto"/>
        </w:rPr>
      </w:pPr>
    </w:p>
    <w:p>
      <w:pPr>
        <w:jc w:val="both"/>
        <w:ind w:right="7" w:firstLine="394"/>
        <w:spacing w:after="0" w:line="269" w:lineRule="auto"/>
        <w:rPr>
          <w:sz w:val="20"/>
          <w:szCs w:val="20"/>
          <w:color w:val="auto"/>
        </w:rPr>
      </w:pPr>
      <w:r>
        <w:rPr>
          <w:rFonts w:ascii="Times New Roman" w:cs="Times New Roman" w:eastAsia="Times New Roman" w:hAnsi="Times New Roman"/>
          <w:sz w:val="19"/>
          <w:szCs w:val="19"/>
          <w:i w:val="1"/>
          <w:iCs w:val="1"/>
          <w:u w:val="single" w:color="auto"/>
          <w:color w:val="auto"/>
        </w:rPr>
        <w:t>Subsequent Events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The Company has evaluated subsequent events and transactions from December 31, 2022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through the date this Form 10-K was filed with the SEC for potential recognition or disclosure as required by GAAP.</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90</w:t>
      </w:r>
    </w:p>
    <w:p>
      <w:pPr>
        <w:sectPr>
          <w:pgSz w:w="12060" w:h="15667" w:orient="portrait"/>
          <w:cols w:equalWidth="0" w:num="1">
            <w:col w:w="9227"/>
          </w:cols>
          <w:pgMar w:left="1400" w:top="912" w:right="1440" w:bottom="204" w:gutter="0" w:footer="0" w:header="0"/>
          <w:type w:val="continuous"/>
        </w:sectPr>
      </w:pPr>
    </w:p>
    <w:bookmarkStart w:id="103" w:name="page104"/>
    <w:bookmarkEnd w:id="103"/>
    <w:p>
      <w:pPr>
        <w:ind w:left="360" w:hanging="355"/>
        <w:spacing w:after="0"/>
        <w:tabs>
          <w:tab w:leader="none" w:pos="360" w:val="left"/>
        </w:tabs>
        <w:numPr>
          <w:ilvl w:val="0"/>
          <w:numId w:val="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SECURITIES</w:t>
      </w:r>
    </w:p>
    <w:p>
      <w:pPr>
        <w:spacing w:after="0" w:line="12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amortized cost and fair value of securities, with gross unrealized gains and losses, at year-end follow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77"/>
        </w:trPr>
        <w:tc>
          <w:tcPr>
            <w:tcW w:w="1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40"/>
              <w:spacing w:after="0" w:line="178" w:lineRule="exact"/>
              <w:rPr>
                <w:sz w:val="20"/>
                <w:szCs w:val="20"/>
                <w:color w:val="auto"/>
              </w:rPr>
            </w:pPr>
            <w:r>
              <w:rPr>
                <w:rFonts w:ascii="Times New Roman" w:cs="Times New Roman" w:eastAsia="Times New Roman" w:hAnsi="Times New Roman"/>
                <w:sz w:val="16"/>
                <w:szCs w:val="16"/>
                <w:b w:val="1"/>
                <w:bCs w:val="1"/>
                <w:color w:val="auto"/>
                <w:w w:val="96"/>
              </w:rPr>
              <w:t>Amortized</w:t>
            </w:r>
          </w:p>
        </w:tc>
        <w:tc>
          <w:tcPr>
            <w:tcW w:w="1080" w:type="dxa"/>
            <w:vAlign w:val="bottom"/>
            <w:gridSpan w:val="9"/>
          </w:tcPr>
          <w:p>
            <w:pPr>
              <w:jc w:val="center"/>
              <w:ind w:right="1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0" w:type="dxa"/>
            <w:vAlign w:val="bottom"/>
            <w:gridSpan w:val="3"/>
          </w:tcPr>
          <w:p>
            <w:pPr>
              <w:jc w:val="center"/>
              <w:ind w:right="140"/>
              <w:spacing w:after="0" w:line="178" w:lineRule="exact"/>
              <w:rPr>
                <w:sz w:val="20"/>
                <w:szCs w:val="20"/>
                <w:color w:val="auto"/>
              </w:rPr>
            </w:pPr>
            <w:r>
              <w:rPr>
                <w:rFonts w:ascii="Times New Roman" w:cs="Times New Roman" w:eastAsia="Times New Roman" w:hAnsi="Times New Roman"/>
                <w:sz w:val="16"/>
                <w:szCs w:val="16"/>
                <w:b w:val="1"/>
                <w:bCs w:val="1"/>
                <w:color w:val="auto"/>
                <w:w w:val="88"/>
              </w:rPr>
              <w:t>Unrealized</w:t>
            </w:r>
          </w:p>
        </w:tc>
        <w:tc>
          <w:tcPr>
            <w:tcW w:w="2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5"/>
              </w:rPr>
              <w:t>Fair</w:t>
            </w:r>
          </w:p>
        </w:tc>
      </w:tr>
      <w:tr>
        <w:trPr>
          <w:trHeight w:val="180"/>
        </w:trPr>
        <w:tc>
          <w:tcPr>
            <w:tcW w:w="1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6"/>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Gains</w:t>
            </w:r>
          </w:p>
        </w:tc>
        <w:tc>
          <w:tcPr>
            <w:tcW w:w="800" w:type="dxa"/>
            <w:vAlign w:val="bottom"/>
            <w:gridSpan w:val="3"/>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86"/>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3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Available for sale:</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 and municipal . . . . . . . . . . . . . . .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$259,429</w:t>
            </w:r>
          </w:p>
        </w:tc>
        <w:tc>
          <w:tcPr>
            <w:tcW w:w="20" w:type="dxa"/>
            <w:vAlign w:val="bottom"/>
          </w:tcPr>
          <w:p>
            <w:pPr>
              <w:spacing w:after="0"/>
              <w:rPr>
                <w:sz w:val="21"/>
                <w:szCs w:val="21"/>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88"/>
              </w:rPr>
              <w:t>$ (34,401)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$225,055</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Residential mortgage-backed securities .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386,783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5"/>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(57,938)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328,845</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Commercial mortgage-backed securities . . . .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5"/>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(7,194)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41,967</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Commercial collateralized mortgage obligations.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76,189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5"/>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75,638</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Asset-backed and other amortizing securities . . . . . . . . . . . . . . .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5"/>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(1,813)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19,094</w:t>
            </w:r>
          </w:p>
        </w:tc>
      </w:tr>
      <w:tr>
        <w:trPr>
          <w:trHeight w:val="249"/>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Other securities . . . . . . . . . . . . . . . . . . . . . . . . . . . . . . . . . . . . . . . . . . .</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4"/>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(888)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11,112</w:t>
            </w:r>
          </w:p>
        </w:tc>
      </w:tr>
      <w:tr>
        <w:trPr>
          <w:trHeight w:val="20"/>
        </w:trPr>
        <w:tc>
          <w:tcPr>
            <w:tcW w:w="1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81"/>
        </w:trPr>
        <w:tc>
          <w:tcPr>
            <w:tcW w:w="1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804,469</w:t>
            </w:r>
          </w:p>
        </w:tc>
        <w:tc>
          <w:tcPr>
            <w:tcW w:w="20" w:type="dxa"/>
            <w:vAlign w:val="bottom"/>
          </w:tcPr>
          <w:p>
            <w:pPr>
              <w:spacing w:after="0"/>
              <w:rPr>
                <w:sz w:val="24"/>
                <w:szCs w:val="24"/>
                <w:color w:val="auto"/>
              </w:rPr>
            </w:pPr>
          </w:p>
        </w:tc>
        <w:tc>
          <w:tcPr>
            <w:tcW w:w="820" w:type="dxa"/>
            <w:vAlign w:val="bottom"/>
            <w:gridSpan w:val="6"/>
          </w:tcPr>
          <w:p>
            <w:pPr>
              <w:jc w:val="right"/>
              <w:ind w:right="101"/>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w w:val="91"/>
              </w:rPr>
              <w:t>$</w:t>
            </w:r>
            <w:r>
              <w:rPr>
                <w:rFonts w:ascii="Times New Roman" w:cs="Times New Roman" w:eastAsia="Times New Roman" w:hAnsi="Times New Roman"/>
                <w:sz w:val="20"/>
                <w:szCs w:val="20"/>
                <w:color w:val="auto"/>
                <w:w w:val="91"/>
              </w:rPr>
              <w:t xml:space="preserve">(102,785) </w:t>
            </w:r>
            <w:r>
              <w:rPr>
                <w:rFonts w:ascii="Times New Roman" w:cs="Times New Roman" w:eastAsia="Times New Roman" w:hAnsi="Times New Roman"/>
                <w:sz w:val="20"/>
                <w:szCs w:val="20"/>
                <w:u w:val="single" w:color="auto"/>
                <w:color w:val="auto"/>
                <w:w w:val="91"/>
              </w:rPr>
              <w:t>$</w:t>
            </w:r>
            <w:r>
              <w:rPr>
                <w:rFonts w:ascii="Times New Roman" w:cs="Times New Roman" w:eastAsia="Times New Roman" w:hAnsi="Times New Roman"/>
                <w:sz w:val="20"/>
                <w:szCs w:val="20"/>
                <w:color w:val="auto"/>
                <w:w w:val="91"/>
              </w:rPr>
              <w:t>701,711</w:t>
            </w:r>
          </w:p>
        </w:tc>
      </w:tr>
      <w:tr>
        <w:trPr>
          <w:trHeight w:val="20"/>
        </w:trPr>
        <w:tc>
          <w:tcPr>
            <w:tcW w:w="1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1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Gross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1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7"/>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00" w:type="dxa"/>
            <w:vAlign w:val="bottom"/>
            <w:gridSpan w:val="3"/>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1"/>
              </w:rPr>
              <w:t>Unrealized</w:t>
            </w:r>
          </w:p>
        </w:tc>
        <w:tc>
          <w:tcPr>
            <w:tcW w:w="2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5"/>
              </w:rPr>
              <w:t>Fair</w:t>
            </w:r>
          </w:p>
        </w:tc>
      </w:tr>
      <w:tr>
        <w:trPr>
          <w:trHeight w:val="180"/>
        </w:trPr>
        <w:tc>
          <w:tcPr>
            <w:tcW w:w="15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0"/>
              <w:spacing w:after="0" w:line="181" w:lineRule="exact"/>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6"/>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4"/>
              </w:rPr>
              <w:t>Gains</w:t>
            </w:r>
          </w:p>
        </w:tc>
        <w:tc>
          <w:tcPr>
            <w:tcW w:w="80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86"/>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3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Available for sale:</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State and municipal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$265,143</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$10,615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   (86)</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$275,672</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Residential mortgage-backed securities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252,588</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(4,114)</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251,601</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Commercial mortgage-backed securities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50,385</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51,488</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Commercial collateralized mortgage obligations.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106,733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(413)</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106,320</w:t>
            </w:r>
          </w:p>
        </w:tc>
      </w:tr>
      <w:tr>
        <w:trPr>
          <w:trHeight w:val="251"/>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Asset-backed and other amortizing securities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26,046</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(218)</w:t>
            </w: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26,936</w:t>
            </w:r>
          </w:p>
        </w:tc>
      </w:tr>
      <w:tr>
        <w:trPr>
          <w:trHeight w:val="249"/>
        </w:trPr>
        <w:tc>
          <w:tcPr>
            <w:tcW w:w="57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Other securities . . . . . . . . . . . . . . . . . . . . . . . . . . . . . . . . . . . . . . . . . . .</w:t>
            </w:r>
          </w:p>
        </w:tc>
        <w:tc>
          <w:tcPr>
            <w:tcW w:w="10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180" w:type="dxa"/>
            <w:vAlign w:val="bottom"/>
            <w:gridSpan w:val="3"/>
          </w:tcPr>
          <w:p>
            <w:pPr>
              <w:spacing w:after="0"/>
              <w:rPr>
                <w:sz w:val="21"/>
                <w:szCs w:val="21"/>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12,487</w:t>
            </w:r>
          </w:p>
        </w:tc>
      </w:tr>
      <w:tr>
        <w:trPr>
          <w:trHeight w:val="281"/>
        </w:trPr>
        <w:tc>
          <w:tcPr>
            <w:tcW w:w="1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712,895</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16,440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w w:val="96"/>
              </w:rPr>
              <w:t>$</w:t>
            </w:r>
            <w:r>
              <w:rPr>
                <w:rFonts w:ascii="Times New Roman" w:cs="Times New Roman" w:eastAsia="Times New Roman" w:hAnsi="Times New Roman"/>
                <w:sz w:val="20"/>
                <w:szCs w:val="20"/>
                <w:color w:val="auto"/>
                <w:w w:val="96"/>
              </w:rPr>
              <w:t>(4,831)</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724,504</w:t>
            </w:r>
          </w:p>
        </w:tc>
      </w:tr>
      <w:tr>
        <w:trPr>
          <w:trHeight w:val="20"/>
        </w:trPr>
        <w:tc>
          <w:tcPr>
            <w:tcW w:w="1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The amortized cost and fair value of securities at December 31, 2022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Available for Sale</w:t>
            </w:r>
          </w:p>
        </w:tc>
      </w:tr>
      <w:tr>
        <w:trPr>
          <w:trHeight w:val="206"/>
        </w:trPr>
        <w:tc>
          <w:tcPr>
            <w:tcW w:w="742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183"/>
        </w:trPr>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6"/>
              <w:spacing w:after="0" w:line="181" w:lineRule="exact"/>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6"/>
              <w:spacing w:after="0" w:line="181" w:lineRule="exact"/>
              <w:rPr>
                <w:sz w:val="20"/>
                <w:szCs w:val="20"/>
                <w:color w:val="auto"/>
              </w:rPr>
            </w:pPr>
            <w:r>
              <w:rPr>
                <w:rFonts w:ascii="Times New Roman" w:cs="Times New Roman" w:eastAsia="Times New Roman" w:hAnsi="Times New Roman"/>
                <w:sz w:val="16"/>
                <w:szCs w:val="16"/>
                <w:b w:val="1"/>
                <w:bCs w:val="1"/>
                <w:color w:val="auto"/>
              </w:rPr>
              <w:t>Value</w:t>
            </w:r>
          </w:p>
        </w:tc>
      </w:tr>
      <w:tr>
        <w:trPr>
          <w:trHeight w:val="286"/>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Within 1 year . . . . . . . . . . . . . . . . . . . . . . . . . . . . . . . . . . . . . . . . . . . . . . . . . . . . . . . . . . . . .</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1,898</w:t>
            </w:r>
          </w:p>
        </w:tc>
        <w:tc>
          <w:tcPr>
            <w:tcW w:w="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w:t>
            </w:r>
          </w:p>
        </w:tc>
      </w:tr>
      <w:tr>
        <w:trPr>
          <w:trHeight w:val="25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After 1 year through 5 years. . . . . . . . . . . . .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8,560</w:t>
            </w:r>
          </w:p>
        </w:tc>
      </w:tr>
      <w:tr>
        <w:trPr>
          <w:trHeight w:val="25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After 5 years through 10 years . . . . . . . . . . . . . . . . . . . . . . . . . . . . . . . . . . . . . . . . . . . . . . .</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19,508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18,388</w:t>
            </w:r>
          </w:p>
        </w:tc>
      </w:tr>
      <w:tr>
        <w:trPr>
          <w:trHeight w:val="25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After 10 years . . . . . . . . . . . . . . . . . . . . . . . .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241,360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207,313</w:t>
            </w:r>
          </w:p>
        </w:tc>
      </w:tr>
      <w:tr>
        <w:trPr>
          <w:trHeight w:val="249"/>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 . .</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533,040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465,544</w:t>
            </w:r>
          </w:p>
        </w:tc>
      </w:tr>
      <w:tr>
        <w:trPr>
          <w:trHeight w:val="281"/>
        </w:trPr>
        <w:tc>
          <w:tcPr>
            <w:tcW w:w="7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804,469</w:t>
            </w:r>
          </w:p>
        </w:tc>
        <w:tc>
          <w:tcPr>
            <w:tcW w:w="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701,711</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At December 31, 2022 and 2021, there were no holdings of securities of any one issuer, other than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government, its agencies, or its sponsored enterprises, in an amount greater than 10% of stockholders’ equity.</w:t>
      </w:r>
    </w:p>
    <w:p>
      <w:pPr>
        <w:spacing w:after="0" w:line="147"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Securities with a carrying value of approximately $464.1 million and $474.5 million at December 31, 2022 and 2021, respectively, were pledged to collateralize public deposits and for other purposes as required or permitted by law.</w:t>
      </w: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91</w:t>
      </w:r>
    </w:p>
    <w:p>
      <w:pPr>
        <w:sectPr>
          <w:pgSz w:w="12060" w:h="15667" w:orient="portrait"/>
          <w:cols w:equalWidth="0" w:num="1">
            <w:col w:w="9227"/>
          </w:cols>
          <w:pgMar w:left="1400" w:top="900" w:right="1440" w:bottom="204" w:gutter="0" w:footer="0" w:header="0"/>
          <w:type w:val="continuous"/>
        </w:sectPr>
      </w:pPr>
    </w:p>
    <w:bookmarkStart w:id="104" w:name="page105"/>
    <w:bookmarkEnd w:id="104"/>
    <w:p>
      <w:pPr>
        <w:jc w:val="both"/>
        <w:ind w:right="80"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segregates securities with unrealized losses at year-end, by the period they have been in a loss position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8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Fair</w:t>
            </w:r>
          </w:p>
        </w:tc>
        <w:tc>
          <w:tcPr>
            <w:tcW w:w="9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Unrealized</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5"/>
              <w:spacing w:after="0" w:line="181" w:lineRule="exact"/>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5"/>
              <w:spacing w:after="0" w:line="181" w:lineRule="exact"/>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03"/>
              <w:spacing w:after="0" w:line="181" w:lineRule="exact"/>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76"/>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U.S. government and agencies . . . . . . . . . . . . . . . .</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10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1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municipal.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162,746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23,538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10,863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220,421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34,401</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 - residential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220,752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27,967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108,080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29,971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328,832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57,938</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 - commercial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41,966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7,194</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Collateralized mortgage obligations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75,638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Asset-backed and other amortizing securities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1,813</w:t>
            </w:r>
          </w:p>
        </w:tc>
        <w:tc>
          <w:tcPr>
            <w:tcW w:w="0" w:type="dxa"/>
            <w:vAlign w:val="bottom"/>
          </w:tcPr>
          <w:p>
            <w:pPr>
              <w:spacing w:after="0"/>
              <w:rPr>
                <w:sz w:val="1"/>
                <w:szCs w:val="1"/>
                <w:color w:val="auto"/>
              </w:rPr>
            </w:pPr>
          </w:p>
        </w:tc>
      </w:tr>
      <w:tr>
        <w:trPr>
          <w:trHeight w:val="239"/>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securities . . . .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5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531,308</w:t>
            </w:r>
          </w:p>
        </w:tc>
        <w:tc>
          <w:tcPr>
            <w:tcW w:w="12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61,951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165,755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40,834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697,063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102,785</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1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color w:val="auto"/>
              </w:rPr>
              <w:t>U.S. government and agencies . . . . . . . . . . . . . . . .</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1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10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120"/>
              <w:spacing w:after="0" w:line="224"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municipal.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 - residential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64,764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121,162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4,114</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Mortgage-backed securities - commercial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Collateralized mortgage obligations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106,320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106,320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w:t>
            </w:r>
          </w:p>
        </w:tc>
        <w:tc>
          <w:tcPr>
            <w:tcW w:w="0" w:type="dxa"/>
            <w:vAlign w:val="bottom"/>
          </w:tcPr>
          <w:p>
            <w:pPr>
              <w:spacing w:after="0"/>
              <w:rPr>
                <w:sz w:val="1"/>
                <w:szCs w:val="1"/>
                <w:color w:val="auto"/>
              </w:rPr>
            </w:pPr>
          </w:p>
        </w:tc>
      </w:tr>
      <w:tr>
        <w:trPr>
          <w:trHeight w:val="24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Asset-backed and other amortizing securities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0" w:type="dxa"/>
            <w:vAlign w:val="bottom"/>
          </w:tcPr>
          <w:p>
            <w:pPr>
              <w:spacing w:after="0"/>
              <w:rPr>
                <w:sz w:val="1"/>
                <w:szCs w:val="1"/>
                <w:color w:val="auto"/>
              </w:rPr>
            </w:pPr>
          </w:p>
        </w:tc>
      </w:tr>
      <w:tr>
        <w:trPr>
          <w:trHeight w:val="239"/>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securities . . . . . . . . . . . . . . . . . . . . . . . . . . .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5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185,597</w:t>
            </w:r>
          </w:p>
        </w:tc>
        <w:tc>
          <w:tcPr>
            <w:tcW w:w="12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64,764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250,361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80" w:firstLine="394"/>
        <w:spacing w:after="0" w:line="245" w:lineRule="auto"/>
        <w:rPr>
          <w:sz w:val="20"/>
          <w:szCs w:val="20"/>
          <w:color w:val="auto"/>
        </w:rPr>
      </w:pPr>
      <w:r>
        <w:rPr>
          <w:rFonts w:ascii="Times New Roman" w:cs="Times New Roman" w:eastAsia="Times New Roman" w:hAnsi="Times New Roman"/>
          <w:sz w:val="20"/>
          <w:szCs w:val="20"/>
          <w:color w:val="auto"/>
        </w:rPr>
        <w:t>There were 170 securities with an unrealized loss at December 31, 2022. Management does not believe that these losses are other than temporary as there is no intent to sell any of these securities before recovery and it is not probable that the Company will be required to sell any of these securities before recovery, and credit loss, if any, is not material. These unrealized losses are largely due to significant increases in market interest rates experienced during 2022 over the yields available at the time the underlying securities were purchased. The fair value is expected to recover as the securities approach their maturity date or if market yields for such investments decline in future periods. Management does not believe any of the securities are impaired due to reasons of credit quality. Accordingly, as of December 31, 2022, management believes the impairments detailed in the table above are temporary and no impairment loss has been realized in the Company’s consolidated financial statements.</w:t>
      </w:r>
    </w:p>
    <w:p>
      <w:pPr>
        <w:spacing w:after="0" w:line="3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i w:val="1"/>
          <w:iCs w:val="1"/>
          <w:color w:val="auto"/>
        </w:rPr>
        <w:t>3.</w:t>
        <w:tab/>
        <w:t>LOANS HELD FOR INVESTMENT</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Loans held for investment are summarized by category at year-end as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7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276"/>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real estate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919,358</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755,444</w:t>
            </w:r>
          </w:p>
        </w:tc>
        <w:tc>
          <w:tcPr>
            <w:tcW w:w="80" w:type="dxa"/>
            <w:vAlign w:val="bottom"/>
          </w:tcPr>
          <w:p>
            <w:pPr>
              <w:spacing w:after="0"/>
              <w:rPr>
                <w:sz w:val="24"/>
                <w:szCs w:val="24"/>
                <w:color w:val="auto"/>
              </w:rPr>
            </w:pPr>
          </w:p>
        </w:tc>
      </w:tr>
      <w:tr>
        <w:trPr>
          <w:trHeight w:val="24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 specialized . . . . . . . . . . . . . . . . . . . . . . . . . . . . . . . . . . . . . . . . . . . . . . . . . .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327,513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378,725</w:t>
            </w:r>
          </w:p>
        </w:tc>
        <w:tc>
          <w:tcPr>
            <w:tcW w:w="80" w:type="dxa"/>
            <w:vAlign w:val="bottom"/>
          </w:tcPr>
          <w:p>
            <w:pPr>
              <w:spacing w:after="0"/>
              <w:rPr>
                <w:sz w:val="20"/>
                <w:szCs w:val="20"/>
                <w:color w:val="auto"/>
              </w:rPr>
            </w:pPr>
          </w:p>
        </w:tc>
      </w:tr>
      <w:tr>
        <w:trPr>
          <w:trHeight w:val="24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Commercial - general . . . . . . . . . . . . . . . . . . . . . . . . . . . . . . . . . . . . . . . . . . . . . . . . . . . . .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484,783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460,024</w:t>
            </w:r>
          </w:p>
        </w:tc>
        <w:tc>
          <w:tcPr>
            <w:tcW w:w="80" w:type="dxa"/>
            <w:vAlign w:val="bottom"/>
          </w:tcPr>
          <w:p>
            <w:pPr>
              <w:spacing w:after="0"/>
              <w:rPr>
                <w:sz w:val="20"/>
                <w:szCs w:val="20"/>
                <w:color w:val="auto"/>
              </w:rPr>
            </w:pPr>
          </w:p>
        </w:tc>
      </w:tr>
      <w:tr>
        <w:trPr>
          <w:trHeight w:val="241"/>
        </w:trPr>
        <w:tc>
          <w:tcPr>
            <w:tcW w:w="7280" w:type="dxa"/>
            <w:vAlign w:val="bottom"/>
          </w:tcPr>
          <w:p>
            <w:pPr>
              <w:jc w:val="right"/>
              <w:ind w:right="6301"/>
              <w:spacing w:after="0"/>
              <w:rPr>
                <w:sz w:val="20"/>
                <w:szCs w:val="20"/>
                <w:color w:val="auto"/>
              </w:rPr>
            </w:pPr>
            <w:r>
              <w:rPr>
                <w:rFonts w:ascii="Times New Roman" w:cs="Times New Roman" w:eastAsia="Times New Roman" w:hAnsi="Times New Roman"/>
                <w:sz w:val="20"/>
                <w:szCs w:val="20"/>
                <w:color w:val="auto"/>
                <w:w w:val="97"/>
              </w:rPr>
              <w:t>Consumer: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1-4 family residential . . . . . . . . . . . . . . . . . . . . . . . . . . . . . . . . . . . . . . . . . . . . . . . . . . .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387,690</w:t>
            </w:r>
          </w:p>
        </w:tc>
        <w:tc>
          <w:tcPr>
            <w:tcW w:w="80" w:type="dxa"/>
            <w:vAlign w:val="bottom"/>
          </w:tcPr>
          <w:p>
            <w:pPr>
              <w:spacing w:after="0"/>
              <w:rPr>
                <w:sz w:val="20"/>
                <w:szCs w:val="20"/>
                <w:color w:val="auto"/>
              </w:rPr>
            </w:pPr>
          </w:p>
        </w:tc>
      </w:tr>
      <w:tr>
        <w:trPr>
          <w:trHeight w:val="24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Auto loans . . . . . . . . . . . . . . . . . . . . . . . . . . . . . . . . . . . . . . . . . . . . . . . . . . . . . . . . . . . .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321,476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240,719</w:t>
            </w:r>
          </w:p>
        </w:tc>
        <w:tc>
          <w:tcPr>
            <w:tcW w:w="80" w:type="dxa"/>
            <w:vAlign w:val="bottom"/>
          </w:tcPr>
          <w:p>
            <w:pPr>
              <w:spacing w:after="0"/>
              <w:rPr>
                <w:sz w:val="20"/>
                <w:szCs w:val="20"/>
                <w:color w:val="auto"/>
              </w:rPr>
            </w:pPr>
          </w:p>
        </w:tc>
      </w:tr>
      <w:tr>
        <w:trPr>
          <w:trHeight w:val="239"/>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Other consumer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68,113</w:t>
            </w:r>
          </w:p>
        </w:tc>
        <w:tc>
          <w:tcPr>
            <w:tcW w:w="80" w:type="dxa"/>
            <w:vAlign w:val="bottom"/>
          </w:tcPr>
          <w:p>
            <w:pPr>
              <w:spacing w:after="0"/>
              <w:rPr>
                <w:sz w:val="20"/>
                <w:szCs w:val="20"/>
                <w:color w:val="auto"/>
              </w:rPr>
            </w:pPr>
          </w:p>
        </w:tc>
      </w:tr>
      <w:tr>
        <w:trPr>
          <w:trHeight w:val="273"/>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Construction. . . . . . . . . . . . . . . . . . . . . . . . . . . . . . . . . . . . . . . . . . . . . . . . . . . . . . . . . . . . . .</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153,519</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146,862</w:t>
            </w:r>
          </w:p>
        </w:tc>
        <w:tc>
          <w:tcPr>
            <w:tcW w:w="80" w:type="dxa"/>
            <w:vAlign w:val="bottom"/>
          </w:tcPr>
          <w:p>
            <w:pPr>
              <w:spacing w:after="0"/>
              <w:rPr>
                <w:sz w:val="23"/>
                <w:szCs w:val="23"/>
                <w:color w:val="auto"/>
              </w:rPr>
            </w:pPr>
          </w:p>
        </w:tc>
      </w:tr>
      <w:tr>
        <w:trPr>
          <w:trHeight w:val="483"/>
        </w:trPr>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2,748,081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2,437,577</w:t>
            </w:r>
          </w:p>
        </w:tc>
        <w:tc>
          <w:tcPr>
            <w:tcW w:w="80" w:type="dxa"/>
            <w:vAlign w:val="bottom"/>
          </w:tcPr>
          <w:p>
            <w:pPr>
              <w:spacing w:after="0"/>
              <w:rPr>
                <w:sz w:val="24"/>
                <w:szCs w:val="24"/>
                <w:color w:val="auto"/>
              </w:rPr>
            </w:pPr>
          </w:p>
        </w:tc>
      </w:tr>
      <w:tr>
        <w:trPr>
          <w:trHeight w:val="239"/>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Allowance for loan losses . . . . . . . . . . . . . . . . . . . . . . . . . . . . . . . . . . . . . . . . . . . . . . . . . . .</w:t>
            </w: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(39,288)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6"/>
              </w:rPr>
              <w:t>(42,098)</w:t>
            </w:r>
          </w:p>
        </w:tc>
      </w:tr>
      <w:tr>
        <w:trPr>
          <w:trHeight w:val="271"/>
        </w:trPr>
        <w:tc>
          <w:tcPr>
            <w:tcW w:w="72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8"/>
              </w:rPr>
              <w:t>Loans, net. . . . . . . . . . . . . . . . . . . . . . . . . .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2,708,793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2,395,479</w:t>
            </w:r>
          </w:p>
        </w:tc>
        <w:tc>
          <w:tcPr>
            <w:tcW w:w="80" w:type="dxa"/>
            <w:vAlign w:val="bottom"/>
          </w:tcPr>
          <w:p>
            <w:pPr>
              <w:spacing w:after="0"/>
              <w:rPr>
                <w:sz w:val="23"/>
                <w:szCs w:val="23"/>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300"/>
          </w:cols>
          <w:pgMar w:left="1400" w:top="912" w:right="1367" w:bottom="204"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92</w:t>
      </w:r>
    </w:p>
    <w:p>
      <w:pPr>
        <w:sectPr>
          <w:pgSz w:w="12060" w:h="15667" w:orient="portrait"/>
          <w:cols w:equalWidth="0" w:num="1">
            <w:col w:w="9300"/>
          </w:cols>
          <w:pgMar w:left="1400" w:top="912" w:right="1367" w:bottom="204" w:gutter="0" w:footer="0" w:header="0"/>
          <w:type w:val="continuous"/>
        </w:sectPr>
      </w:pPr>
    </w:p>
    <w:bookmarkStart w:id="105" w:name="page106"/>
    <w:bookmarkEnd w:id="105"/>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36"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i w:val="1"/>
          <w:iCs w:val="1"/>
          <w:u w:val="single" w:color="auto"/>
          <w:color w:val="auto"/>
        </w:rPr>
        <w:t>Commercial – General and Specialized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Commercial loans are underwritten after evaluating and understanding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26"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i w:val="1"/>
          <w:iCs w:val="1"/>
          <w:u w:val="single" w:color="auto"/>
          <w:color w:val="auto"/>
        </w:rPr>
        <w:t>Commercial Real Estate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Commercial real estate loans are also subject to underwriting standards and processes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similar to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22"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i w:val="1"/>
          <w:iCs w:val="1"/>
          <w:u w:val="single" w:color="auto"/>
          <w:color w:val="auto"/>
        </w:rPr>
        <w:t>Construction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Loans for residential construction are for single-family properties to developers, builders,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i w:val="1"/>
          <w:iCs w:val="1"/>
          <w:u w:val="single" w:color="auto"/>
          <w:color w:val="auto"/>
        </w:rPr>
        <w:t>Consumer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Loans to consumers include 1-4 family residential loans, auto loans, and other loans for recreational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121"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allowance for loan losses was $39.3 million at December 31, 2022, compared to $42.1 million at December 31, 2021. The ratio of allowance for loan losses to loans held for investment was 1.43% at December 31, 2022 and 1.73% at December 31, 2021.</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93</w:t>
      </w:r>
    </w:p>
    <w:p>
      <w:pPr>
        <w:sectPr>
          <w:pgSz w:w="12060" w:h="15667" w:orient="portrait"/>
          <w:cols w:equalWidth="0" w:num="1">
            <w:col w:w="9227"/>
          </w:cols>
          <w:pgMar w:left="1400" w:top="912" w:right="1440" w:bottom="204" w:gutter="0" w:footer="0" w:header="0"/>
          <w:type w:val="continuous"/>
        </w:sectPr>
      </w:pPr>
    </w:p>
    <w:bookmarkStart w:id="106" w:name="page107"/>
    <w:bookmarkEnd w:id="106"/>
    <w:p>
      <w:pPr>
        <w:jc w:val="both"/>
        <w:ind w:right="7" w:firstLine="394"/>
        <w:spacing w:after="0"/>
        <w:rPr>
          <w:sz w:val="20"/>
          <w:szCs w:val="20"/>
          <w:color w:val="auto"/>
        </w:rPr>
      </w:pPr>
      <w:r>
        <w:rPr>
          <w:rFonts w:ascii="Times New Roman" w:cs="Times New Roman" w:eastAsia="Times New Roman" w:hAnsi="Times New Roman"/>
          <w:sz w:val="20"/>
          <w:szCs w:val="20"/>
          <w:color w:val="auto"/>
        </w:rPr>
        <w:t>The following table details the activity in the allowance for loan losses for the years ended December 31, 2022, 2021 and 2020 (dollars in thousands). Allocation of a portion of the allowance to one category of loans does not preclude its availability to absorb losses in other categories.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 for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Loan Losses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gridSpan w:val="4"/>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6"/>
              </w:rPr>
              <w:t>Charge-offs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gridSpan w:val="4"/>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7"/>
              </w:rPr>
              <w:t>Recoveries</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the Year Ended December 31, 2022</w:t>
            </w:r>
          </w:p>
        </w:tc>
        <w:tc>
          <w:tcPr>
            <w:tcW w:w="1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4"/>
              </w:rPr>
              <w:t>17,245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 (4,634)</w:t>
            </w:r>
          </w:p>
        </w:tc>
        <w:tc>
          <w:tcPr>
            <w:tcW w:w="60" w:type="dxa"/>
            <w:vAlign w:val="bottom"/>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100" w:type="dxa"/>
            <w:vAlign w:val="bottom"/>
          </w:tcPr>
          <w:p>
            <w:pPr>
              <w:spacing w:after="0"/>
              <w:rPr>
                <w:sz w:val="21"/>
                <w:szCs w:val="2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0" w:type="dxa"/>
            <w:vAlign w:val="bottom"/>
            <w:gridSpan w:val="2"/>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 . . . . .</w:t>
            </w:r>
          </w:p>
        </w:tc>
        <w:tc>
          <w:tcPr>
            <w:tcW w:w="18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rPr>
              <w:t>(1,745)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(199)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1,006</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3,425</w:t>
            </w: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8,466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627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(328)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450</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9,215</w:t>
            </w:r>
          </w:p>
        </w:tc>
        <w:tc>
          <w:tcPr>
            <w:tcW w:w="0" w:type="dxa"/>
            <w:vAlign w:val="bottom"/>
          </w:tcPr>
          <w:p>
            <w:pPr>
              <w:spacing w:after="0"/>
              <w:rPr>
                <w:sz w:val="1"/>
                <w:szCs w:val="1"/>
                <w:color w:val="auto"/>
              </w:rPr>
            </w:pPr>
          </w:p>
        </w:tc>
      </w:tr>
      <w:tr>
        <w:trPr>
          <w:trHeight w:val="212"/>
        </w:trPr>
        <w:tc>
          <w:tcPr>
            <w:tcW w:w="48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1,026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6,194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3,653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637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(508)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144</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3,926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1,357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932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92"/>
              </w:rPr>
              <w:t>(1,167)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254</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1,376</w:t>
            </w:r>
          </w:p>
        </w:tc>
        <w:tc>
          <w:tcPr>
            <w:tcW w:w="0" w:type="dxa"/>
            <w:vAlign w:val="bottom"/>
          </w:tcPr>
          <w:p>
            <w:pPr>
              <w:spacing w:after="0"/>
              <w:rPr>
                <w:sz w:val="1"/>
                <w:szCs w:val="1"/>
                <w:color w:val="auto"/>
              </w:rPr>
            </w:pPr>
          </w:p>
        </w:tc>
      </w:tr>
      <w:tr>
        <w:trPr>
          <w:trHeight w:val="215"/>
        </w:trPr>
        <w:tc>
          <w:tcPr>
            <w:tcW w:w="4880" w:type="dxa"/>
            <w:vAlign w:val="bottom"/>
            <w:gridSpan w:val="4"/>
          </w:tcPr>
          <w:p>
            <w:pPr>
              <w:spacing w:after="0" w:line="215" w:lineRule="exact"/>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1,746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(166)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18"/>
                <w:szCs w:val="18"/>
                <w:color w:val="auto"/>
              </w:rPr>
            </w:pPr>
          </w:p>
        </w:tc>
        <w:tc>
          <w:tcPr>
            <w:tcW w:w="7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42,098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 (2,619)</w:t>
            </w: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2"/>
              </w:rPr>
              <w:t>(2,508)</w:t>
            </w: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2,317</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39,288</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For the Year Ended December 31, 2021</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820" w:type="dxa"/>
            <w:vAlign w:val="bottom"/>
            <w:gridSpan w:val="3"/>
            <w:vMerge w:val="continue"/>
          </w:tcPr>
          <w:p>
            <w:pPr>
              <w:spacing w:after="0"/>
              <w:rPr>
                <w:sz w:val="24"/>
                <w:szCs w:val="24"/>
                <w:color w:val="auto"/>
              </w:rPr>
            </w:pPr>
          </w:p>
        </w:tc>
        <w:tc>
          <w:tcPr>
            <w:tcW w:w="1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4"/>
              </w:rPr>
              <w:t>18,962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 (1,826)</w:t>
            </w:r>
          </w:p>
        </w:tc>
        <w:tc>
          <w:tcPr>
            <w:tcW w:w="60" w:type="dxa"/>
            <w:vAlign w:val="bottom"/>
          </w:tcPr>
          <w:p>
            <w:pPr>
              <w:spacing w:after="0"/>
              <w:rPr>
                <w:sz w:val="24"/>
                <w:szCs w:val="24"/>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$17,245</w:t>
            </w:r>
          </w:p>
        </w:tc>
        <w:tc>
          <w:tcPr>
            <w:tcW w:w="0" w:type="dxa"/>
            <w:vAlign w:val="bottom"/>
          </w:tcPr>
          <w:p>
            <w:pPr>
              <w:spacing w:after="0"/>
              <w:rPr>
                <w:sz w:val="1"/>
                <w:szCs w:val="1"/>
                <w:color w:val="auto"/>
              </w:rPr>
            </w:pPr>
          </w:p>
        </w:tc>
      </w:tr>
      <w:tr>
        <w:trPr>
          <w:trHeight w:val="20"/>
        </w:trPr>
        <w:tc>
          <w:tcPr>
            <w:tcW w:w="3220" w:type="dxa"/>
            <w:vAlign w:val="bottom"/>
            <w:gridSpan w:val="2"/>
            <w:shd w:val="clear" w:color="auto" w:fill="000000"/>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3"/>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 . . . . .</w:t>
            </w:r>
          </w:p>
        </w:tc>
        <w:tc>
          <w:tcPr>
            <w:tcW w:w="18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5,760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rPr>
              <w:t>(1,386)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(172)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161</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4,363</w:t>
            </w: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9,227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rPr>
              <w:t>(302)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(677)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218</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8,466</w:t>
            </w:r>
          </w:p>
        </w:tc>
        <w:tc>
          <w:tcPr>
            <w:tcW w:w="0" w:type="dxa"/>
            <w:vAlign w:val="bottom"/>
          </w:tcPr>
          <w:p>
            <w:pPr>
              <w:spacing w:after="0"/>
              <w:rPr>
                <w:sz w:val="1"/>
                <w:szCs w:val="1"/>
                <w:color w:val="auto"/>
              </w:rPr>
            </w:pPr>
          </w:p>
        </w:tc>
      </w:tr>
      <w:tr>
        <w:trPr>
          <w:trHeight w:val="212"/>
        </w:trPr>
        <w:tc>
          <w:tcPr>
            <w:tcW w:w="48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4,646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666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8</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5,268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(598)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3,653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1,671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(903)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250</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1,357</w:t>
            </w:r>
          </w:p>
        </w:tc>
        <w:tc>
          <w:tcPr>
            <w:tcW w:w="0" w:type="dxa"/>
            <w:vAlign w:val="bottom"/>
          </w:tcPr>
          <w:p>
            <w:pPr>
              <w:spacing w:after="0"/>
              <w:rPr>
                <w:sz w:val="1"/>
                <w:szCs w:val="1"/>
                <w:color w:val="auto"/>
              </w:rPr>
            </w:pPr>
          </w:p>
        </w:tc>
      </w:tr>
      <w:tr>
        <w:trPr>
          <w:trHeight w:val="215"/>
        </w:trPr>
        <w:tc>
          <w:tcPr>
            <w:tcW w:w="4880" w:type="dxa"/>
            <w:vAlign w:val="bottom"/>
            <w:gridSpan w:val="4"/>
          </w:tcPr>
          <w:p>
            <w:pPr>
              <w:spacing w:after="0" w:line="215" w:lineRule="exact"/>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18"/>
                <w:szCs w:val="18"/>
                <w:color w:val="auto"/>
              </w:rPr>
            </w:pPr>
          </w:p>
        </w:tc>
        <w:tc>
          <w:tcPr>
            <w:tcW w:w="7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45,553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5"/>
              </w:rPr>
              <w:t>$ (1,918)</w:t>
            </w: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2"/>
              </w:rPr>
              <w:t>(2,402)</w:t>
            </w: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42,098</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For the Year Ended December 31, 2020</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820" w:type="dxa"/>
            <w:vAlign w:val="bottom"/>
            <w:gridSpan w:val="3"/>
            <w:vMerge w:val="continue"/>
          </w:tcPr>
          <w:p>
            <w:pPr>
              <w:spacing w:after="0"/>
              <w:rPr>
                <w:sz w:val="24"/>
                <w:szCs w:val="24"/>
                <w:color w:val="auto"/>
              </w:rPr>
            </w:pPr>
          </w:p>
        </w:tc>
        <w:tc>
          <w:tcPr>
            <w:tcW w:w="18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5,049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$13,618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302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$18,962</w:t>
            </w:r>
          </w:p>
        </w:tc>
        <w:tc>
          <w:tcPr>
            <w:tcW w:w="0" w:type="dxa"/>
            <w:vAlign w:val="bottom"/>
          </w:tcPr>
          <w:p>
            <w:pPr>
              <w:spacing w:after="0"/>
              <w:rPr>
                <w:sz w:val="1"/>
                <w:szCs w:val="1"/>
                <w:color w:val="auto"/>
              </w:rPr>
            </w:pPr>
          </w:p>
        </w:tc>
      </w:tr>
      <w:tr>
        <w:trPr>
          <w:trHeight w:val="20"/>
        </w:trPr>
        <w:tc>
          <w:tcPr>
            <w:tcW w:w="3220" w:type="dxa"/>
            <w:vAlign w:val="bottom"/>
            <w:gridSpan w:val="2"/>
            <w:shd w:val="clear" w:color="auto" w:fill="000000"/>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20" w:type="dxa"/>
            <w:vAlign w:val="bottom"/>
            <w:gridSpan w:val="3"/>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 . . . . .</w:t>
            </w:r>
          </w:p>
        </w:tc>
        <w:tc>
          <w:tcPr>
            <w:tcW w:w="18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4,514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92"/>
              </w:rPr>
              <w:t>(1,162)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121</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5,760</w:t>
            </w:r>
          </w:p>
        </w:tc>
        <w:tc>
          <w:tcPr>
            <w:tcW w:w="0" w:type="dxa"/>
            <w:vAlign w:val="bottom"/>
          </w:tcPr>
          <w:p>
            <w:pPr>
              <w:spacing w:after="0"/>
              <w:rPr>
                <w:sz w:val="1"/>
                <w:szCs w:val="1"/>
                <w:color w:val="auto"/>
              </w:rPr>
            </w:pPr>
          </w:p>
        </w:tc>
      </w:tr>
      <w:tr>
        <w:trPr>
          <w:trHeight w:val="212"/>
        </w:trPr>
        <w:tc>
          <w:tcPr>
            <w:tcW w:w="488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9,609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1,219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92"/>
              </w:rPr>
              <w:t>(1,811)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210</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9,227</w:t>
            </w:r>
          </w:p>
        </w:tc>
        <w:tc>
          <w:tcPr>
            <w:tcW w:w="0" w:type="dxa"/>
            <w:vAlign w:val="bottom"/>
          </w:tcPr>
          <w:p>
            <w:pPr>
              <w:spacing w:after="0"/>
              <w:rPr>
                <w:sz w:val="1"/>
                <w:szCs w:val="1"/>
                <w:color w:val="auto"/>
              </w:rPr>
            </w:pPr>
          </w:p>
        </w:tc>
      </w:tr>
      <w:tr>
        <w:trPr>
          <w:trHeight w:val="212"/>
        </w:trPr>
        <w:tc>
          <w:tcPr>
            <w:tcW w:w="48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2,478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131</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4,646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1,814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92"/>
              </w:rPr>
              <w:t>(1,165)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192</w:t>
            </w: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4,226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1,300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92"/>
              </w:rPr>
              <w:t>(1,358)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388</w:t>
            </w:r>
          </w:p>
        </w:tc>
        <w:tc>
          <w:tcPr>
            <w:tcW w:w="100" w:type="dxa"/>
            <w:vAlign w:val="bottom"/>
          </w:tcPr>
          <w:p>
            <w:pPr>
              <w:spacing w:after="0"/>
              <w:rPr>
                <w:sz w:val="18"/>
                <w:szCs w:val="18"/>
                <w:color w:val="auto"/>
              </w:rPr>
            </w:pPr>
          </w:p>
        </w:tc>
        <w:tc>
          <w:tcPr>
            <w:tcW w:w="7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1,671</w:t>
            </w:r>
          </w:p>
        </w:tc>
        <w:tc>
          <w:tcPr>
            <w:tcW w:w="0" w:type="dxa"/>
            <w:vAlign w:val="bottom"/>
          </w:tcPr>
          <w:p>
            <w:pPr>
              <w:spacing w:after="0"/>
              <w:rPr>
                <w:sz w:val="1"/>
                <w:szCs w:val="1"/>
                <w:color w:val="auto"/>
              </w:rPr>
            </w:pPr>
          </w:p>
        </w:tc>
      </w:tr>
      <w:tr>
        <w:trPr>
          <w:trHeight w:val="215"/>
        </w:trPr>
        <w:tc>
          <w:tcPr>
            <w:tcW w:w="4880" w:type="dxa"/>
            <w:vAlign w:val="bottom"/>
            <w:gridSpan w:val="4"/>
          </w:tcPr>
          <w:p>
            <w:pPr>
              <w:spacing w:after="0" w:line="215" w:lineRule="exact"/>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8"/>
                <w:szCs w:val="18"/>
                <w:color w:val="auto"/>
              </w:rPr>
            </w:pPr>
          </w:p>
        </w:tc>
        <w:tc>
          <w:tcPr>
            <w:tcW w:w="7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24,197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25,570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2"/>
              </w:rPr>
              <w:t>(5,559)</w:t>
            </w:r>
          </w:p>
        </w:tc>
        <w:tc>
          <w:tcPr>
            <w:tcW w:w="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1,345</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color w:val="auto"/>
        </w:rPr>
        <w:t>The following table shows the Company’s investment in loans disaggregated based on the method of evaluating impairment at the dates indicated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6"/>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Recorded Investment</w:t>
            </w:r>
          </w:p>
        </w:tc>
        <w:tc>
          <w:tcPr>
            <w:tcW w:w="280" w:type="dxa"/>
            <w:vAlign w:val="bottom"/>
          </w:tcPr>
          <w:p>
            <w:pPr>
              <w:spacing w:after="0"/>
              <w:rPr>
                <w:sz w:val="16"/>
                <w:szCs w:val="16"/>
                <w:color w:val="auto"/>
              </w:rPr>
            </w:pPr>
          </w:p>
        </w:tc>
        <w:tc>
          <w:tcPr>
            <w:tcW w:w="192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 Loan Losses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gridSpan w:val="5"/>
          </w:tcPr>
          <w:p>
            <w:pPr>
              <w:jc w:val="center"/>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Collectively</w:t>
            </w:r>
          </w:p>
        </w:tc>
        <w:tc>
          <w:tcPr>
            <w:tcW w:w="280" w:type="dxa"/>
            <w:vAlign w:val="bottom"/>
          </w:tcPr>
          <w:p>
            <w:pPr>
              <w:spacing w:after="0"/>
              <w:rPr>
                <w:sz w:val="14"/>
                <w:szCs w:val="14"/>
                <w:color w:val="auto"/>
              </w:rPr>
            </w:pPr>
          </w:p>
        </w:tc>
        <w:tc>
          <w:tcPr>
            <w:tcW w:w="820" w:type="dxa"/>
            <w:vAlign w:val="bottom"/>
            <w:tcBorders>
              <w:top w:val="single" w:sz="8" w:color="auto"/>
            </w:tcBorders>
            <w:gridSpan w:val="4"/>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Individually</w:t>
            </w:r>
          </w:p>
        </w:tc>
        <w:tc>
          <w:tcPr>
            <w:tcW w:w="1080" w:type="dxa"/>
            <w:vAlign w:val="bottom"/>
            <w:tcBorders>
              <w:top w:val="single" w:sz="8" w:color="auto"/>
            </w:tcBorders>
            <w:gridSpan w:val="4"/>
          </w:tcPr>
          <w:p>
            <w:pPr>
              <w:jc w:val="center"/>
              <w:ind w:left="204"/>
              <w:spacing w:after="0" w:line="167" w:lineRule="exact"/>
              <w:rPr>
                <w:sz w:val="20"/>
                <w:szCs w:val="20"/>
                <w:color w:val="auto"/>
              </w:rPr>
            </w:pPr>
            <w:r>
              <w:rPr>
                <w:rFonts w:ascii="Times New Roman" w:cs="Times New Roman" w:eastAsia="Times New Roman" w:hAnsi="Times New Roman"/>
                <w:sz w:val="16"/>
                <w:szCs w:val="16"/>
                <w:b w:val="1"/>
                <w:bCs w:val="1"/>
                <w:color w:val="auto"/>
                <w:w w:val="97"/>
              </w:rPr>
              <w:t>Collectively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Evaluated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
              <w:spacing w:after="0" w:line="181" w:lineRule="exact"/>
              <w:rPr>
                <w:sz w:val="20"/>
                <w:szCs w:val="20"/>
                <w:color w:val="auto"/>
              </w:rPr>
            </w:pPr>
            <w:r>
              <w:rPr>
                <w:rFonts w:ascii="Times New Roman" w:cs="Times New Roman" w:eastAsia="Times New Roman" w:hAnsi="Times New Roman"/>
                <w:sz w:val="16"/>
                <w:szCs w:val="16"/>
                <w:b w:val="1"/>
                <w:bCs w:val="1"/>
                <w:color w:val="auto"/>
                <w:w w:val="95"/>
              </w:rPr>
              <w:t>Evaluated</w:t>
            </w:r>
          </w:p>
        </w:tc>
        <w:tc>
          <w:tcPr>
            <w:tcW w:w="28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Evaluated</w:t>
            </w:r>
          </w:p>
        </w:tc>
        <w:tc>
          <w:tcPr>
            <w:tcW w:w="300" w:type="dxa"/>
            <w:vAlign w:val="bottom"/>
          </w:tcPr>
          <w:p>
            <w:pPr>
              <w:spacing w:after="0"/>
              <w:rPr>
                <w:sz w:val="15"/>
                <w:szCs w:val="15"/>
                <w:color w:val="auto"/>
              </w:rPr>
            </w:pPr>
          </w:p>
        </w:tc>
        <w:tc>
          <w:tcPr>
            <w:tcW w:w="78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Evaluated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919,358</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$13,029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20"/>
                <w:szCs w:val="20"/>
                <w:color w:val="auto"/>
                <w:w w:val="99"/>
              </w:rPr>
              <w:t>Commercial real estate . . . . . . . . . . . . . . . . . . . . . . . . . . . . .</w:t>
            </w:r>
          </w:p>
        </w:tc>
        <w:tc>
          <w:tcPr>
            <w:tcW w:w="380" w:type="dxa"/>
            <w:vAlign w:val="bottom"/>
            <w:gridSpan w:val="3"/>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w w:val="99"/>
              </w:rPr>
              <w:t>Commercial - specialized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327,513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3,425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w w:val="99"/>
              </w:rPr>
              <w:t>Commercial - general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3,350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481,433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22</w:t>
            </w:r>
          </w:p>
        </w:tc>
        <w:tc>
          <w:tcPr>
            <w:tcW w:w="200" w:type="dxa"/>
            <w:vAlign w:val="bottom"/>
          </w:tcPr>
          <w:p>
            <w:pPr>
              <w:spacing w:after="0"/>
              <w:rPr>
                <w:sz w:val="18"/>
                <w:szCs w:val="18"/>
                <w:color w:val="auto"/>
              </w:rPr>
            </w:pP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9,193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742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459,382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18"/>
                <w:szCs w:val="18"/>
                <w:color w:val="auto"/>
              </w:rPr>
            </w:pP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6,176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321,476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3,926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81,308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1,376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gridSpan w:val="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w w:val="98"/>
              </w:rPr>
              <w:t>Construction. . . . .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1,014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152,505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93"/>
              </w:rPr>
              <w:t>245</w:t>
            </w:r>
          </w:p>
        </w:tc>
        <w:tc>
          <w:tcPr>
            <w:tcW w:w="2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5,106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2,742,975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285</w:t>
            </w: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39,003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94</w:t>
      </w:r>
    </w:p>
    <w:p>
      <w:pPr>
        <w:sectPr>
          <w:pgSz w:w="12060" w:h="15667" w:orient="portrait"/>
          <w:cols w:equalWidth="0" w:num="1">
            <w:col w:w="9227"/>
          </w:cols>
          <w:pgMar w:left="1400" w:top="912" w:right="1440" w:bottom="204"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6"/>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Recorded Investment</w:t>
            </w:r>
          </w:p>
        </w:tc>
        <w:tc>
          <w:tcPr>
            <w:tcW w:w="280" w:type="dxa"/>
            <w:vAlign w:val="bottom"/>
          </w:tcPr>
          <w:p>
            <w:pPr>
              <w:spacing w:after="0"/>
              <w:rPr>
                <w:sz w:val="16"/>
                <w:szCs w:val="16"/>
                <w:color w:val="auto"/>
              </w:rPr>
            </w:pPr>
          </w:p>
        </w:tc>
        <w:tc>
          <w:tcPr>
            <w:tcW w:w="1920" w:type="dxa"/>
            <w:vAlign w:val="bottom"/>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 Loan Losses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gridSpan w:val="4"/>
          </w:tcPr>
          <w:p>
            <w:pPr>
              <w:jc w:val="center"/>
              <w:ind w:right="140"/>
              <w:spacing w:after="0" w:line="167"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Collectively</w:t>
            </w:r>
          </w:p>
        </w:tc>
        <w:tc>
          <w:tcPr>
            <w:tcW w:w="280" w:type="dxa"/>
            <w:vAlign w:val="bottom"/>
          </w:tcPr>
          <w:p>
            <w:pPr>
              <w:spacing w:after="0"/>
              <w:rPr>
                <w:sz w:val="14"/>
                <w:szCs w:val="14"/>
                <w:color w:val="auto"/>
              </w:rPr>
            </w:pPr>
          </w:p>
        </w:tc>
        <w:tc>
          <w:tcPr>
            <w:tcW w:w="820" w:type="dxa"/>
            <w:vAlign w:val="bottom"/>
            <w:tcBorders>
              <w:top w:val="single" w:sz="8" w:color="auto"/>
            </w:tcBorders>
            <w:gridSpan w:val="4"/>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w w:val="95"/>
              </w:rPr>
              <w:t>Individually</w:t>
            </w:r>
          </w:p>
        </w:tc>
        <w:tc>
          <w:tcPr>
            <w:tcW w:w="1080" w:type="dxa"/>
            <w:vAlign w:val="bottom"/>
            <w:tcBorders>
              <w:top w:val="single" w:sz="8" w:color="auto"/>
            </w:tcBorders>
            <w:gridSpan w:val="4"/>
          </w:tcPr>
          <w:p>
            <w:pPr>
              <w:jc w:val="center"/>
              <w:ind w:left="204"/>
              <w:spacing w:after="0" w:line="167" w:lineRule="exact"/>
              <w:rPr>
                <w:sz w:val="20"/>
                <w:szCs w:val="20"/>
                <w:color w:val="auto"/>
              </w:rPr>
            </w:pPr>
            <w:r>
              <w:rPr>
                <w:rFonts w:ascii="Times New Roman" w:cs="Times New Roman" w:eastAsia="Times New Roman" w:hAnsi="Times New Roman"/>
                <w:sz w:val="16"/>
                <w:szCs w:val="16"/>
                <w:b w:val="1"/>
                <w:bCs w:val="1"/>
                <w:color w:val="auto"/>
                <w:w w:val="97"/>
              </w:rPr>
              <w:t>Collectively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Evaluated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
              <w:spacing w:after="0" w:line="181" w:lineRule="exact"/>
              <w:rPr>
                <w:sz w:val="20"/>
                <w:szCs w:val="20"/>
                <w:color w:val="auto"/>
              </w:rPr>
            </w:pPr>
            <w:r>
              <w:rPr>
                <w:rFonts w:ascii="Times New Roman" w:cs="Times New Roman" w:eastAsia="Times New Roman" w:hAnsi="Times New Roman"/>
                <w:sz w:val="16"/>
                <w:szCs w:val="16"/>
                <w:b w:val="1"/>
                <w:bCs w:val="1"/>
                <w:color w:val="auto"/>
                <w:w w:val="95"/>
              </w:rPr>
              <w:t>Evaluated</w:t>
            </w:r>
          </w:p>
        </w:tc>
        <w:tc>
          <w:tcPr>
            <w:tcW w:w="280" w:type="dxa"/>
            <w:vAlign w:val="bottom"/>
          </w:tcPr>
          <w:p>
            <w:pPr>
              <w:spacing w:after="0"/>
              <w:rPr>
                <w:sz w:val="15"/>
                <w:szCs w:val="15"/>
                <w:color w:val="auto"/>
              </w:rPr>
            </w:pPr>
          </w:p>
        </w:tc>
        <w:tc>
          <w:tcPr>
            <w:tcW w:w="820" w:type="dxa"/>
            <w:vAlign w:val="bottom"/>
            <w:tcBorders>
              <w:bottom w:val="single" w:sz="8" w:color="auto"/>
            </w:tcBorders>
            <w:gridSpan w:val="4"/>
          </w:tcPr>
          <w:p>
            <w:pPr>
              <w:jc w:val="right"/>
              <w:ind w:right="60"/>
              <w:spacing w:after="0" w:line="181" w:lineRule="exact"/>
              <w:rPr>
                <w:sz w:val="20"/>
                <w:szCs w:val="20"/>
                <w:color w:val="auto"/>
              </w:rPr>
            </w:pPr>
            <w:r>
              <w:rPr>
                <w:rFonts w:ascii="Times New Roman" w:cs="Times New Roman" w:eastAsia="Times New Roman" w:hAnsi="Times New Roman"/>
                <w:sz w:val="16"/>
                <w:szCs w:val="16"/>
                <w:b w:val="1"/>
                <w:bCs w:val="1"/>
                <w:color w:val="auto"/>
              </w:rPr>
              <w:t>Evaluated</w:t>
            </w:r>
          </w:p>
        </w:tc>
        <w:tc>
          <w:tcPr>
            <w:tcW w:w="300" w:type="dxa"/>
            <w:vAlign w:val="bottom"/>
          </w:tcPr>
          <w:p>
            <w:pPr>
              <w:spacing w:after="0"/>
              <w:rPr>
                <w:sz w:val="15"/>
                <w:szCs w:val="15"/>
                <w:color w:val="auto"/>
              </w:rPr>
            </w:pPr>
          </w:p>
        </w:tc>
        <w:tc>
          <w:tcPr>
            <w:tcW w:w="78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Evaluated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754,343</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140" w:type="dxa"/>
            <w:vAlign w:val="bottom"/>
          </w:tcPr>
          <w:p>
            <w:pPr>
              <w:spacing w:after="0"/>
              <w:rPr>
                <w:sz w:val="24"/>
                <w:szCs w:val="24"/>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$16,661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gridSpan w:val="2"/>
          </w:tcPr>
          <w:p>
            <w:pPr>
              <w:jc w:val="right"/>
              <w:ind w:right="140"/>
              <w:spacing w:after="0" w:line="188" w:lineRule="exact"/>
              <w:rPr>
                <w:sz w:val="20"/>
                <w:szCs w:val="20"/>
                <w:color w:val="auto"/>
              </w:rPr>
            </w:pPr>
            <w:r>
              <w:rPr>
                <w:rFonts w:ascii="Times New Roman" w:cs="Times New Roman" w:eastAsia="Times New Roman" w:hAnsi="Times New Roman"/>
                <w:sz w:val="20"/>
                <w:szCs w:val="20"/>
                <w:color w:val="auto"/>
                <w:w w:val="99"/>
              </w:rPr>
              <w:t>Commercial real estate . . . . . . . . . . . . . . . . . . . . . . . . . . . . .</w:t>
            </w:r>
          </w:p>
        </w:tc>
        <w:tc>
          <w:tcPr>
            <w:tcW w:w="8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w w:val="99"/>
              </w:rPr>
              <w:t>Commercial - specialized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378,725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4,363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w w:val="99"/>
              </w:rPr>
              <w:t>Commercial - general . . . . . . . . . . . . . . . . . . . . . . . . . . . . . .</w:t>
            </w: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5,078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454,946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585</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7,881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w:t>
            </w:r>
          </w:p>
        </w:tc>
        <w:tc>
          <w:tcPr>
            <w:tcW w:w="84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386,098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175</w:t>
            </w:r>
          </w:p>
        </w:tc>
        <w:tc>
          <w:tcPr>
            <w:tcW w:w="140" w:type="dxa"/>
            <w:vAlign w:val="bottom"/>
          </w:tcPr>
          <w:p>
            <w:pPr>
              <w:spacing w:after="0"/>
              <w:rPr>
                <w:sz w:val="18"/>
                <w:szCs w:val="18"/>
                <w:color w:val="auto"/>
              </w:rPr>
            </w:pP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5,093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240,719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3,653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68,113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1,357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gridSpan w:val="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w w:val="98"/>
              </w:rPr>
              <w:t>Construction. . . . . . . . . . . . . . . . . . . . . . . . . . . . . . . . . . . . .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146,862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1,746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7,771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2,429,806</w:t>
            </w:r>
          </w:p>
        </w:tc>
        <w:tc>
          <w:tcPr>
            <w:tcW w:w="42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1,344</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40,754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Impaired loan information at the dates indicated follows (dollars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Recorded</w:t>
            </w:r>
          </w:p>
        </w:tc>
        <w:tc>
          <w:tcPr>
            <w:tcW w:w="8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Unpaid</w:t>
            </w:r>
          </w:p>
        </w:tc>
        <w:tc>
          <w:tcPr>
            <w:tcW w:w="1120" w:type="dxa"/>
            <w:vAlign w:val="bottom"/>
            <w:gridSpan w:val="6"/>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Investment</w:t>
            </w:r>
          </w:p>
        </w:tc>
        <w:tc>
          <w:tcPr>
            <w:tcW w:w="880" w:type="dxa"/>
            <w:vAlign w:val="bottom"/>
            <w:gridSpan w:val="5"/>
          </w:tcPr>
          <w:p>
            <w:pPr>
              <w:jc w:val="center"/>
              <w:ind w:right="140"/>
              <w:spacing w:after="0" w:line="178"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460"/>
              <w:spacing w:after="0" w:line="178"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center"/>
              <w:ind w:right="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77"/>
        </w:trPr>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5"/>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20" w:type="dxa"/>
            <w:vAlign w:val="bottom"/>
          </w:tcPr>
          <w:p>
            <w:pPr>
              <w:spacing w:after="0"/>
              <w:rPr>
                <w:sz w:val="15"/>
                <w:szCs w:val="15"/>
                <w:color w:val="auto"/>
              </w:rPr>
            </w:pPr>
          </w:p>
        </w:tc>
        <w:tc>
          <w:tcPr>
            <w:tcW w:w="1000" w:type="dxa"/>
            <w:vAlign w:val="bottom"/>
            <w:gridSpan w:val="5"/>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ind w:right="340"/>
              <w:spacing w:after="0" w:line="178" w:lineRule="exact"/>
              <w:rPr>
                <w:sz w:val="20"/>
                <w:szCs w:val="20"/>
                <w:color w:val="auto"/>
              </w:rPr>
            </w:pPr>
            <w:r>
              <w:rPr>
                <w:rFonts w:ascii="Times New Roman" w:cs="Times New Roman" w:eastAsia="Times New Roman" w:hAnsi="Times New Roman"/>
                <w:sz w:val="16"/>
                <w:szCs w:val="16"/>
                <w:b w:val="1"/>
                <w:bCs w:val="1"/>
                <w:color w:val="auto"/>
                <w:w w:val="97"/>
              </w:rPr>
              <w:t>With</w:t>
            </w:r>
          </w:p>
        </w:tc>
        <w:tc>
          <w:tcPr>
            <w:tcW w:w="120" w:type="dxa"/>
            <w:vAlign w:val="bottom"/>
          </w:tcPr>
          <w:p>
            <w:pPr>
              <w:spacing w:after="0"/>
              <w:rPr>
                <w:sz w:val="15"/>
                <w:szCs w:val="15"/>
                <w:color w:val="auto"/>
              </w:rPr>
            </w:pPr>
          </w:p>
        </w:tc>
        <w:tc>
          <w:tcPr>
            <w:tcW w:w="1000" w:type="dxa"/>
            <w:vAlign w:val="bottom"/>
            <w:gridSpan w:val="5"/>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60" w:type="dxa"/>
            <w:vAlign w:val="bottom"/>
          </w:tcPr>
          <w:p>
            <w:pPr>
              <w:spacing w:after="0"/>
              <w:rPr>
                <w:sz w:val="15"/>
                <w:szCs w:val="15"/>
                <w:color w:val="auto"/>
              </w:rPr>
            </w:pPr>
          </w:p>
        </w:tc>
        <w:tc>
          <w:tcPr>
            <w:tcW w:w="76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Related</w:t>
            </w:r>
          </w:p>
        </w:tc>
        <w:tc>
          <w:tcPr>
            <w:tcW w:w="120" w:type="dxa"/>
            <w:vAlign w:val="bottom"/>
          </w:tcPr>
          <w:p>
            <w:pPr>
              <w:spacing w:after="0"/>
              <w:rPr>
                <w:sz w:val="15"/>
                <w:szCs w:val="15"/>
                <w:color w:val="auto"/>
              </w:rPr>
            </w:pPr>
          </w:p>
        </w:tc>
        <w:tc>
          <w:tcPr>
            <w:tcW w:w="740" w:type="dxa"/>
            <w:vAlign w:val="bottom"/>
            <w:gridSpan w:val="4"/>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gridSpan w:val="6"/>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Principal Balance</w:t>
            </w:r>
          </w:p>
        </w:tc>
        <w:tc>
          <w:tcPr>
            <w:tcW w:w="120" w:type="dxa"/>
            <w:vAlign w:val="bottom"/>
          </w:tcPr>
          <w:p>
            <w:pPr>
              <w:spacing w:after="0"/>
              <w:rPr>
                <w:sz w:val="15"/>
                <w:szCs w:val="15"/>
                <w:color w:val="auto"/>
              </w:rPr>
            </w:pPr>
          </w:p>
        </w:tc>
        <w:tc>
          <w:tcPr>
            <w:tcW w:w="1000" w:type="dxa"/>
            <w:vAlign w:val="bottom"/>
            <w:gridSpan w:val="5"/>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Allowance</w:t>
            </w:r>
          </w:p>
        </w:tc>
        <w:tc>
          <w:tcPr>
            <w:tcW w:w="880" w:type="dxa"/>
            <w:vAlign w:val="bottom"/>
            <w:gridSpan w:val="5"/>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Allowance</w:t>
            </w:r>
          </w:p>
        </w:tc>
        <w:tc>
          <w:tcPr>
            <w:tcW w:w="1120" w:type="dxa"/>
            <w:vAlign w:val="bottom"/>
            <w:gridSpan w:val="6"/>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820" w:type="dxa"/>
            <w:vAlign w:val="bottom"/>
            <w:gridSpan w:val="5"/>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Allowance</w:t>
            </w:r>
          </w:p>
        </w:tc>
        <w:tc>
          <w:tcPr>
            <w:tcW w:w="860" w:type="dxa"/>
            <w:vAlign w:val="bottom"/>
            <w:gridSpan w:val="5"/>
          </w:tcPr>
          <w:p>
            <w:pPr>
              <w:jc w:val="center"/>
              <w:ind w:left="39"/>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0" w:type="dxa"/>
            <w:vAlign w:val="bottom"/>
          </w:tcPr>
          <w:p>
            <w:pPr>
              <w:spacing w:after="0"/>
              <w:rPr>
                <w:sz w:val="1"/>
                <w:szCs w:val="1"/>
                <w:color w:val="auto"/>
              </w:rPr>
            </w:pPr>
          </w:p>
        </w:tc>
      </w:tr>
      <w:tr>
        <w:trPr>
          <w:trHeight w:val="286"/>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real estate . . . . . . . . . .</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 specialized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 general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3,350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2,551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 family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256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Auto loans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Other consumer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Construction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5,106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3,135</w:t>
            </w: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960" w:type="dxa"/>
            <w:vAlign w:val="bottom"/>
            <w:gridSpan w:val="2"/>
            <w:vMerge w:val="continue"/>
          </w:tcPr>
          <w:p>
            <w:pPr>
              <w:jc w:val="right"/>
              <w:ind w:right="120"/>
              <w:spacing w:after="0"/>
              <w:rPr>
                <w:sz w:val="20"/>
                <w:szCs w:val="20"/>
                <w:color w:val="auto"/>
              </w:rPr>
            </w:pPr>
            <w:r>
              <w:rPr>
                <w:rFonts w:ascii="Times New Roman" w:cs="Times New Roman" w:eastAsia="Times New Roman" w:hAnsi="Times New Roman"/>
                <w:sz w:val="20"/>
                <w:szCs w:val="20"/>
                <w:color w:val="auto"/>
              </w:rPr>
              <w:t>. . . . . . . . . . . . .</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Commercial real estate . . . . . . . . . .</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1,101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1,101</w:t>
            </w:r>
          </w:p>
        </w:tc>
        <w:tc>
          <w:tcPr>
            <w:tcW w:w="1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Commercial - specialized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Commercial - general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5,078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3,935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 family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1,592</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Auto loans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Other consumer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2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Construction . . . . . . . . . . . . . . . . .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7,771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2,023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5,748</w:t>
            </w: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7,771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3"/>
          </w:tcPr>
          <w:p>
            <w:pPr>
              <w:ind w:left="18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10,396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All impaired loans $250 thousand and greater were specifically evaluated for impairment. Interest income recognized using a cash-basis method on impaired loans for 2022, 2021 and 2020 was not significant. Additional funds committed to be advanced on impaired loans are not significant.</w:t>
      </w:r>
    </w:p>
    <w:p>
      <w:pPr>
        <w:spacing w:after="0" w:line="139"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Company elects the fair value option for recording residential mortgage loans held for sale (mandatory) in accordance with GAAP. The Company had no nonaccrual mortgage loans held for sale (mandatory) recorded using the fair value option election at December 31, 2022, and 2021.</w:t>
      </w:r>
    </w:p>
    <w:p>
      <w:pPr>
        <w:sectPr>
          <w:pgSz w:w="12060" w:h="15667" w:orient="portrait"/>
          <w:cols w:equalWidth="0" w:num="1">
            <w:col w:w="9227"/>
          </w:cols>
          <w:pgMar w:left="1400" w:top="987" w:right="1440" w:bottom="2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95</w:t>
      </w:r>
    </w:p>
    <w:p>
      <w:pPr>
        <w:sectPr>
          <w:pgSz w:w="12060" w:h="15667" w:orient="portrait"/>
          <w:cols w:equalWidth="0" w:num="1">
            <w:col w:w="9227"/>
          </w:cols>
          <w:pgMar w:left="1400" w:top="987" w:right="1440" w:bottom="203" w:gutter="0" w:footer="0" w:header="0"/>
          <w:type w:val="continuous"/>
        </w:sectPr>
      </w:pPr>
    </w:p>
    <w:bookmarkStart w:id="108" w:name="page109"/>
    <w:bookmarkEnd w:id="108"/>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table below provides an age analysis on accruing past-due loans and nonaccrual loans at the dates indicated (dollars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20" w:type="dxa"/>
            <w:vAlign w:val="bottom"/>
            <w:gridSpan w:val="5"/>
          </w:tcPr>
          <w:p>
            <w:pPr>
              <w:jc w:val="center"/>
              <w:ind w:right="160"/>
              <w:spacing w:after="0" w:line="178" w:lineRule="exact"/>
              <w:rPr>
                <w:sz w:val="20"/>
                <w:szCs w:val="20"/>
                <w:color w:val="auto"/>
              </w:rPr>
            </w:pPr>
            <w:r>
              <w:rPr>
                <w:rFonts w:ascii="Times New Roman" w:cs="Times New Roman" w:eastAsia="Times New Roman" w:hAnsi="Times New Roman"/>
                <w:sz w:val="16"/>
                <w:szCs w:val="16"/>
                <w:b w:val="1"/>
                <w:bCs w:val="1"/>
                <w:color w:val="auto"/>
              </w:rPr>
              <w:t>30-89 Days</w:t>
            </w:r>
          </w:p>
        </w:tc>
        <w:tc>
          <w:tcPr>
            <w:tcW w:w="140" w:type="dxa"/>
            <w:vAlign w:val="bottom"/>
          </w:tcPr>
          <w:p>
            <w:pPr>
              <w:spacing w:after="0"/>
              <w:rPr>
                <w:sz w:val="15"/>
                <w:szCs w:val="15"/>
                <w:color w:val="auto"/>
              </w:rPr>
            </w:pPr>
          </w:p>
        </w:tc>
        <w:tc>
          <w:tcPr>
            <w:tcW w:w="780" w:type="dxa"/>
            <w:vAlign w:val="bottom"/>
            <w:gridSpan w:val="5"/>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or More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760" w:type="dxa"/>
            <w:vAlign w:val="bottom"/>
            <w:tcBorders>
              <w:bottom w:val="single" w:sz="8" w:color="auto"/>
            </w:tcBorders>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gridSpan w:val="4"/>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6"/>
              </w:rPr>
              <w:t>Nonaccrual</w:t>
            </w:r>
          </w:p>
        </w:tc>
        <w:tc>
          <w:tcPr>
            <w:tcW w:w="0" w:type="dxa"/>
            <w:vAlign w:val="bottom"/>
          </w:tcPr>
          <w:p>
            <w:pPr>
              <w:spacing w:after="0"/>
              <w:rPr>
                <w:sz w:val="1"/>
                <w:szCs w:val="1"/>
                <w:color w:val="auto"/>
              </w:rPr>
            </w:pPr>
          </w:p>
        </w:tc>
      </w:tr>
      <w:tr>
        <w:trPr>
          <w:trHeight w:val="246"/>
        </w:trPr>
        <w:tc>
          <w:tcPr>
            <w:tcW w:w="6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60" w:type="dxa"/>
            <w:vAlign w:val="bottom"/>
            <w:gridSpan w:val="3"/>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 . . . . . . . . . . . . . . . . . . .</w:t>
            </w:r>
          </w:p>
        </w:tc>
        <w:tc>
          <w:tcPr>
            <w:tcW w:w="2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1,451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3,357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gridSpan w:val="2"/>
          </w:tcPr>
          <w:p>
            <w:pPr>
              <w:ind w:left="18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1,389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1,653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1,356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1,487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gridSpan w:val="3"/>
          </w:tcPr>
          <w:p>
            <w:pPr>
              <w:spacing w:after="0" w:line="215" w:lineRule="exact"/>
              <w:rPr>
                <w:sz w:val="20"/>
                <w:szCs w:val="20"/>
                <w:color w:val="auto"/>
              </w:rPr>
            </w:pPr>
            <w:r>
              <w:rPr>
                <w:rFonts w:ascii="Times New Roman" w:cs="Times New Roman" w:eastAsia="Times New Roman" w:hAnsi="Times New Roman"/>
                <w:sz w:val="20"/>
                <w:szCs w:val="20"/>
                <w:color w:val="auto"/>
              </w:rPr>
              <w:t>Construction . . . . .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3"/>
              </w:rPr>
              <w:t>1,014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5,951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3"/>
              </w:rPr>
              <w:t>1,987</w:t>
            </w:r>
          </w:p>
        </w:tc>
        <w:tc>
          <w:tcPr>
            <w:tcW w:w="1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5,802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440" w:type="dxa"/>
            <w:vAlign w:val="bottom"/>
            <w:gridSpan w:val="2"/>
            <w:vMerge w:val="continue"/>
          </w:tcPr>
          <w:p>
            <w:pPr>
              <w:spacing w:after="0"/>
              <w:rPr>
                <w:sz w:val="24"/>
                <w:szCs w:val="2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3"/>
              </w:rPr>
              <w:t>1,101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gridSpan w:val="2"/>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 . . . . . . . . . . . . . . . . . . .</w:t>
            </w:r>
          </w:p>
        </w:tc>
        <w:tc>
          <w:tcPr>
            <w:tcW w:w="2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4,032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5,236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6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gridSpan w:val="2"/>
          </w:tcPr>
          <w:p>
            <w:pPr>
              <w:ind w:left="180"/>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7"/>
              </w:rPr>
              <w:t>2,496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2,815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gridSpan w:val="3"/>
          </w:tcPr>
          <w:p>
            <w:pPr>
              <w:ind w:left="180"/>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40" w:type="dxa"/>
            <w:vAlign w:val="bottom"/>
            <w:gridSpan w:val="3"/>
          </w:tcPr>
          <w:p>
            <w:pPr>
              <w:spacing w:after="0" w:line="215" w:lineRule="exact"/>
              <w:rPr>
                <w:sz w:val="20"/>
                <w:szCs w:val="20"/>
                <w:color w:val="auto"/>
              </w:rPr>
            </w:pPr>
            <w:r>
              <w:rPr>
                <w:rFonts w:ascii="Times New Roman" w:cs="Times New Roman" w:eastAsia="Times New Roman" w:hAnsi="Times New Roman"/>
                <w:sz w:val="20"/>
                <w:szCs w:val="20"/>
                <w:color w:val="auto"/>
              </w:rPr>
              <w:t>Construction . . . . . . . . . . . . . . . . . . . . . . . . . . . . . . . . . . . . . . . . . . . . . . . . . . . .</w:t>
            </w:r>
          </w:p>
        </w:tc>
        <w:tc>
          <w:tcPr>
            <w:tcW w:w="1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8,993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1,080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9,518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w:t>
      </w:r>
    </w:p>
    <w:p>
      <w:pPr>
        <w:spacing w:after="0" w:line="13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38" w:lineRule="exact"/>
        <w:rPr>
          <w:sz w:val="20"/>
          <w:szCs w:val="20"/>
          <w:color w:val="auto"/>
        </w:rPr>
      </w:pPr>
    </w:p>
    <w:p>
      <w:pPr>
        <w:jc w:val="both"/>
        <w:ind w:right="7" w:firstLine="394"/>
        <w:spacing w:after="0" w:line="269" w:lineRule="auto"/>
        <w:rPr>
          <w:sz w:val="20"/>
          <w:szCs w:val="20"/>
          <w:color w:val="auto"/>
        </w:rPr>
      </w:pPr>
      <w:r>
        <w:rPr>
          <w:rFonts w:ascii="Times New Roman" w:cs="Times New Roman" w:eastAsia="Times New Roman" w:hAnsi="Times New Roman"/>
          <w:sz w:val="19"/>
          <w:szCs w:val="19"/>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21" w:lineRule="exact"/>
        <w:rPr>
          <w:sz w:val="20"/>
          <w:szCs w:val="20"/>
          <w:color w:val="auto"/>
        </w:rPr>
      </w:pPr>
    </w:p>
    <w:p>
      <w:pPr>
        <w:jc w:val="both"/>
        <w:ind w:right="7" w:firstLine="394"/>
        <w:spacing w:after="0" w:line="287"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10"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96</w:t>
      </w:r>
    </w:p>
    <w:p>
      <w:pPr>
        <w:sectPr>
          <w:pgSz w:w="12060" w:h="15667" w:orient="portrait"/>
          <w:cols w:equalWidth="0" w:num="1">
            <w:col w:w="9227"/>
          </w:cols>
          <w:pgMar w:left="1400" w:top="912" w:right="1440" w:bottom="204" w:gutter="0" w:footer="0" w:header="0"/>
          <w:type w:val="continuous"/>
        </w:sectPr>
      </w:pPr>
    </w:p>
    <w:bookmarkStart w:id="109" w:name="page110"/>
    <w:bookmarkEnd w:id="109"/>
    <w:p>
      <w:pPr>
        <w:ind w:left="400"/>
        <w:spacing w:after="0"/>
        <w:rPr>
          <w:sz w:val="20"/>
          <w:szCs w:val="20"/>
          <w:color w:val="auto"/>
        </w:rPr>
      </w:pPr>
      <w:r>
        <w:rPr>
          <w:rFonts w:ascii="Times New Roman" w:cs="Times New Roman" w:eastAsia="Times New Roman" w:hAnsi="Times New Roman"/>
          <w:sz w:val="19"/>
          <w:szCs w:val="19"/>
          <w:color w:val="auto"/>
        </w:rPr>
        <w:t>The following table summarizes the internal classifications of loans at the dates indicated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Special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3"/>
              <w:spacing w:after="0" w:line="181" w:lineRule="exact"/>
              <w:rPr>
                <w:sz w:val="20"/>
                <w:szCs w:val="20"/>
                <w:color w:val="auto"/>
              </w:rPr>
            </w:pPr>
            <w:r>
              <w:rPr>
                <w:rFonts w:ascii="Times New Roman" w:cs="Times New Roman" w:eastAsia="Times New Roman" w:hAnsi="Times New Roman"/>
                <w:sz w:val="16"/>
                <w:szCs w:val="16"/>
                <w:b w:val="1"/>
                <w:bCs w:val="1"/>
                <w:color w:val="auto"/>
              </w:rPr>
              <w:t>Pass</w:t>
            </w:r>
          </w:p>
        </w:tc>
        <w:tc>
          <w:tcPr>
            <w:tcW w:w="220" w:type="dxa"/>
            <w:vAlign w:val="bottom"/>
          </w:tcPr>
          <w:p>
            <w:pPr>
              <w:spacing w:after="0"/>
              <w:rPr>
                <w:sz w:val="15"/>
                <w:szCs w:val="15"/>
                <w:color w:val="auto"/>
              </w:rPr>
            </w:pPr>
          </w:p>
        </w:tc>
        <w:tc>
          <w:tcPr>
            <w:tcW w:w="580" w:type="dxa"/>
            <w:vAlign w:val="bottom"/>
            <w:tcBorders>
              <w:bottom w:val="single" w:sz="8" w:color="auto"/>
            </w:tcBorders>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6"/>
              </w:rPr>
              <w:t>Mention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7"/>
              </w:rPr>
              <w:t>Substandard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7"/>
              </w:rPr>
              <w:t>Doubtful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3"/>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6"/>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2920" w:type="dxa"/>
            <w:vAlign w:val="bottom"/>
          </w:tcPr>
          <w:p>
            <w:pPr>
              <w:jc w:val="right"/>
              <w:ind w:right="141"/>
              <w:spacing w:after="0" w:line="207" w:lineRule="exact"/>
              <w:rPr>
                <w:sz w:val="20"/>
                <w:szCs w:val="20"/>
                <w:color w:val="auto"/>
              </w:rPr>
            </w:pPr>
            <w:r>
              <w:rPr>
                <w:rFonts w:ascii="Times New Roman" w:cs="Times New Roman" w:eastAsia="Times New Roman" w:hAnsi="Times New Roman"/>
                <w:sz w:val="20"/>
                <w:szCs w:val="20"/>
                <w:color w:val="auto"/>
              </w:rPr>
              <w:t>. . . . . . . . . . . . . . . . . . . . . . . . . .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893,312</w:t>
            </w:r>
          </w:p>
        </w:tc>
        <w:tc>
          <w:tcPr>
            <w:tcW w:w="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$26,046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919,358</w:t>
            </w:r>
          </w:p>
        </w:tc>
        <w:tc>
          <w:tcPr>
            <w:tcW w:w="0" w:type="dxa"/>
            <w:vAlign w:val="bottom"/>
          </w:tcPr>
          <w:p>
            <w:pPr>
              <w:spacing w:after="0"/>
              <w:rPr>
                <w:sz w:val="1"/>
                <w:szCs w:val="1"/>
                <w:color w:val="auto"/>
              </w:rPr>
            </w:pPr>
          </w:p>
        </w:tc>
      </w:tr>
      <w:tr>
        <w:trPr>
          <w:trHeight w:val="189"/>
        </w:trPr>
        <w:tc>
          <w:tcPr>
            <w:tcW w:w="4500" w:type="dxa"/>
            <w:vAlign w:val="bottom"/>
            <w:gridSpan w:val="2"/>
          </w:tcPr>
          <w:p>
            <w:pPr>
              <w:spacing w:after="0" w:line="188" w:lineRule="exact"/>
              <w:rPr>
                <w:sz w:val="20"/>
                <w:szCs w:val="20"/>
                <w:color w:val="auto"/>
              </w:rPr>
            </w:pPr>
            <w:r>
              <w:rPr>
                <w:rFonts w:ascii="Times New Roman" w:cs="Times New Roman" w:eastAsia="Times New Roman" w:hAnsi="Times New Roman"/>
                <w:sz w:val="20"/>
                <w:szCs w:val="20"/>
                <w:color w:val="auto"/>
              </w:rPr>
              <w:t>Commercial real estate . . . . . . . . . . . . . . . . . . . . . . . .</w:t>
            </w: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Commercial - specialized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326,987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327,513</w:t>
            </w: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Commercial - general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451,639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33,144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484,783</w:t>
            </w: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450,034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10,090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460,124</w:t>
            </w: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321,158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321,476</w:t>
            </w: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81,109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81,308</w:t>
            </w:r>
          </w:p>
        </w:tc>
        <w:tc>
          <w:tcPr>
            <w:tcW w:w="0" w:type="dxa"/>
            <w:vAlign w:val="bottom"/>
          </w:tcPr>
          <w:p>
            <w:pPr>
              <w:spacing w:after="0"/>
              <w:rPr>
                <w:sz w:val="1"/>
                <w:szCs w:val="1"/>
                <w:color w:val="auto"/>
              </w:rPr>
            </w:pPr>
          </w:p>
        </w:tc>
      </w:tr>
      <w:tr>
        <w:trPr>
          <w:trHeight w:val="215"/>
        </w:trPr>
        <w:tc>
          <w:tcPr>
            <w:tcW w:w="4500" w:type="dxa"/>
            <w:vAlign w:val="bottom"/>
            <w:gridSpan w:val="2"/>
          </w:tcPr>
          <w:p>
            <w:pPr>
              <w:jc w:val="right"/>
              <w:ind w:right="141"/>
              <w:spacing w:after="0" w:line="215" w:lineRule="exact"/>
              <w:rPr>
                <w:sz w:val="20"/>
                <w:szCs w:val="20"/>
                <w:color w:val="auto"/>
              </w:rPr>
            </w:pPr>
            <w:r>
              <w:rPr>
                <w:rFonts w:ascii="Times New Roman" w:cs="Times New Roman" w:eastAsia="Times New Roman" w:hAnsi="Times New Roman"/>
                <w:sz w:val="20"/>
                <w:szCs w:val="20"/>
                <w:color w:val="auto"/>
                <w:w w:val="97"/>
              </w:rPr>
              <w:t>Construction . . . . .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151,995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1,524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153,519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2,676,234</w:t>
            </w: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71,847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2,748,081</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500" w:type="dxa"/>
            <w:vAlign w:val="bottom"/>
            <w:gridSpan w:val="2"/>
            <w:vMerge w:val="continue"/>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713,852</w:t>
            </w:r>
          </w:p>
        </w:tc>
        <w:tc>
          <w:tcPr>
            <w:tcW w:w="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$41,592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755,444</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340" w:type="dxa"/>
            <w:vAlign w:val="bottom"/>
            <w:gridSpan w:val="3"/>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gridSpan w:val="2"/>
          </w:tcPr>
          <w:p>
            <w:pPr>
              <w:jc w:val="right"/>
              <w:ind w:right="141"/>
              <w:spacing w:after="0" w:line="188" w:lineRule="exact"/>
              <w:rPr>
                <w:sz w:val="20"/>
                <w:szCs w:val="20"/>
                <w:color w:val="auto"/>
              </w:rPr>
            </w:pPr>
            <w:r>
              <w:rPr>
                <w:rFonts w:ascii="Times New Roman" w:cs="Times New Roman" w:eastAsia="Times New Roman" w:hAnsi="Times New Roman"/>
                <w:sz w:val="20"/>
                <w:szCs w:val="20"/>
                <w:color w:val="auto"/>
                <w:w w:val="99"/>
              </w:rPr>
              <w:t>Commercial real estate . . . . . . . . . . . . . . . . . . . . . . . .</w:t>
            </w: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w w:val="99"/>
              </w:rPr>
              <w:t>Commercial - specialized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372,797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5,928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378,725</w:t>
            </w: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w w:val="99"/>
              </w:rPr>
              <w:t>Commercial - general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450,790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93"/>
              </w:rPr>
              <w:t>1,676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7,558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460,024</w:t>
            </w: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Consumer: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1-4 family residential.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379,458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8,232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387,690</w:t>
            </w: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Auto loans . . . .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239,869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240,719</w:t>
            </w:r>
          </w:p>
        </w:tc>
        <w:tc>
          <w:tcPr>
            <w:tcW w:w="0" w:type="dxa"/>
            <w:vAlign w:val="bottom"/>
          </w:tcPr>
          <w:p>
            <w:pPr>
              <w:spacing w:after="0"/>
              <w:rPr>
                <w:sz w:val="1"/>
                <w:szCs w:val="1"/>
                <w:color w:val="auto"/>
              </w:rPr>
            </w:pPr>
          </w:p>
        </w:tc>
      </w:tr>
      <w:tr>
        <w:trPr>
          <w:trHeight w:val="212"/>
        </w:trPr>
        <w:tc>
          <w:tcPr>
            <w:tcW w:w="4500" w:type="dxa"/>
            <w:vAlign w:val="bottom"/>
            <w:gridSpan w:val="2"/>
          </w:tcPr>
          <w:p>
            <w:pPr>
              <w:jc w:val="right"/>
              <w:ind w:right="141"/>
              <w:spacing w:after="0" w:line="212" w:lineRule="exact"/>
              <w:rPr>
                <w:sz w:val="20"/>
                <w:szCs w:val="20"/>
                <w:color w:val="auto"/>
              </w:rPr>
            </w:pPr>
            <w:r>
              <w:rPr>
                <w:rFonts w:ascii="Times New Roman" w:cs="Times New Roman" w:eastAsia="Times New Roman" w:hAnsi="Times New Roman"/>
                <w:sz w:val="20"/>
                <w:szCs w:val="20"/>
                <w:color w:val="auto"/>
              </w:rPr>
              <w:t>Other consumer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67,822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2"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68,113</w:t>
            </w:r>
          </w:p>
        </w:tc>
        <w:tc>
          <w:tcPr>
            <w:tcW w:w="0" w:type="dxa"/>
            <w:vAlign w:val="bottom"/>
          </w:tcPr>
          <w:p>
            <w:pPr>
              <w:spacing w:after="0"/>
              <w:rPr>
                <w:sz w:val="1"/>
                <w:szCs w:val="1"/>
                <w:color w:val="auto"/>
              </w:rPr>
            </w:pPr>
          </w:p>
        </w:tc>
      </w:tr>
      <w:tr>
        <w:trPr>
          <w:trHeight w:val="215"/>
        </w:trPr>
        <w:tc>
          <w:tcPr>
            <w:tcW w:w="4500" w:type="dxa"/>
            <w:vAlign w:val="bottom"/>
            <w:gridSpan w:val="2"/>
          </w:tcPr>
          <w:p>
            <w:pPr>
              <w:jc w:val="right"/>
              <w:ind w:right="141"/>
              <w:spacing w:after="0" w:line="215" w:lineRule="exact"/>
              <w:rPr>
                <w:sz w:val="20"/>
                <w:szCs w:val="20"/>
                <w:color w:val="auto"/>
              </w:rPr>
            </w:pPr>
            <w:r>
              <w:rPr>
                <w:rFonts w:ascii="Times New Roman" w:cs="Times New Roman" w:eastAsia="Times New Roman" w:hAnsi="Times New Roman"/>
                <w:sz w:val="20"/>
                <w:szCs w:val="20"/>
                <w:color w:val="auto"/>
                <w:w w:val="97"/>
              </w:rPr>
              <w:t>Construction . . . . . . . . . . . . . . . . . . . . . . . . . . . . . . . . .</w:t>
            </w: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146,696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6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146,862</w:t>
            </w:r>
          </w:p>
        </w:tc>
        <w:tc>
          <w:tcPr>
            <w:tcW w:w="0" w:type="dxa"/>
            <w:vAlign w:val="bottom"/>
          </w:tcPr>
          <w:p>
            <w:pPr>
              <w:spacing w:after="0"/>
              <w:rPr>
                <w:sz w:val="1"/>
                <w:szCs w:val="1"/>
                <w:color w:val="auto"/>
              </w:rPr>
            </w:pPr>
          </w:p>
        </w:tc>
      </w:tr>
      <w:tr>
        <w:trPr>
          <w:trHeight w:val="241"/>
        </w:trPr>
        <w:tc>
          <w:tcPr>
            <w:tcW w:w="1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2,371,284</w:t>
            </w:r>
          </w:p>
        </w:tc>
        <w:tc>
          <w:tcPr>
            <w:tcW w:w="24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1,676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64,617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w:t>
            </w:r>
          </w:p>
        </w:tc>
        <w:tc>
          <w:tcPr>
            <w:tcW w:w="2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2,437,577</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There were no loans modified as TDR during the years ended December 31, 2022, 2021, and 2020.</w:t>
      </w:r>
    </w:p>
    <w:p>
      <w:pPr>
        <w:spacing w:after="0" w:line="137" w:lineRule="exact"/>
        <w:rPr>
          <w:sz w:val="20"/>
          <w:szCs w:val="20"/>
          <w:color w:val="auto"/>
        </w:rPr>
      </w:pPr>
    </w:p>
    <w:p>
      <w:pPr>
        <w:jc w:val="both"/>
        <w:ind w:right="20" w:firstLine="394"/>
        <w:spacing w:after="0" w:line="244" w:lineRule="auto"/>
        <w:rPr>
          <w:sz w:val="20"/>
          <w:szCs w:val="20"/>
          <w:color w:val="auto"/>
        </w:rPr>
      </w:pPr>
      <w:r>
        <w:rPr>
          <w:rFonts w:ascii="Times New Roman" w:cs="Times New Roman" w:eastAsia="Times New Roman" w:hAnsi="Times New Roman"/>
          <w:sz w:val="20"/>
          <w:szCs w:val="20"/>
          <w:color w:val="auto"/>
        </w:rPr>
        <w:t>Beginning in April 2020, the Company began offering deferral and modification of principal and/or interest payments to selected borrowers on a case-by-case basis in response to the COVID-19 pandemic. These additional modifications complied with the provisions of section 4013 of the Coronavirus Aid, Relief, and Economic Security Act and section 501 of the Consolidated Appropriations Act, 2021. As of December 31, 2022, the Company had no loans under an active modification subject to these deferral and modification agreements. As of December 31, 2021, the Company had 3 loans totaling approximately $15.9 million subject to these deferral and modification agreements, representing 0.65% of outstanding loans held for investment.</w:t>
      </w:r>
    </w:p>
    <w:p>
      <w:pPr>
        <w:spacing w:after="0" w:line="164" w:lineRule="exact"/>
        <w:rPr>
          <w:sz w:val="20"/>
          <w:szCs w:val="20"/>
          <w:color w:val="auto"/>
        </w:rPr>
      </w:pPr>
    </w:p>
    <w:p>
      <w:pPr>
        <w:ind w:left="360" w:hanging="355"/>
        <w:spacing w:after="0"/>
        <w:tabs>
          <w:tab w:leader="none" w:pos="360" w:val="left"/>
        </w:tabs>
        <w:numPr>
          <w:ilvl w:val="0"/>
          <w:numId w:val="3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FORECLOSED ASSETS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Foreclosed assets activity was as follows for the periods presented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192"/>
        </w:trPr>
        <w:tc>
          <w:tcPr>
            <w:tcW w:w="680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 . . . . . .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$ 1,353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$ 1,883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Additions . . . . . .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Sales, net . . . . . . . . . . . . . . . . . . . . . . . . . . . . . . . . . . . . . . . . . . . . . . . . . . . . .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5"/>
              </w:rPr>
              <w:t>(1,627)</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(1,248)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(2,397)</w:t>
            </w:r>
          </w:p>
        </w:tc>
      </w:tr>
      <w:tr>
        <w:trPr>
          <w:trHeight w:val="229"/>
        </w:trPr>
        <w:tc>
          <w:tcPr>
            <w:tcW w:w="68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Current year valuation write-down . . . . . . . . . . . . . . . . . . . . . . . . . . . . . . . . . . .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20"/>
              <w:spacing w:after="0" w:line="229"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820" w:type="dxa"/>
            <w:vAlign w:val="bottom"/>
            <w:gridSpan w:val="3"/>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66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 . . . . . . . . .</w:t>
            </w:r>
          </w:p>
        </w:tc>
        <w:tc>
          <w:tcPr>
            <w:tcW w:w="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$ 1,032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$ 1,353</w:t>
            </w:r>
          </w:p>
        </w:tc>
        <w:tc>
          <w:tcPr>
            <w:tcW w:w="20" w:type="dxa"/>
            <w:vAlign w:val="bottom"/>
          </w:tcPr>
          <w:p>
            <w:pPr>
              <w:spacing w:after="0"/>
              <w:rPr>
                <w:sz w:val="22"/>
                <w:szCs w:val="22"/>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There was no activity in the valuation allowance for the years ended December 31, 2022, 2021 and 2020.</w:t>
      </w:r>
    </w:p>
    <w:p>
      <w:pPr>
        <w:spacing w:after="0" w:line="137" w:lineRule="exact"/>
        <w:rPr>
          <w:sz w:val="20"/>
          <w:szCs w:val="20"/>
          <w:color w:val="auto"/>
        </w:rPr>
      </w:pPr>
    </w:p>
    <w:p>
      <w:pPr>
        <w:ind w:right="20" w:firstLine="394"/>
        <w:spacing w:after="0" w:line="237" w:lineRule="auto"/>
        <w:rPr>
          <w:sz w:val="20"/>
          <w:szCs w:val="20"/>
          <w:color w:val="auto"/>
        </w:rPr>
      </w:pPr>
      <w:r>
        <w:rPr>
          <w:rFonts w:ascii="Times New Roman" w:cs="Times New Roman" w:eastAsia="Times New Roman" w:hAnsi="Times New Roman"/>
          <w:sz w:val="20"/>
          <w:szCs w:val="20"/>
          <w:color w:val="auto"/>
        </w:rPr>
        <w:t>Net expenses related to foreclosed assets include the following for the periods presented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2420" w:type="dxa"/>
            <w:vAlign w:val="bottom"/>
            <w:tcBorders>
              <w:bottom w:val="single" w:sz="8" w:color="auto"/>
            </w:tcBorders>
            <w:gridSpan w:val="11"/>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192"/>
        </w:trPr>
        <w:tc>
          <w:tcPr>
            <w:tcW w:w="680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auto"/>
            </w:tcBorders>
          </w:tcPr>
          <w:p>
            <w:pPr>
              <w:spacing w:after="0"/>
              <w:rPr>
                <w:sz w:val="16"/>
                <w:szCs w:val="16"/>
                <w:color w:val="auto"/>
              </w:rPr>
            </w:pPr>
          </w:p>
        </w:tc>
      </w:tr>
      <w:tr>
        <w:trPr>
          <w:trHeight w:val="266"/>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Net gain on sales . . . . . . . . . . . . . . . . . . . . . . . . . . . . . . . . . . . . . . . . . . . . . . . . . . . . .</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$(424)</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$(44)</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$(40)</w:t>
            </w:r>
          </w:p>
        </w:tc>
      </w:t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Current year valuation write-down . . . . . . . . . . . . . . . . . . . . . . . . . . . . . . . . . . . . . . .</w:t>
            </w:r>
          </w:p>
        </w:tc>
        <w:tc>
          <w:tcPr>
            <w:tcW w:w="14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68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Operating expenses, net of rental income. . . . . . . . . . . . . . . . . . . . . . . . . . . . . . . . . .</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65</w:t>
            </w:r>
          </w:p>
        </w:tc>
        <w:tc>
          <w:tcPr>
            <w:tcW w:w="1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75</w:t>
            </w:r>
          </w:p>
        </w:tc>
        <w:tc>
          <w:tcPr>
            <w:tcW w:w="140" w:type="dxa"/>
            <w:vAlign w:val="bottom"/>
          </w:tcPr>
          <w:p>
            <w:pPr>
              <w:spacing w:after="0"/>
              <w:rPr>
                <w:sz w:val="19"/>
                <w:szCs w:val="19"/>
                <w:color w:val="auto"/>
              </w:rPr>
            </w:pPr>
          </w:p>
        </w:tc>
      </w:tr>
      <w:tr>
        <w:trPr>
          <w:trHeight w:val="261"/>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Foreclosed assets expense, net . . . . . . . . . . . . . . . . . . . . . . . . . . . . . . . . . . . . . . . . . .</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(359)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$ 13</w:t>
            </w:r>
          </w:p>
        </w:tc>
        <w:tc>
          <w:tcPr>
            <w:tcW w:w="1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$ 35</w:t>
            </w:r>
          </w:p>
        </w:tc>
        <w:tc>
          <w:tcPr>
            <w:tcW w:w="140" w:type="dxa"/>
            <w:vAlign w:val="bottom"/>
          </w:tcPr>
          <w:p>
            <w:pPr>
              <w:spacing w:after="0"/>
              <w:rPr>
                <w:sz w:val="22"/>
                <w:szCs w:val="22"/>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240"/>
          </w:cols>
          <w:pgMar w:left="1400" w:top="911" w:right="1427" w:bottom="204"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060" w:h="15667" w:orient="portrait"/>
          <w:cols w:equalWidth="0" w:num="1">
            <w:col w:w="9240"/>
          </w:cols>
          <w:pgMar w:left="1400" w:top="911" w:right="1427" w:bottom="204" w:gutter="0" w:footer="0" w:header="0"/>
          <w:type w:val="continuous"/>
        </w:sectPr>
      </w:pPr>
    </w:p>
    <w:bookmarkStart w:id="110" w:name="page111"/>
    <w:bookmarkEnd w:id="110"/>
    <w:p>
      <w:pPr>
        <w:ind w:left="360" w:hanging="355"/>
        <w:spacing w:after="0"/>
        <w:tabs>
          <w:tab w:leader="none" w:pos="360" w:val="left"/>
        </w:tabs>
        <w:numPr>
          <w:ilvl w:val="0"/>
          <w:numId w:val="3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PREMISES AND EQUIPMENT</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Detail of premises and equipment at year-end follows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2"/>
        </w:trPr>
        <w:tc>
          <w:tcPr>
            <w:tcW w:w="77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r>
      <w:tr>
        <w:trPr>
          <w:trHeight w:val="266"/>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w w:val="99"/>
              </w:rPr>
              <w:t>Land . . . . . . . . . .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10,065</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10,065</w:t>
            </w:r>
          </w:p>
        </w:tc>
        <w:tc>
          <w:tcPr>
            <w:tcW w:w="80" w:type="dxa"/>
            <w:vAlign w:val="bottom"/>
          </w:tcPr>
          <w:p>
            <w:pPr>
              <w:spacing w:after="0"/>
              <w:rPr>
                <w:sz w:val="23"/>
                <w:szCs w:val="23"/>
                <w:color w:val="auto"/>
              </w:rPr>
            </w:pP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 . . . . . . . . . . . . . . . . . . . . . . . . . . . . . . . . . . . . . . . . . . . . . . . . . . . . .</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65,986</w:t>
            </w:r>
          </w:p>
        </w:tc>
        <w:tc>
          <w:tcPr>
            <w:tcW w:w="80" w:type="dxa"/>
            <w:vAlign w:val="bottom"/>
          </w:tcPr>
          <w:p>
            <w:pPr>
              <w:spacing w:after="0"/>
              <w:rPr>
                <w:sz w:val="20"/>
                <w:szCs w:val="20"/>
                <w:color w:val="auto"/>
              </w:rPr>
            </w:pP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equipment . . . . . . . . . . . . . . . . . . . . . . . . . . . . . . . . . . . . . . . . . . . . . . . . . . . . . . . . .</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48,281</w:t>
            </w:r>
          </w:p>
        </w:tc>
        <w:tc>
          <w:tcPr>
            <w:tcW w:w="80" w:type="dxa"/>
            <w:vAlign w:val="bottom"/>
          </w:tcPr>
          <w:p>
            <w:pPr>
              <w:spacing w:after="0"/>
              <w:rPr>
                <w:sz w:val="20"/>
                <w:szCs w:val="20"/>
                <w:color w:val="auto"/>
              </w:rPr>
            </w:pPr>
          </w:p>
        </w:tc>
      </w:tr>
      <w:tr>
        <w:trPr>
          <w:trHeight w:val="229"/>
        </w:trPr>
        <w:tc>
          <w:tcPr>
            <w:tcW w:w="77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Construction in process. . . . . . . . . . . . . . . . . . . . . . . . . . . . . . . . . . . . . . . . . . . . . . . . . . . . . . . . . .</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659</w:t>
            </w:r>
          </w:p>
        </w:tc>
        <w:tc>
          <w:tcPr>
            <w:tcW w:w="80" w:type="dxa"/>
            <w:vAlign w:val="bottom"/>
          </w:tcPr>
          <w:p>
            <w:pPr>
              <w:spacing w:after="0"/>
              <w:rPr>
                <w:sz w:val="19"/>
                <w:szCs w:val="19"/>
                <w:color w:val="auto"/>
              </w:rPr>
            </w:pPr>
          </w:p>
        </w:tc>
      </w:tr>
      <w:tr>
        <w:trPr>
          <w:trHeight w:val="263"/>
        </w:trPr>
        <w:tc>
          <w:tcPr>
            <w:tcW w:w="7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124,405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124,991</w:t>
            </w:r>
          </w:p>
        </w:tc>
        <w:tc>
          <w:tcPr>
            <w:tcW w:w="80" w:type="dxa"/>
            <w:vAlign w:val="bottom"/>
          </w:tcPr>
          <w:p>
            <w:pPr>
              <w:spacing w:after="0"/>
              <w:rPr>
                <w:sz w:val="22"/>
                <w:szCs w:val="22"/>
                <w:color w:val="auto"/>
              </w:rPr>
            </w:pPr>
          </w:p>
        </w:tc>
      </w:tr>
      <w:tr>
        <w:trPr>
          <w:trHeight w:val="229"/>
        </w:trPr>
        <w:tc>
          <w:tcPr>
            <w:tcW w:w="77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Less accumulated depreciation . . . . . . . . . . . . . . . . . . . . . . . . . . . . . . . . . . . . . . . . . . . . . . . . . . . .</w:t>
            </w:r>
          </w:p>
        </w:tc>
        <w:tc>
          <w:tcPr>
            <w:tcW w:w="80" w:type="dxa"/>
            <w:vAlign w:val="bottom"/>
          </w:tcPr>
          <w:p>
            <w:pPr>
              <w:spacing w:after="0"/>
              <w:rPr>
                <w:sz w:val="19"/>
                <w:szCs w:val="19"/>
                <w:color w:val="auto"/>
              </w:rPr>
            </w:pPr>
          </w:p>
        </w:tc>
        <w:tc>
          <w:tcPr>
            <w:tcW w:w="74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(68,068)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(67,292)</w:t>
            </w:r>
          </w:p>
        </w:tc>
      </w:tr>
      <w:tr>
        <w:trPr>
          <w:trHeight w:val="261"/>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Premises and equipment, net . . . . . . . . . . . . . . . . . . . . . . . . . . . . . . . . . . . . . . . . . . . . . . . . . . . . .</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56,337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57,699</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40" w:firstLine="394"/>
        <w:spacing w:after="0" w:line="244" w:lineRule="auto"/>
        <w:rPr>
          <w:sz w:val="20"/>
          <w:szCs w:val="20"/>
          <w:color w:val="auto"/>
        </w:rPr>
      </w:pPr>
      <w:r>
        <w:rPr>
          <w:rFonts w:ascii="Times New Roman" w:cs="Times New Roman" w:eastAsia="Times New Roman" w:hAnsi="Times New Roman"/>
          <w:sz w:val="20"/>
          <w:szCs w:val="20"/>
          <w:color w:val="auto"/>
        </w:rPr>
        <w:t>Depreciation expense for the years ended December 31, 2022, 2021 and 2020 was approximately $5.1, $4.8, and $4.8 million, respectively.</w:t>
      </w:r>
    </w:p>
    <w:p>
      <w:pPr>
        <w:spacing w:after="0" w:line="368" w:lineRule="exact"/>
        <w:rPr>
          <w:sz w:val="20"/>
          <w:szCs w:val="20"/>
          <w:color w:val="auto"/>
        </w:rPr>
      </w:pPr>
    </w:p>
    <w:p>
      <w:pPr>
        <w:ind w:left="360" w:hanging="355"/>
        <w:spacing w:after="0"/>
        <w:tabs>
          <w:tab w:leader="none" w:pos="360" w:val="left"/>
        </w:tabs>
        <w:numPr>
          <w:ilvl w:val="0"/>
          <w:numId w:val="3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LEASES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Lessee Arrangements</w:t>
      </w:r>
    </w:p>
    <w:p>
      <w:pPr>
        <w:spacing w:after="0" w:line="127" w:lineRule="exact"/>
        <w:rPr>
          <w:sz w:val="20"/>
          <w:szCs w:val="20"/>
          <w:color w:val="auto"/>
        </w:rPr>
      </w:pPr>
    </w:p>
    <w:p>
      <w:pPr>
        <w:jc w:val="both"/>
        <w:ind w:right="140" w:firstLine="394"/>
        <w:spacing w:after="0" w:line="255" w:lineRule="auto"/>
        <w:rPr>
          <w:sz w:val="20"/>
          <w:szCs w:val="20"/>
          <w:color w:val="auto"/>
        </w:rPr>
      </w:pPr>
      <w:r>
        <w:rPr>
          <w:rFonts w:ascii="Times New Roman" w:cs="Times New Roman" w:eastAsia="Times New Roman" w:hAnsi="Times New Roman"/>
          <w:sz w:val="20"/>
          <w:szCs w:val="20"/>
          <w:color w:val="auto"/>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December 31, 2022 and 2021, the Company had no finance leases.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balance sheet components of the Company’s leases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86"/>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 of use assets (included in Other assets) . . . . . . . . . . . . . . . . . . . . . . . . . . . . .</w:t>
            </w:r>
          </w:p>
        </w:tc>
        <w:tc>
          <w:tcPr>
            <w:tcW w:w="60" w:type="dxa"/>
            <w:vAlign w:val="bottom"/>
          </w:tcPr>
          <w:p>
            <w:pPr>
              <w:spacing w:after="0"/>
              <w:rPr>
                <w:sz w:val="24"/>
                <w:szCs w:val="24"/>
                <w:color w:val="auto"/>
              </w:rPr>
            </w:pPr>
          </w:p>
        </w:tc>
        <w:tc>
          <w:tcPr>
            <w:tcW w:w="128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$7,938</w:t>
            </w:r>
          </w:p>
        </w:tc>
      </w:tr>
      <w:tr>
        <w:trPr>
          <w:trHeight w:val="25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(included in Accrued expenses and other liabilities) . . . . . . . . . . . . . . . .</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8,897</w:t>
            </w:r>
          </w:p>
        </w:tc>
      </w:tr>
    </w:tbl>
    <w:p>
      <w:pPr>
        <w:spacing w:after="0" w:line="162" w:lineRule="exact"/>
        <w:rPr>
          <w:sz w:val="20"/>
          <w:szCs w:val="20"/>
          <w:color w:val="auto"/>
        </w:rPr>
      </w:pPr>
    </w:p>
    <w:p>
      <w:pPr>
        <w:jc w:val="both"/>
        <w:ind w:right="140" w:firstLine="394"/>
        <w:spacing w:after="0" w:line="250" w:lineRule="auto"/>
        <w:rPr>
          <w:sz w:val="20"/>
          <w:szCs w:val="20"/>
          <w:color w:val="auto"/>
        </w:rPr>
      </w:pPr>
      <w:r>
        <w:rPr>
          <w:rFonts w:ascii="Times New Roman" w:cs="Times New Roman" w:eastAsia="Times New Roman" w:hAnsi="Times New Roman"/>
          <w:sz w:val="20"/>
          <w:szCs w:val="20"/>
          <w:color w:val="auto"/>
        </w:rPr>
        <w:t>The Company does not generally enter into leases which contain variable payments, other than due to the passage of time. Operating lease costs, including short-term lease costs were $2.9 million, $2.5 million and $2.4 million, respectively for the years ended December 31, 2022,2021 and 2020, respectively.</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Supplemental cash flow information related to leases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0"/>
        </w:trPr>
        <w:tc>
          <w:tcPr>
            <w:tcW w:w="7880" w:type="dxa"/>
            <w:vAlign w:val="bottom"/>
          </w:tcPr>
          <w:p>
            <w:pPr>
              <w:spacing w:after="0"/>
              <w:rPr>
                <w:sz w:val="15"/>
                <w:szCs w:val="15"/>
                <w:color w:val="auto"/>
              </w:rPr>
            </w:pPr>
          </w:p>
        </w:tc>
        <w:tc>
          <w:tcPr>
            <w:tcW w:w="13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89"/>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1"/>
        </w:trPr>
        <w:tc>
          <w:tcPr>
            <w:tcW w:w="7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 . . . . . . . . . . . . . . . . . . . . . . . . . . . . . . . . .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7"/>
              </w:rPr>
              <w:t>1,976</w:t>
            </w:r>
          </w:p>
        </w:tc>
      </w:tr>
      <w:tr>
        <w:trPr>
          <w:trHeight w:val="25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lease obligations:</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1"/>
        </w:trPr>
        <w:tc>
          <w:tcPr>
            <w:tcW w:w="78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Operating leases . . . . . . . . . . . . . . . . . . . . . . . . . . . . . . . . . . . . . . . . . . . . . . . . . . . . . . . .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r>
    </w:tbl>
    <w:p>
      <w:pPr>
        <w:spacing w:after="0" w:line="162" w:lineRule="exact"/>
        <w:rPr>
          <w:sz w:val="20"/>
          <w:szCs w:val="20"/>
          <w:color w:val="auto"/>
        </w:rPr>
      </w:pPr>
    </w:p>
    <w:p>
      <w:pPr>
        <w:jc w:val="both"/>
        <w:ind w:right="140" w:firstLine="394"/>
        <w:spacing w:after="0" w:line="244" w:lineRule="auto"/>
        <w:rPr>
          <w:sz w:val="20"/>
          <w:szCs w:val="20"/>
          <w:color w:val="auto"/>
        </w:rPr>
      </w:pPr>
      <w:r>
        <w:rPr>
          <w:rFonts w:ascii="Times New Roman" w:cs="Times New Roman" w:eastAsia="Times New Roman" w:hAnsi="Times New Roman"/>
          <w:sz w:val="20"/>
          <w:szCs w:val="20"/>
          <w:color w:val="auto"/>
        </w:rPr>
        <w:t>For operating leases, the Company’s weighted average remaining lease terms in years and weighted average discount rate was 9.83 and 4.65%, respectively, as of December 31, 2022.</w:t>
      </w:r>
    </w:p>
    <w:p>
      <w:pPr>
        <w:sectPr>
          <w:pgSz w:w="12060" w:h="15667" w:orient="portrait"/>
          <w:cols w:equalWidth="0" w:num="1">
            <w:col w:w="9360"/>
          </w:cols>
          <w:pgMar w:left="1400" w:top="900" w:right="130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98</w:t>
      </w:r>
    </w:p>
    <w:p>
      <w:pPr>
        <w:sectPr>
          <w:pgSz w:w="12060" w:h="15667" w:orient="portrait"/>
          <w:cols w:equalWidth="0" w:num="1">
            <w:col w:w="9360"/>
          </w:cols>
          <w:pgMar w:left="1400" w:top="900" w:right="1307" w:bottom="204" w:gutter="0" w:footer="0" w:header="0"/>
          <w:type w:val="continuous"/>
        </w:sectPr>
      </w:pPr>
    </w:p>
    <w:bookmarkStart w:id="111" w:name="page112"/>
    <w:bookmarkEnd w:id="111"/>
    <w:p>
      <w:pPr>
        <w:jc w:val="both"/>
        <w:ind w:right="80" w:firstLine="394"/>
        <w:spacing w:after="0" w:line="237" w:lineRule="auto"/>
        <w:rPr>
          <w:sz w:val="20"/>
          <w:szCs w:val="20"/>
          <w:color w:val="auto"/>
        </w:rPr>
      </w:pPr>
      <w:r>
        <w:rPr>
          <w:rFonts w:ascii="Times New Roman" w:cs="Times New Roman" w:eastAsia="Times New Roman" w:hAnsi="Times New Roman"/>
          <w:sz w:val="20"/>
          <w:szCs w:val="20"/>
          <w:color w:val="auto"/>
        </w:rPr>
        <w:t>Future undiscounted lease payments at December 31, 2022, under operating lease agreements, are presented below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w:t>
            </w:r>
          </w:p>
        </w:tc>
      </w:tr>
      <w:tr>
        <w:trPr>
          <w:trHeight w:val="212"/>
        </w:trPr>
        <w:tc>
          <w:tcPr>
            <w:tcW w:w="86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2024. . . . . . . . . . . . . . . . . . . . . . . . . . . . . . . . . . . . . . . . . . . . . . . . . . . . . . . . . . . . . . . . . . . . . . . . . . . . . .</w:t>
            </w:r>
          </w:p>
        </w:tc>
        <w:tc>
          <w:tcPr>
            <w:tcW w:w="100" w:type="dxa"/>
            <w:vAlign w:val="bottom"/>
          </w:tcPr>
          <w:p>
            <w:pPr>
              <w:spacing w:after="0"/>
              <w:rPr>
                <w:sz w:val="18"/>
                <w:szCs w:val="18"/>
                <w:color w:val="auto"/>
              </w:rPr>
            </w:pPr>
          </w:p>
        </w:tc>
        <w:tc>
          <w:tcPr>
            <w:tcW w:w="5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1,426</w:t>
            </w:r>
          </w:p>
        </w:tc>
      </w:tr>
      <w:tr>
        <w:trPr>
          <w:trHeight w:val="212"/>
        </w:trPr>
        <w:tc>
          <w:tcPr>
            <w:tcW w:w="86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2025. . . . . . . . . . . . . . . . . . . . . . . . . . . . . . . . . . . . . . . . . . . . . . . . . . . . . . . . . . . . . . . . . . . . . . . . . . . . . .</w:t>
            </w:r>
          </w:p>
        </w:tc>
        <w:tc>
          <w:tcPr>
            <w:tcW w:w="100" w:type="dxa"/>
            <w:vAlign w:val="bottom"/>
          </w:tcPr>
          <w:p>
            <w:pPr>
              <w:spacing w:after="0"/>
              <w:rPr>
                <w:sz w:val="18"/>
                <w:szCs w:val="18"/>
                <w:color w:val="auto"/>
              </w:rPr>
            </w:pPr>
          </w:p>
        </w:tc>
        <w:tc>
          <w:tcPr>
            <w:tcW w:w="5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1,027</w:t>
            </w:r>
          </w:p>
        </w:tc>
      </w:tr>
      <w:tr>
        <w:trPr>
          <w:trHeight w:val="212"/>
        </w:trPr>
        <w:tc>
          <w:tcPr>
            <w:tcW w:w="86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2026. . . . . . . . . . . . . . . . . . . . . . . . . . . . . . . . . . . . . . . . . . . . . . . . . . . . . . . . . . . . . . . . . . . . . . . . . . . . . .</w:t>
            </w:r>
          </w:p>
        </w:tc>
        <w:tc>
          <w:tcPr>
            <w:tcW w:w="100" w:type="dxa"/>
            <w:vAlign w:val="bottom"/>
          </w:tcPr>
          <w:p>
            <w:pPr>
              <w:spacing w:after="0"/>
              <w:rPr>
                <w:sz w:val="18"/>
                <w:szCs w:val="18"/>
                <w:color w:val="auto"/>
              </w:rPr>
            </w:pPr>
          </w:p>
        </w:tc>
        <w:tc>
          <w:tcPr>
            <w:tcW w:w="5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1,026</w:t>
            </w:r>
          </w:p>
        </w:tc>
      </w:tr>
      <w:tr>
        <w:trPr>
          <w:trHeight w:val="212"/>
        </w:trPr>
        <w:tc>
          <w:tcPr>
            <w:tcW w:w="86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2027. . . . . . . . . . . . . . . . . . . . . . . . . . . . . . . . . . . . . . . . . . . . . . . . . . . . . . . . . . . . . . . . . . . . . . . . . . . . . .</w:t>
            </w:r>
          </w:p>
        </w:tc>
        <w:tc>
          <w:tcPr>
            <w:tcW w:w="100" w:type="dxa"/>
            <w:vAlign w:val="bottom"/>
          </w:tcPr>
          <w:p>
            <w:pPr>
              <w:spacing w:after="0"/>
              <w:rPr>
                <w:sz w:val="18"/>
                <w:szCs w:val="18"/>
                <w:color w:val="auto"/>
              </w:rPr>
            </w:pPr>
          </w:p>
        </w:tc>
        <w:tc>
          <w:tcPr>
            <w:tcW w:w="5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987</w:t>
            </w:r>
          </w:p>
        </w:tc>
      </w:tr>
      <w:tr>
        <w:trPr>
          <w:trHeight w:val="215"/>
        </w:trPr>
        <w:tc>
          <w:tcPr>
            <w:tcW w:w="86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 . . .</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5,038</w:t>
            </w:r>
          </w:p>
        </w:tc>
      </w:t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Total minimum lease payments . . . . . . . . . . . . . . . . . . . . . . . . . . . . . . . . . . . . . . . . . . . . . . . . . . . . . . . .</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0"/>
              </w:rPr>
              <w:t>11,370</w:t>
            </w:r>
          </w:p>
        </w:tc>
      </w:tr>
      <w:tr>
        <w:trPr>
          <w:trHeight w:val="215"/>
        </w:trPr>
        <w:tc>
          <w:tcPr>
            <w:tcW w:w="86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Less: Amount representing interest . . . . . . . . . . . . . . . . . . . . . . . . . . . . . . . . . . . . . . . . . . . . . . . . . . . . .</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2,473</w:t>
            </w:r>
          </w:p>
        </w:tc>
      </w:tr>
      <w:tr>
        <w:trPr>
          <w:trHeight w:val="241"/>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 . . . . . . . . . . . . . . . . . . . . . .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8,897</w:t>
            </w: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80" w:firstLine="394"/>
        <w:spacing w:after="0" w:line="237" w:lineRule="auto"/>
        <w:rPr>
          <w:sz w:val="20"/>
          <w:szCs w:val="20"/>
          <w:color w:val="auto"/>
        </w:rPr>
      </w:pPr>
      <w:r>
        <w:rPr>
          <w:rFonts w:ascii="Times New Roman" w:cs="Times New Roman" w:eastAsia="Times New Roman" w:hAnsi="Times New Roman"/>
          <w:sz w:val="20"/>
          <w:szCs w:val="20"/>
          <w:color w:val="auto"/>
        </w:rPr>
        <w:t>As of December 31, 2022, the Company had no significant additional operating leases that have not yet commenced.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Lessor Arrangements</w:t>
      </w:r>
    </w:p>
    <w:p>
      <w:pPr>
        <w:spacing w:after="0" w:line="117" w:lineRule="exact"/>
        <w:rPr>
          <w:sz w:val="20"/>
          <w:szCs w:val="20"/>
          <w:color w:val="auto"/>
        </w:rPr>
      </w:pPr>
    </w:p>
    <w:p>
      <w:pPr>
        <w:jc w:val="both"/>
        <w:ind w:right="80" w:firstLine="394"/>
        <w:spacing w:after="0" w:line="242" w:lineRule="auto"/>
        <w:rPr>
          <w:sz w:val="20"/>
          <w:szCs w:val="20"/>
          <w:color w:val="auto"/>
        </w:rPr>
      </w:pPr>
      <w:r>
        <w:rPr>
          <w:rFonts w:ascii="Times New Roman" w:cs="Times New Roman" w:eastAsia="Times New Roman" w:hAnsi="Times New Roman"/>
          <w:sz w:val="20"/>
          <w:szCs w:val="20"/>
          <w:color w:val="auto"/>
        </w:rPr>
        <w:t>The Company leases certain facilities and office space under operating lease agreements to outside parties. Operating lease income for the years ended December 31, 2022, 2021, and 2020 was $800 thousand, $890 thousand, and $856 thousand, respectively and is included in occupancy and equipment, net in the consolidated statements of comprehensive income (loss).</w:t>
      </w:r>
    </w:p>
    <w:p>
      <w:pPr>
        <w:spacing w:after="0" w:line="302" w:lineRule="exact"/>
        <w:rPr>
          <w:sz w:val="20"/>
          <w:szCs w:val="20"/>
          <w:color w:val="auto"/>
        </w:rPr>
      </w:pPr>
    </w:p>
    <w:p>
      <w:pPr>
        <w:ind w:left="360" w:hanging="354"/>
        <w:spacing w:after="0"/>
        <w:tabs>
          <w:tab w:leader="none" w:pos="360" w:val="left"/>
        </w:tabs>
        <w:numPr>
          <w:ilvl w:val="0"/>
          <w:numId w:val="3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GOODWILL AND INTANGIBLES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had goodwill of $19.5 million at December 31, 2022 and December 31, 2021.</w:t>
      </w:r>
    </w:p>
    <w:p>
      <w:pPr>
        <w:spacing w:after="0" w:line="137" w:lineRule="exact"/>
        <w:rPr>
          <w:sz w:val="20"/>
          <w:szCs w:val="20"/>
          <w:color w:val="auto"/>
        </w:rPr>
      </w:pPr>
    </w:p>
    <w:p>
      <w:pPr>
        <w:jc w:val="both"/>
        <w:ind w:right="80" w:firstLine="394"/>
        <w:spacing w:after="0" w:line="237" w:lineRule="auto"/>
        <w:rPr>
          <w:sz w:val="20"/>
          <w:szCs w:val="20"/>
          <w:color w:val="auto"/>
        </w:rPr>
      </w:pPr>
      <w:r>
        <w:rPr>
          <w:rFonts w:ascii="Times New Roman" w:cs="Times New Roman" w:eastAsia="Times New Roman" w:hAnsi="Times New Roman"/>
          <w:sz w:val="20"/>
          <w:szCs w:val="20"/>
          <w:color w:val="auto"/>
        </w:rPr>
        <w:t>Other intangible assets, which consist of CDI, customer lists, and employment agreements at the dates indicated are summarized below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9"/>
        </w:trPr>
        <w:tc>
          <w:tcPr>
            <w:tcW w:w="7440" w:type="dxa"/>
            <w:vAlign w:val="bottom"/>
          </w:tcPr>
          <w:p>
            <w:pPr>
              <w:spacing w:after="0"/>
              <w:rPr>
                <w:sz w:val="18"/>
                <w:szCs w:val="18"/>
                <w:color w:val="auto"/>
              </w:rPr>
            </w:pP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r>
      <w:tr>
        <w:trPr>
          <w:trHeight w:val="289"/>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Amortized intangible assets:</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1"/>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 intangibles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$ 6,679</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$ 6,679</w:t>
            </w:r>
          </w:p>
        </w:tc>
        <w:tc>
          <w:tcPr>
            <w:tcW w:w="80" w:type="dxa"/>
            <w:vAlign w:val="bottom"/>
          </w:tcPr>
          <w:p>
            <w:pPr>
              <w:spacing w:after="0"/>
              <w:rPr>
                <w:sz w:val="21"/>
                <w:szCs w:val="21"/>
                <w:color w:val="auto"/>
              </w:rPr>
            </w:pPr>
          </w:p>
        </w:tc>
      </w:tr>
      <w:tr>
        <w:trPr>
          <w:trHeight w:val="249"/>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amortization . . . . . . .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(3,420)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(2,469)</w:t>
            </w:r>
          </w:p>
        </w:tc>
      </w:tr>
      <w:tr>
        <w:trPr>
          <w:trHeight w:val="283"/>
        </w:trPr>
        <w:tc>
          <w:tcPr>
            <w:tcW w:w="744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4,210</w:t>
            </w:r>
          </w:p>
        </w:tc>
        <w:tc>
          <w:tcPr>
            <w:tcW w:w="80" w:type="dxa"/>
            <w:vAlign w:val="bottom"/>
          </w:tcPr>
          <w:p>
            <w:pPr>
              <w:spacing w:after="0"/>
              <w:rPr>
                <w:sz w:val="24"/>
                <w:szCs w:val="24"/>
                <w:color w:val="auto"/>
              </w:rPr>
            </w:pPr>
          </w:p>
        </w:tc>
      </w:tr>
      <w:tr>
        <w:trPr>
          <w:trHeight w:val="502"/>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Other intangibles.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80" w:type="dxa"/>
            <w:vAlign w:val="bottom"/>
          </w:tcPr>
          <w:p>
            <w:pPr>
              <w:spacing w:after="0"/>
              <w:rPr>
                <w:sz w:val="24"/>
                <w:szCs w:val="24"/>
                <w:color w:val="auto"/>
              </w:rPr>
            </w:pPr>
          </w:p>
        </w:tc>
      </w:tr>
      <w:tr>
        <w:trPr>
          <w:trHeight w:val="249"/>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amortization . . . . . . . . . . . . . . . . . . . . . . . . . . . . . . . . . . . . . . . . . .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(1,882)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(1,287)</w:t>
            </w:r>
          </w:p>
        </w:tc>
      </w:tr>
      <w:tr>
        <w:trPr>
          <w:trHeight w:val="283"/>
        </w:trPr>
        <w:tc>
          <w:tcPr>
            <w:tcW w:w="744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80" w:type="dxa"/>
            <w:vAlign w:val="bottom"/>
          </w:tcPr>
          <w:p>
            <w:pPr>
              <w:spacing w:after="0"/>
              <w:rPr>
                <w:sz w:val="24"/>
                <w:szCs w:val="24"/>
                <w:color w:val="auto"/>
              </w:rPr>
            </w:pPr>
          </w:p>
        </w:tc>
      </w:tr>
      <w:tr>
        <w:trPr>
          <w:trHeight w:val="249"/>
        </w:trPr>
        <w:tc>
          <w:tcPr>
            <w:tcW w:w="74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80"/>
        </w:trPr>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Other intangible assets, net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$ 4,349</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$ 5,895</w:t>
            </w:r>
          </w:p>
        </w:tc>
        <w:tc>
          <w:tcPr>
            <w:tcW w:w="80" w:type="dxa"/>
            <w:vAlign w:val="bottom"/>
          </w:tcPr>
          <w:p>
            <w:pPr>
              <w:spacing w:after="0"/>
              <w:rPr>
                <w:sz w:val="24"/>
                <w:szCs w:val="24"/>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80" w:firstLine="394"/>
        <w:spacing w:after="0" w:line="242" w:lineRule="auto"/>
        <w:rPr>
          <w:sz w:val="20"/>
          <w:szCs w:val="20"/>
          <w:color w:val="auto"/>
        </w:rPr>
      </w:pPr>
      <w:r>
        <w:rPr>
          <w:rFonts w:ascii="Times New Roman" w:cs="Times New Roman" w:eastAsia="Times New Roman" w:hAnsi="Times New Roman"/>
          <w:sz w:val="20"/>
          <w:szCs w:val="20"/>
          <w:color w:val="auto"/>
        </w:rPr>
        <w:t>Amortization expense for other intangibles for the years ended December 31, 2022, 2021, and 2020 totaled $1.5 million, $1.7 million, and $1.7 million, respectively. The estimated amount of amortization expense for core deposit intangible and other intangible assets to be recognized over the next five years is as follows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540" w:type="dxa"/>
            <w:vAlign w:val="bottom"/>
          </w:tcPr>
          <w:p>
            <w:pPr>
              <w:spacing w:after="0"/>
              <w:rPr>
                <w:sz w:val="16"/>
                <w:szCs w:val="16"/>
                <w:color w:val="auto"/>
              </w:rPr>
            </w:pPr>
          </w:p>
        </w:tc>
      </w:tr>
      <w:tr>
        <w:trPr>
          <w:trHeight w:val="183"/>
        </w:trPr>
        <w:tc>
          <w:tcPr>
            <w:tcW w:w="7100" w:type="dxa"/>
            <w:vAlign w:val="bottom"/>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CDI</w:t>
            </w:r>
          </w:p>
        </w:tc>
        <w:tc>
          <w:tcPr>
            <w:tcW w:w="240" w:type="dxa"/>
            <w:vAlign w:val="bottom"/>
          </w:tcPr>
          <w:p>
            <w:pPr>
              <w:spacing w:after="0"/>
              <w:rPr>
                <w:sz w:val="15"/>
                <w:szCs w:val="15"/>
                <w:color w:val="auto"/>
              </w:rPr>
            </w:pPr>
          </w:p>
        </w:tc>
        <w:tc>
          <w:tcPr>
            <w:tcW w:w="9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Intangible</w:t>
            </w:r>
          </w:p>
        </w:tc>
        <w:tc>
          <w:tcPr>
            <w:tcW w:w="540" w:type="dxa"/>
            <w:vAlign w:val="bottom"/>
          </w:tcPr>
          <w:p>
            <w:pPr>
              <w:jc w:val="right"/>
              <w:ind w:right="5"/>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537"/>
        </w:trPr>
        <w:tc>
          <w:tcPr>
            <w:tcW w:w="7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2023. . . . . . . . . . . . . . . . . . . . . . . . . . . . . . . . . . . . . . . . . . . . . . . . . . . . . . . . . . . . . . . . . .</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$830</w:t>
            </w:r>
          </w:p>
        </w:tc>
        <w:tc>
          <w:tcPr>
            <w:tcW w:w="240" w:type="dxa"/>
            <w:vAlign w:val="bottom"/>
          </w:tcPr>
          <w:p>
            <w:pPr>
              <w:spacing w:after="0"/>
              <w:rPr>
                <w:sz w:val="24"/>
                <w:szCs w:val="24"/>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20"/>
                <w:szCs w:val="20"/>
                <w:color w:val="auto"/>
              </w:rPr>
              <w:t>$594</w:t>
            </w:r>
          </w:p>
        </w:tc>
        <w:tc>
          <w:tcPr>
            <w:tcW w:w="24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$1,424</w:t>
            </w:r>
          </w:p>
        </w:tc>
      </w:tr>
      <w:tr>
        <w:trPr>
          <w:trHeight w:val="251"/>
        </w:trPr>
        <w:tc>
          <w:tcPr>
            <w:tcW w:w="7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2024. . . . . . . . . . . . . . . . . . . . . . . . . . . . . . . . . . . . . . . . . . . . . . . . . . . . . . . . . . . . . . . . . .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940" w:type="dxa"/>
            <w:vAlign w:val="bottom"/>
            <w:gridSpan w:val="2"/>
          </w:tcPr>
          <w:p>
            <w:pPr>
              <w:jc w:val="right"/>
              <w:ind w:right="49"/>
              <w:spacing w:after="0"/>
              <w:rPr>
                <w:sz w:val="20"/>
                <w:szCs w:val="20"/>
                <w:color w:val="auto"/>
              </w:rPr>
            </w:pPr>
            <w:r>
              <w:rPr>
                <w:rFonts w:ascii="Times New Roman" w:cs="Times New Roman" w:eastAsia="Times New Roman" w:hAnsi="Times New Roman"/>
                <w:sz w:val="20"/>
                <w:szCs w:val="20"/>
                <w:color w:val="auto"/>
              </w:rPr>
              <w:t>441</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r>
      <w:tr>
        <w:trPr>
          <w:trHeight w:val="251"/>
        </w:trPr>
        <w:tc>
          <w:tcPr>
            <w:tcW w:w="7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2025. . . . . . . . . . . . . . . . . . . . . . . . . . . . . . . . . . . . . . . . . . . . . . . . . . . . . . . . . . . . . . . . . .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w:t>
            </w:r>
          </w:p>
        </w:tc>
        <w:tc>
          <w:tcPr>
            <w:tcW w:w="940" w:type="dxa"/>
            <w:vAlign w:val="bottom"/>
            <w:gridSpan w:val="2"/>
          </w:tcPr>
          <w:p>
            <w:pPr>
              <w:jc w:val="right"/>
              <w:ind w:right="49"/>
              <w:spacing w:after="0"/>
              <w:rPr>
                <w:sz w:val="20"/>
                <w:szCs w:val="20"/>
                <w:color w:val="auto"/>
              </w:rPr>
            </w:pPr>
            <w:r>
              <w:rPr>
                <w:rFonts w:ascii="Times New Roman" w:cs="Times New Roman" w:eastAsia="Times New Roman" w:hAnsi="Times New Roman"/>
                <w:sz w:val="20"/>
                <w:szCs w:val="20"/>
                <w:color w:val="auto"/>
              </w:rPr>
              <w:t>55</w:t>
            </w: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w:t>
            </w:r>
          </w:p>
        </w:tc>
      </w:tr>
      <w:tr>
        <w:trPr>
          <w:trHeight w:val="251"/>
        </w:trPr>
        <w:tc>
          <w:tcPr>
            <w:tcW w:w="7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2026. . . . . . . . . . . . . . . . . . . . . . . . . . . . . . . . . . . . . . . . . . . . . . . . . . . . . . . . . . . . . . . . . .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24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r>
      <w:tr>
        <w:trPr>
          <w:trHeight w:val="251"/>
        </w:trPr>
        <w:tc>
          <w:tcPr>
            <w:tcW w:w="71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2027. . . . . . . . . . . . . . . . . . . . . . . . . . . . . . . . . . . . . . . . . . . . . . . . . . . . . . . . . . . . . . . . . .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4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r>
    </w:tbl>
    <w:p>
      <w:pPr>
        <w:spacing w:after="0" w:line="200" w:lineRule="exact"/>
        <w:rPr>
          <w:sz w:val="20"/>
          <w:szCs w:val="20"/>
          <w:color w:val="auto"/>
        </w:rPr>
      </w:pPr>
    </w:p>
    <w:p>
      <w:pPr>
        <w:sectPr>
          <w:pgSz w:w="12060" w:h="15667" w:orient="portrait"/>
          <w:cols w:equalWidth="0" w:num="1">
            <w:col w:w="9300"/>
          </w:cols>
          <w:pgMar w:left="1400" w:top="912" w:right="1367" w:bottom="204"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99</w:t>
      </w:r>
    </w:p>
    <w:p>
      <w:pPr>
        <w:sectPr>
          <w:pgSz w:w="12060" w:h="15667" w:orient="portrait"/>
          <w:cols w:equalWidth="0" w:num="1">
            <w:col w:w="9300"/>
          </w:cols>
          <w:pgMar w:left="1400" w:top="912" w:right="1367" w:bottom="204" w:gutter="0" w:footer="0" w:header="0"/>
          <w:type w:val="continuous"/>
        </w:sectPr>
      </w:pPr>
    </w:p>
    <w:bookmarkStart w:id="112" w:name="page113"/>
    <w:bookmarkEnd w:id="112"/>
    <w:p>
      <w:pPr>
        <w:ind w:left="360" w:hanging="355"/>
        <w:spacing w:after="0"/>
        <w:tabs>
          <w:tab w:leader="none" w:pos="360" w:val="left"/>
        </w:tabs>
        <w:numPr>
          <w:ilvl w:val="0"/>
          <w:numId w:val="3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MORTGAGE SERVICING RIGHTS</w:t>
      </w:r>
    </w:p>
    <w:p>
      <w:pPr>
        <w:spacing w:after="0" w:line="117" w:lineRule="exact"/>
        <w:rPr>
          <w:sz w:val="20"/>
          <w:szCs w:val="20"/>
          <w:color w:val="auto"/>
        </w:rPr>
      </w:pPr>
    </w:p>
    <w:p>
      <w:pPr>
        <w:jc w:val="both"/>
        <w:ind w:right="180" w:firstLine="394"/>
        <w:spacing w:after="0"/>
        <w:rPr>
          <w:sz w:val="20"/>
          <w:szCs w:val="20"/>
          <w:color w:val="auto"/>
        </w:rPr>
      </w:pPr>
      <w:r>
        <w:rPr>
          <w:rFonts w:ascii="Times New Roman" w:cs="Times New Roman" w:eastAsia="Times New Roman" w:hAnsi="Times New Roman"/>
          <w:sz w:val="20"/>
          <w:szCs w:val="20"/>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90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2"/>
        </w:trPr>
        <w:tc>
          <w:tcPr>
            <w:tcW w:w="64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r>
      <w:tr>
        <w:trPr>
          <w:trHeight w:val="286"/>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$19,700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$ 2,054</w:t>
            </w:r>
          </w:p>
        </w:tc>
        <w:tc>
          <w:tcPr>
            <w:tcW w:w="80" w:type="dxa"/>
            <w:vAlign w:val="bottom"/>
          </w:tcPr>
          <w:p>
            <w:pPr>
              <w:spacing w:after="0"/>
              <w:rPr>
                <w:sz w:val="24"/>
                <w:szCs w:val="24"/>
                <w:color w:val="auto"/>
              </w:rPr>
            </w:pPr>
          </w:p>
        </w:tc>
      </w:tr>
      <w:tr>
        <w:trPr>
          <w:trHeight w:val="251"/>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Additions . . . . . . .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9,829</w:t>
            </w:r>
          </w:p>
        </w:tc>
        <w:tc>
          <w:tcPr>
            <w:tcW w:w="80" w:type="dxa"/>
            <w:vAlign w:val="bottom"/>
          </w:tcPr>
          <w:p>
            <w:pPr>
              <w:spacing w:after="0"/>
              <w:rPr>
                <w:sz w:val="21"/>
                <w:szCs w:val="21"/>
                <w:color w:val="auto"/>
              </w:rPr>
            </w:pPr>
          </w:p>
        </w:tc>
      </w:tr>
      <w:tr>
        <w:trPr>
          <w:trHeight w:val="249"/>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Valuation adjustment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1,455</w:t>
            </w:r>
          </w:p>
        </w:tc>
        <w:tc>
          <w:tcPr>
            <w:tcW w:w="4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(2,834)</w:t>
            </w:r>
          </w:p>
        </w:tc>
      </w:tr>
      <w:tr>
        <w:trPr>
          <w:trHeight w:val="281"/>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 . . . . . . . . . . . . . . . . . . . . . . . . . . . . . . . . . . . . . . . . . . . . . .</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27,474</w:t>
            </w:r>
          </w:p>
        </w:tc>
        <w:tc>
          <w:tcPr>
            <w:tcW w:w="4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19,700</w:t>
            </w:r>
          </w:p>
        </w:tc>
        <w:tc>
          <w:tcPr>
            <w:tcW w:w="48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$ 9,049</w:t>
            </w:r>
          </w:p>
        </w:tc>
        <w:tc>
          <w:tcPr>
            <w:tcW w:w="80" w:type="dxa"/>
            <w:vAlign w:val="bottom"/>
          </w:tcPr>
          <w:p>
            <w:pPr>
              <w:spacing w:after="0"/>
              <w:rPr>
                <w:sz w:val="24"/>
                <w:szCs w:val="24"/>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r>
      <w:tr>
        <w:trPr>
          <w:trHeight w:val="212"/>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r>
      <w:tr>
        <w:trPr>
          <w:trHeight w:val="286"/>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Mortgage loans serviced for others. . . . . . . . . . .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$2,046,490</w:t>
            </w:r>
          </w:p>
        </w:tc>
        <w:tc>
          <w:tcPr>
            <w:tcW w:w="3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$1,953,095</w:t>
            </w:r>
          </w:p>
        </w:tc>
        <w:tc>
          <w:tcPr>
            <w:tcW w:w="180" w:type="dxa"/>
            <w:vAlign w:val="bottom"/>
          </w:tcPr>
          <w:p>
            <w:pPr>
              <w:spacing w:after="0"/>
              <w:rPr>
                <w:sz w:val="24"/>
                <w:szCs w:val="24"/>
                <w:color w:val="auto"/>
              </w:rPr>
            </w:pPr>
          </w:p>
        </w:tc>
      </w:tr>
      <w:tr>
        <w:trPr>
          <w:trHeight w:val="251"/>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Mortgage servicing rights assets as a percentage of serviced mortgage loans . . . .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152" w:lineRule="exact"/>
        <w:rPr>
          <w:sz w:val="20"/>
          <w:szCs w:val="20"/>
          <w:color w:val="auto"/>
        </w:rPr>
      </w:pPr>
    </w:p>
    <w:p>
      <w:pPr>
        <w:jc w:val="both"/>
        <w:ind w:right="180"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reflects the key assumptions used in measuring the fair value of the Company’s mortgage servicing rights as of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13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0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286"/>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constant prepayment rate . . . . . . . . . . . . . . . . . . . . . . . . . . . . . . . . . . . . . . . . .</w:t>
            </w:r>
          </w:p>
        </w:tc>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12.35%</w:t>
            </w:r>
          </w:p>
        </w:tc>
      </w:tr>
      <w:tr>
        <w:trPr>
          <w:trHeight w:val="251"/>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 . . . . . . . . . . . . . . . . . . . . . . . . . . . . . . . . . . . . . . . . . . . . . . . . . . .</w:t>
            </w:r>
          </w:p>
        </w:tc>
        <w:tc>
          <w:tcPr>
            <w:tcW w:w="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9.15%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9.14%</w:t>
            </w:r>
          </w:p>
        </w:tc>
      </w:tr>
      <w:tr>
        <w:trPr>
          <w:trHeight w:val="251"/>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life in years . . . . . . . . . . . . . . . . . . . . . . . . . . . . . . . . . . . . . . . . . . . . . . . . . . . .</w:t>
            </w: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w w:val="97"/>
              </w:rPr>
              <w:t>7.91</w:t>
            </w:r>
          </w:p>
        </w:tc>
        <w:tc>
          <w:tcPr>
            <w:tcW w:w="4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160" w:type="dxa"/>
            <w:vAlign w:val="bottom"/>
          </w:tcPr>
          <w:p>
            <w:pPr>
              <w:spacing w:after="0"/>
              <w:rPr>
                <w:sz w:val="21"/>
                <w:szCs w:val="2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9. DEPOSITS</w:t>
      </w:r>
    </w:p>
    <w:p>
      <w:pPr>
        <w:spacing w:after="0" w:line="117" w:lineRule="exact"/>
        <w:rPr>
          <w:sz w:val="20"/>
          <w:szCs w:val="20"/>
          <w:color w:val="auto"/>
        </w:rPr>
      </w:pPr>
    </w:p>
    <w:p>
      <w:pPr>
        <w:jc w:val="both"/>
        <w:ind w:right="180" w:firstLine="394"/>
        <w:spacing w:after="0" w:line="237" w:lineRule="auto"/>
        <w:rPr>
          <w:sz w:val="20"/>
          <w:szCs w:val="20"/>
          <w:color w:val="auto"/>
        </w:rPr>
      </w:pPr>
      <w:r>
        <w:rPr>
          <w:rFonts w:ascii="Times New Roman" w:cs="Times New Roman" w:eastAsia="Times New Roman" w:hAnsi="Times New Roman"/>
          <w:sz w:val="20"/>
          <w:szCs w:val="20"/>
          <w:color w:val="auto"/>
        </w:rPr>
        <w:t>Time deposits that met or exceeded the Federal Deposit Insurance Corporation (‘‘FDIC’’) Insurance limit of $250,000 were $131.0 million and $163.4 million at December 31, 2022 and 2021,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scheduled maturities of time deposits at December 31, 2022 follows (dollars in thousands):</w:t>
            </w:r>
          </w:p>
        </w:tc>
        <w:tc>
          <w:tcPr>
            <w:tcW w:w="740" w:type="dxa"/>
            <w:vAlign w:val="bottom"/>
          </w:tcPr>
          <w:p>
            <w:pPr>
              <w:spacing w:after="0"/>
              <w:rPr>
                <w:sz w:val="19"/>
                <w:szCs w:val="19"/>
                <w:color w:val="auto"/>
              </w:rPr>
            </w:pPr>
          </w:p>
        </w:tc>
      </w:tr>
      <w:tr>
        <w:trPr>
          <w:trHeight w:val="467"/>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2023. . . . . . . . . . . . . . . . . . . . . . . . . . . . . . . . . . . . . . . . . . . . . . . . . . . . . . . . . . . . . . . . . . . . . . . . . . . . . .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$222,411</w:t>
            </w:r>
          </w:p>
        </w:tc>
      </w:tr>
      <w:tr>
        <w:trPr>
          <w:trHeight w:val="212"/>
        </w:trPr>
        <w:tc>
          <w:tcPr>
            <w:tcW w:w="84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2024. . . . . . . . . . . . . . . . . . . . . . . . . . . . . . . . . . . . . . . . . . . . . . . . . . . . . . . . . . . . . . . . . . . . . . . . . . . . . .</w:t>
            </w:r>
          </w:p>
        </w:tc>
        <w:tc>
          <w:tcPr>
            <w:tcW w:w="7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50,912</w:t>
            </w:r>
          </w:p>
        </w:tc>
      </w:tr>
      <w:tr>
        <w:trPr>
          <w:trHeight w:val="212"/>
        </w:trPr>
        <w:tc>
          <w:tcPr>
            <w:tcW w:w="84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2025. . . . . . . . . . . . . . . . . . . . . . . . . . . . . . . . . . . . . . . . . . . . . . . . . . . . . . . . . . . . . . . . . . . . . . . . . . . . . .</w:t>
            </w:r>
          </w:p>
        </w:tc>
        <w:tc>
          <w:tcPr>
            <w:tcW w:w="7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5,557</w:t>
            </w:r>
          </w:p>
        </w:tc>
      </w:tr>
      <w:tr>
        <w:trPr>
          <w:trHeight w:val="212"/>
        </w:trPr>
        <w:tc>
          <w:tcPr>
            <w:tcW w:w="84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2026. . . . . . . . . . . . . . . . . . . . . . . . . . . . . . . . . . . . . . . . . . . . . . . . . . . . . . . . . . . . . . . . . . . . . . . . . . . . . .</w:t>
            </w:r>
          </w:p>
        </w:tc>
        <w:tc>
          <w:tcPr>
            <w:tcW w:w="7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2,892</w:t>
            </w:r>
          </w:p>
        </w:tc>
      </w:tr>
      <w:tr>
        <w:trPr>
          <w:trHeight w:val="212"/>
        </w:trPr>
        <w:tc>
          <w:tcPr>
            <w:tcW w:w="84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2027. . . . . . . . . . . . . . . . . . . . . . . . . . . . . . . . . . . . . . . . . . . . . . . . . . . . . . . . . . . . . . . . . . . . . . . . . . . . . .</w:t>
            </w:r>
          </w:p>
        </w:tc>
        <w:tc>
          <w:tcPr>
            <w:tcW w:w="7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4,013</w:t>
            </w:r>
          </w:p>
        </w:tc>
      </w:tr>
      <w:tr>
        <w:trPr>
          <w:trHeight w:val="215"/>
        </w:trPr>
        <w:tc>
          <w:tcPr>
            <w:tcW w:w="84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 . . .</w:t>
            </w:r>
          </w:p>
        </w:tc>
        <w:tc>
          <w:tcPr>
            <w:tcW w:w="7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414</w:t>
            </w:r>
          </w:p>
        </w:tc>
      </w:tr>
      <w:tr>
        <w:trPr>
          <w:trHeight w:val="241"/>
        </w:trPr>
        <w:tc>
          <w:tcPr>
            <w:tcW w:w="84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286,199</w:t>
            </w:r>
          </w:p>
        </w:tc>
      </w:tr>
      <w:tr>
        <w:trPr>
          <w:trHeight w:val="20"/>
        </w:trPr>
        <w:tc>
          <w:tcPr>
            <w:tcW w:w="8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10.</w:t>
        <w:tab/>
        <w:t>BORROWING ARRANGEMENTS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Short-term borrowings</w:t>
      </w:r>
    </w:p>
    <w:p>
      <w:pPr>
        <w:spacing w:after="0" w:line="117" w:lineRule="exact"/>
        <w:rPr>
          <w:sz w:val="20"/>
          <w:szCs w:val="20"/>
          <w:color w:val="auto"/>
        </w:rPr>
      </w:pPr>
    </w:p>
    <w:p>
      <w:pPr>
        <w:jc w:val="both"/>
        <w:ind w:right="180" w:firstLine="394"/>
        <w:spacing w:after="0" w:line="237" w:lineRule="auto"/>
        <w:rPr>
          <w:sz w:val="20"/>
          <w:szCs w:val="20"/>
          <w:color w:val="auto"/>
        </w:rPr>
      </w:pPr>
      <w:r>
        <w:rPr>
          <w:rFonts w:ascii="Times New Roman" w:cs="Times New Roman" w:eastAsia="Times New Roman" w:hAnsi="Times New Roman"/>
          <w:sz w:val="20"/>
          <w:szCs w:val="20"/>
          <w:color w:val="auto"/>
        </w:rPr>
        <w:t>There were no balances as of December 31, 2022 and 2021 related to federal funds purchased or FHLB short-term advances. Federal funds purchased are short-term borrowings that generally have one-day maturities.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Lines of credit</w:t>
      </w:r>
    </w:p>
    <w:p>
      <w:pPr>
        <w:spacing w:after="0" w:line="117"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$2.8 million at December 31, 2022 and 2021. The available capacity of the line was $920.2 million and $903.9 million with no outstanding borrowings at December 31, 2022 and 2021, respectively.</w:t>
      </w:r>
    </w:p>
    <w:p>
      <w:pPr>
        <w:sectPr>
          <w:pgSz w:w="12060" w:h="15667" w:orient="portrait"/>
          <w:cols w:equalWidth="0" w:num="1">
            <w:col w:w="9400"/>
          </w:cols>
          <w:pgMar w:left="1400" w:top="900" w:right="1267" w:bottom="204"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100</w:t>
      </w:r>
    </w:p>
    <w:p>
      <w:pPr>
        <w:sectPr>
          <w:pgSz w:w="12060" w:h="15667" w:orient="portrait"/>
          <w:cols w:equalWidth="0" w:num="1">
            <w:col w:w="9400"/>
          </w:cols>
          <w:pgMar w:left="1400" w:top="900" w:right="1267" w:bottom="204" w:gutter="0" w:footer="0" w:header="0"/>
          <w:type w:val="continuous"/>
        </w:sectPr>
      </w:pPr>
    </w:p>
    <w:bookmarkStart w:id="113" w:name="page114"/>
    <w:bookmarkEnd w:id="113"/>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$648.3 million and $593.6 million at December 31, 2022 and 2021, respectively. This line was not used at December 31, 2022 or 2021.</w:t>
      </w:r>
    </w:p>
    <w:p>
      <w:pPr>
        <w:spacing w:after="0" w:line="13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The bank subsidiary also has uncollateralized lines of credit with multiple banks. The total amount of the lines was $160.0 million and $160.0 million as of December 31, 2022 and 2021, respectively. These lines were not used at December 31, 2022 or 2021.</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Notes payable and other borrowings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bank had no FHLB advances outstanding at December 31, 2022 or 2021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Junior subordinated deferrable interest debentures and trust preferred securities</w:t>
      </w:r>
    </w:p>
    <w:p>
      <w:pPr>
        <w:spacing w:after="0" w:line="117"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consolidated financial statements.</w:t>
      </w:r>
    </w:p>
    <w:p>
      <w:pPr>
        <w:spacing w:after="0" w:line="136"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138"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Company is required by the Board of Governors of the Federal Reserve System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Although the trusts are not consolidated in these consolidated financial statements,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120"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The terms of the debentures and TPS allow for interest to be deferred for up to five years consecutively. During this time, shareholder dividends are not allowed to be paid.</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is a detail of the debentures and TPS at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Stated Maturity</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77"/>
        </w:trPr>
        <w:tc>
          <w:tcPr>
            <w:tcW w:w="3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center"/>
              <w:ind w:right="3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22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3"/>
              </w:rPr>
              <w:t>Date</w:t>
            </w:r>
          </w:p>
        </w:tc>
        <w:tc>
          <w:tcPr>
            <w:tcW w:w="10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Interest Rate of</w:t>
            </w:r>
          </w:p>
        </w:tc>
      </w:tr>
      <w:tr>
        <w:trPr>
          <w:trHeight w:val="169"/>
        </w:trPr>
        <w:tc>
          <w:tcPr>
            <w:tcW w:w="3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of</w:t>
            </w:r>
          </w:p>
        </w:tc>
        <w:tc>
          <w:tcPr>
            <w:tcW w:w="122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rPr>
              <w:t>of TPS and</w:t>
            </w:r>
          </w:p>
        </w:tc>
        <w:tc>
          <w:tcPr>
            <w:tcW w:w="10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TPS and</w:t>
            </w:r>
          </w:p>
        </w:tc>
      </w:tr>
      <w:tr>
        <w:trPr>
          <w:trHeight w:val="194"/>
        </w:trPr>
        <w:tc>
          <w:tcPr>
            <w:tcW w:w="37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 Date</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of TPS</w:t>
            </w:r>
          </w:p>
        </w:tc>
        <w:tc>
          <w:tcPr>
            <w:tcW w:w="240" w:type="dxa"/>
            <w:vAlign w:val="bottom"/>
          </w:tcPr>
          <w:p>
            <w:pPr>
              <w:spacing w:after="0"/>
              <w:rPr>
                <w:sz w:val="16"/>
                <w:szCs w:val="16"/>
                <w:color w:val="auto"/>
              </w:rPr>
            </w:pPr>
          </w:p>
        </w:tc>
        <w:tc>
          <w:tcPr>
            <w:tcW w:w="10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Debentures</w:t>
            </w:r>
          </w:p>
        </w:tc>
        <w:tc>
          <w:tcPr>
            <w:tcW w:w="122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6"/>
                <w:szCs w:val="16"/>
                <w:b w:val="1"/>
                <w:bCs w:val="1"/>
                <w:color w:val="auto"/>
                <w:w w:val="96"/>
              </w:rPr>
              <w:t>Debentures</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6"/>
                <w:szCs w:val="16"/>
                <w:b w:val="1"/>
                <w:bCs w:val="1"/>
                <w:color w:val="auto"/>
                <w:w w:val="96"/>
              </w:rPr>
              <w:t>Debentures</w:t>
            </w:r>
            <w:r>
              <w:rPr>
                <w:rFonts w:ascii="Times New Roman" w:cs="Times New Roman" w:eastAsia="Times New Roman" w:hAnsi="Times New Roman"/>
                <w:sz w:val="19"/>
                <w:szCs w:val="19"/>
                <w:b w:val="1"/>
                <w:bCs w:val="1"/>
                <w:color w:val="auto"/>
                <w:w w:val="96"/>
                <w:vertAlign w:val="superscript"/>
              </w:rPr>
              <w:t>(2)(3)</w:t>
            </w: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III . . . .</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2004</w:t>
            </w:r>
          </w:p>
        </w:tc>
        <w:tc>
          <w:tcPr>
            <w:tcW w:w="22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$10,000</w:t>
            </w:r>
          </w:p>
        </w:tc>
        <w:tc>
          <w:tcPr>
            <w:tcW w:w="24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$10,310</w:t>
            </w: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3-mo. LIBOR +</w:t>
            </w:r>
          </w:p>
        </w:tc>
      </w:tr>
      <w:tr>
        <w:trPr>
          <w:trHeight w:val="236"/>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265bps; 6.97%</w:t>
            </w:r>
          </w:p>
        </w:tc>
      </w:tr>
      <w:tr>
        <w:trPr>
          <w:trHeight w:val="251"/>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IV . . .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2005</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20,619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2035</w:t>
            </w:r>
          </w:p>
        </w:tc>
        <w:tc>
          <w:tcPr>
            <w:tcW w:w="12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3-mo. LIBOR +</w:t>
            </w:r>
          </w:p>
        </w:tc>
      </w:tr>
      <w:tr>
        <w:trPr>
          <w:trHeight w:val="236"/>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139bps; 6.16%</w:t>
            </w:r>
          </w:p>
        </w:tc>
      </w:tr>
      <w:tr>
        <w:trPr>
          <w:trHeight w:val="251"/>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V . . .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2007</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15,464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2037</w:t>
            </w:r>
          </w:p>
        </w:tc>
        <w:tc>
          <w:tcPr>
            <w:tcW w:w="12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3-mo. LIBOR +</w:t>
            </w:r>
          </w:p>
        </w:tc>
      </w:tr>
      <w:tr>
        <w:trPr>
          <w:trHeight w:val="234"/>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150bps; 6.27%</w:t>
            </w:r>
          </w:p>
        </w:tc>
      </w:tr>
      <w:tr>
        <w:trPr>
          <w:trHeight w:val="28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45,000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46,393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237490</wp:posOffset>
                </wp:positionV>
                <wp:extent cx="90106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7pt" to="71.2pt,18.7pt" o:allowincell="f" strokecolor="#000000" strokeweight="0.493pt"/>
            </w:pict>
          </mc:Fallback>
        </mc:AlternateContent>
      </w:r>
    </w:p>
    <w:p>
      <w:pPr>
        <w:spacing w:after="0" w:line="200" w:lineRule="exact"/>
        <w:rPr>
          <w:sz w:val="20"/>
          <w:szCs w:val="20"/>
          <w:color w:val="auto"/>
        </w:rPr>
      </w:pPr>
    </w:p>
    <w:p>
      <w:pPr>
        <w:spacing w:after="0" w:line="256" w:lineRule="exact"/>
        <w:rPr>
          <w:sz w:val="20"/>
          <w:szCs w:val="20"/>
          <w:color w:val="auto"/>
        </w:rPr>
      </w:pPr>
    </w:p>
    <w:p>
      <w:pPr>
        <w:ind w:left="400" w:right="7" w:hanging="395"/>
        <w:spacing w:after="0" w:line="229" w:lineRule="auto"/>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redeemed five years from the issue date, the Company has no current plans to redeem; (2) Interest payable quarterly with principal due at maturity; (3) Rate as of last reset date.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Subordinated debt</w:t>
      </w:r>
    </w:p>
    <w:p>
      <w:pPr>
        <w:spacing w:after="0" w:line="11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In December 2018, the Company issued $26.5 million in subordinated notes. Notes totaling $12.4 million have a maturity date of December 2028 and a weighted average fixed rate of 5.74% for the first five years. The remaining $14.1 million of notes have a maturity date of December 2030 and a weighted average fixed rate of 6.41% for the</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101</w:t>
      </w:r>
    </w:p>
    <w:p>
      <w:pPr>
        <w:sectPr>
          <w:pgSz w:w="12060" w:h="15667" w:orient="portrait"/>
          <w:cols w:equalWidth="0" w:num="1">
            <w:col w:w="9227"/>
          </w:cols>
          <w:pgMar w:left="1400" w:top="912" w:right="1440" w:bottom="204" w:gutter="0" w:footer="0" w:header="0"/>
          <w:type w:val="continuous"/>
        </w:sectPr>
      </w:pPr>
    </w:p>
    <w:bookmarkStart w:id="114" w:name="page115"/>
    <w:bookmarkEnd w:id="114"/>
    <w:p>
      <w:pPr>
        <w:jc w:val="both"/>
        <w:ind w:right="7"/>
        <w:spacing w:after="0" w:line="242" w:lineRule="auto"/>
        <w:rPr>
          <w:sz w:val="20"/>
          <w:szCs w:val="20"/>
          <w:color w:val="auto"/>
        </w:rPr>
      </w:pPr>
      <w:r>
        <w:rPr>
          <w:rFonts w:ascii="Times New Roman" w:cs="Times New Roman" w:eastAsia="Times New Roman" w:hAnsi="Times New Roman"/>
          <w:sz w:val="20"/>
          <w:szCs w:val="20"/>
          <w:color w:val="auto"/>
        </w:rPr>
        <w:t xml:space="preserve">first seven years. After the fixed rate periods, all notes will float at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spacing w:after="0" w:line="13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spacing w:after="0" w:line="137" w:lineRule="exact"/>
        <w:rPr>
          <w:sz w:val="20"/>
          <w:szCs w:val="20"/>
          <w:color w:val="auto"/>
        </w:rPr>
      </w:pPr>
    </w:p>
    <w:p>
      <w:pPr>
        <w:jc w:val="both"/>
        <w:ind w:right="7" w:firstLine="394"/>
        <w:spacing w:after="0"/>
        <w:rPr>
          <w:sz w:val="20"/>
          <w:szCs w:val="20"/>
          <w:color w:val="auto"/>
        </w:rPr>
      </w:pPr>
      <w:r>
        <w:rPr>
          <w:rFonts w:ascii="Times New Roman" w:cs="Times New Roman" w:eastAsia="Times New Roman" w:hAnsi="Times New Roman"/>
          <w:sz w:val="20"/>
          <w:szCs w:val="20"/>
          <w:color w:val="auto"/>
        </w:rPr>
        <w:t>As of December 31, 2022 and 2021, the total amount of subordinated notes outstanding was $76.5 million less approximately $511 thousand and $697 thousand of remaining debt issuance costs, respectively, for a total balance of $76.0 million and $75.8 million, respectively.</w:t>
      </w:r>
    </w:p>
    <w:p>
      <w:pPr>
        <w:spacing w:after="0" w:line="3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11.</w:t>
        <w:tab/>
        <w:t>EMPLOYEE BENEFITS</w:t>
      </w:r>
    </w:p>
    <w:p>
      <w:pPr>
        <w:spacing w:after="0" w:line="11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Company sponsors the South Plains Financial, Inc. ESOP. Effective May 9, 2019, the ESOP was restated and amended. The 401(k) related assets, which consisted of participants’ elective and rollover accounts, were transferred to the newly formed City Bank 401(k) Plan. The ESOP covers all employees who have completed one month of service.</w:t>
      </w:r>
    </w:p>
    <w:p>
      <w:pPr>
        <w:spacing w:after="0" w:line="137"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ESOP may be leveraged to purchase shares of SPFI stock. Shares are released from collateral and allocated to active employees, in proportion to annual debt service. The Company recognizes any debt of the ESOP as notes payable and the shares pledged as collateral are deducted from the stockholders’ equity as unearned ESOP shares in the accompanying consolidated balance sheets. All ESOP shares were allocated as of December 31, 2022 and 2021.</w:t>
      </w:r>
    </w:p>
    <w:p>
      <w:pPr>
        <w:spacing w:after="0" w:line="121"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Through 2019, the Company made contributions to the ESOP as approved by the Board of Directors on an annual basis. These contributions, plus dividends received, were used to service any ESOP debt and repurchase allocated shares from participants and terminating vested participants. There were no Company contributions made to the ESOP in 2022, 2021 and 2020.</w:t>
      </w:r>
    </w:p>
    <w:p>
      <w:pPr>
        <w:spacing w:after="0" w:line="137" w:lineRule="exact"/>
        <w:rPr>
          <w:sz w:val="20"/>
          <w:szCs w:val="20"/>
          <w:color w:val="auto"/>
        </w:rPr>
      </w:pPr>
    </w:p>
    <w:p>
      <w:pPr>
        <w:jc w:val="both"/>
        <w:ind w:right="7" w:firstLine="394"/>
        <w:spacing w:after="0" w:line="236" w:lineRule="auto"/>
        <w:rPr>
          <w:sz w:val="20"/>
          <w:szCs w:val="20"/>
          <w:color w:val="auto"/>
        </w:rPr>
      </w:pPr>
      <w:r>
        <w:rPr>
          <w:rFonts w:ascii="Times New Roman" w:cs="Times New Roman" w:eastAsia="Times New Roman" w:hAnsi="Times New Roman"/>
          <w:sz w:val="20"/>
          <w:szCs w:val="20"/>
          <w:color w:val="auto"/>
        </w:rPr>
        <w:t>As of December 31, 2022 and 2021, the number of shares held by the ESOP were 2,574,100 and 2,795,762, respectively.</w:t>
      </w:r>
    </w:p>
    <w:p>
      <w:pPr>
        <w:spacing w:after="0" w:line="139"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On December 30, 2022, the board of directors of the Company adopted resolutions to terminate the ESOP, effective as of December 31, 2022. Upon termination of the ESOP, all ESOP participants became fully vested in their ESOP benefits without regard to whether they were fully vested in such benefits as of the effective date of the termination. Following the completion of the final accounting and allocation of ESOP assets, the ESOP administrator will send applicable distribution forms to all ESOP participants and beneficiaries. As a result of the ESOP termination, all ESOP assets will be distributed to the ESOP participants in a lump sum distribution of cash and Company stock, without consideration as to whether the participant consents to such distribution. However, in the event that an ESOP participant’s account exceeds $1,000 and the participant fails to consent to the distribution, the participant’s account balance will be distributed to an individual retirement account for the participant’s benefit. Furthermore, if an ESOP participant’s account balance is $10,000 or less and the participant elects to receive a cash distribution, then such account balance will be distributed to the ESOP participant in a lump sum cash payment.</w:t>
      </w:r>
    </w:p>
    <w:p>
      <w:pPr>
        <w:spacing w:after="0" w:line="126"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$1.9 million in 2022, $1.8 million in 2021, and $1.7 in 2020.</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u w:val="single" w:color="auto"/>
          <w:color w:val="auto"/>
        </w:rPr>
        <w:t>Employee Health Benefits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The Company has a self-insured welfare benefit plan which provides health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dental benefits. For 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102</w:t>
      </w:r>
    </w:p>
    <w:p>
      <w:pPr>
        <w:sectPr>
          <w:pgSz w:w="12060" w:h="15667" w:orient="portrait"/>
          <w:cols w:equalWidth="0" w:num="1">
            <w:col w:w="9227"/>
          </w:cols>
          <w:pgMar w:left="1400" w:top="912" w:right="1440" w:bottom="204" w:gutter="0" w:footer="0" w:header="0"/>
          <w:type w:val="continuous"/>
        </w:sectPr>
      </w:pPr>
    </w:p>
    <w:bookmarkStart w:id="115" w:name="page116"/>
    <w:bookmarkEnd w:id="115"/>
    <w:p>
      <w:pPr>
        <w:jc w:val="both"/>
        <w:ind w:right="7"/>
        <w:spacing w:after="0" w:line="270" w:lineRule="auto"/>
        <w:rPr>
          <w:sz w:val="20"/>
          <w:szCs w:val="20"/>
          <w:color w:val="auto"/>
        </w:rPr>
      </w:pPr>
      <w:r>
        <w:rPr>
          <w:rFonts w:ascii="Times New Roman" w:cs="Times New Roman" w:eastAsia="Times New Roman" w:hAnsi="Times New Roman"/>
          <w:sz w:val="19"/>
          <w:szCs w:val="19"/>
          <w:color w:val="auto"/>
        </w:rPr>
        <w:t>was approximately $4.2 million, $4.5 million, and $4.4 million for the years ended December 31, 2022, 2021, and 2020, respectively. In addition, benefit obligations have been accrued and include reported claims payable and claims incurred but not reported, for approximately $653 thousand and $825 thousand as of December 31, 2022 and 2021, respectively. The Company has limited its risk exposure for these benefits through a stop-loss policy with an independent third party insurer which reimburses benefits paid that exceed $150 thousand per participant per year.</w:t>
      </w:r>
    </w:p>
    <w:p>
      <w:pPr>
        <w:spacing w:after="0" w:line="121"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Non-Qualified Plans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Certain Company executives, as determined by the Company’s Board from time-to-time,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$12.9 million and $12.5 million was accrued at December 31, 2022 and 2021, respectively. This plan is nonqualified, noncontributory, and unfunded. The charge to income for this plan during 2022, 2021, and 2020 was approximately $1.0 million, $1.0 million and, $1.1 million, respectively.</w:t>
      </w:r>
    </w:p>
    <w:p>
      <w:pPr>
        <w:spacing w:after="0" w:line="3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12.</w:t>
        <w:tab/>
        <w:t>STOCK-BASED COMPENSATION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Incentive Plan</w:t>
      </w:r>
    </w:p>
    <w:p>
      <w:pPr>
        <w:spacing w:after="0" w:line="127" w:lineRule="exact"/>
        <w:rPr>
          <w:sz w:val="20"/>
          <w:szCs w:val="20"/>
          <w:color w:val="auto"/>
        </w:rPr>
      </w:pPr>
    </w:p>
    <w:p>
      <w:pPr>
        <w:jc w:val="both"/>
        <w:ind w:right="7" w:firstLine="394"/>
        <w:spacing w:after="0" w:line="247" w:lineRule="auto"/>
        <w:rPr>
          <w:sz w:val="20"/>
          <w:szCs w:val="20"/>
          <w:color w:val="auto"/>
        </w:rPr>
      </w:pPr>
      <w:r>
        <w:rPr>
          <w:rFonts w:ascii="Times New Roman" w:cs="Times New Roman" w:eastAsia="Times New Roman" w:hAnsi="Times New Roman"/>
          <w:sz w:val="20"/>
          <w:szCs w:val="20"/>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3,916,180 at December 31, 2022. The maximum aggregate number of shares that may be issued under the Plan may be increased annually by up to 3% of the total issued and outstanding common shares of the Company at the beginning of each fiscal year.</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Options</w:t>
      </w:r>
    </w:p>
    <w:p>
      <w:pPr>
        <w:spacing w:after="0" w:line="117" w:lineRule="exact"/>
        <w:rPr>
          <w:sz w:val="20"/>
          <w:szCs w:val="20"/>
          <w:color w:val="auto"/>
        </w:rPr>
      </w:pPr>
    </w:p>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A summary of activity in the Plan during the year ended December 31, 2022 is presented in the table below (dollars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7"/>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380"/>
              <w:spacing w:after="0" w:line="178" w:lineRule="exact"/>
              <w:rPr>
                <w:sz w:val="20"/>
                <w:szCs w:val="20"/>
                <w:color w:val="auto"/>
              </w:rPr>
            </w:pPr>
            <w:r>
              <w:rPr>
                <w:rFonts w:ascii="Times New Roman" w:cs="Times New Roman" w:eastAsia="Times New Roman" w:hAnsi="Times New Roman"/>
                <w:sz w:val="16"/>
                <w:szCs w:val="16"/>
                <w:b w:val="1"/>
                <w:bCs w:val="1"/>
                <w:color w:val="auto"/>
              </w:rPr>
              <w:t>Number</w:t>
            </w:r>
          </w:p>
        </w:tc>
        <w:tc>
          <w:tcPr>
            <w:tcW w:w="1360" w:type="dxa"/>
            <w:vAlign w:val="bottom"/>
            <w:gridSpan w:val="4"/>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2000" w:type="dxa"/>
            <w:vAlign w:val="bottom"/>
            <w:gridSpan w:val="5"/>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Remaining Contractual</w:t>
            </w:r>
          </w:p>
        </w:tc>
        <w:tc>
          <w:tcPr>
            <w:tcW w:w="1000" w:type="dxa"/>
            <w:vAlign w:val="bottom"/>
            <w:gridSpan w:val="3"/>
          </w:tcPr>
          <w:p>
            <w:pPr>
              <w:jc w:val="right"/>
              <w:ind w:right="160"/>
              <w:spacing w:after="0" w:line="178"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180"/>
        </w:trPr>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36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40" w:type="dxa"/>
            <w:vAlign w:val="bottom"/>
          </w:tcPr>
          <w:p>
            <w:pPr>
              <w:spacing w:after="0"/>
              <w:rPr>
                <w:sz w:val="15"/>
                <w:szCs w:val="15"/>
                <w:color w:val="auto"/>
              </w:rPr>
            </w:pPr>
          </w:p>
        </w:tc>
        <w:tc>
          <w:tcPr>
            <w:tcW w:w="1860" w:type="dxa"/>
            <w:vAlign w:val="bottom"/>
            <w:gridSpan w:val="4"/>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Life in Years</w:t>
            </w:r>
          </w:p>
        </w:tc>
        <w:tc>
          <w:tcPr>
            <w:tcW w:w="10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r>
      <w:tr>
        <w:trPr>
          <w:trHeight w:val="266"/>
        </w:trPr>
        <w:tc>
          <w:tcPr>
            <w:tcW w:w="3820" w:type="dxa"/>
            <w:vAlign w:val="bottom"/>
            <w:gridSpan w:val="2"/>
          </w:tcPr>
          <w:p>
            <w:pPr>
              <w:jc w:val="right"/>
              <w:ind w:right="1240"/>
              <w:spacing w:after="0"/>
              <w:rPr>
                <w:sz w:val="20"/>
                <w:szCs w:val="20"/>
                <w:color w:val="auto"/>
              </w:rPr>
            </w:pPr>
            <w:r>
              <w:rPr>
                <w:rFonts w:ascii="Times New Roman" w:cs="Times New Roman" w:eastAsia="Times New Roman" w:hAnsi="Times New Roman"/>
                <w:sz w:val="20"/>
                <w:szCs w:val="20"/>
                <w:color w:val="auto"/>
                <w:w w:val="99"/>
              </w:rPr>
              <w:t>Year Ended December 31, 2022</w:t>
            </w:r>
          </w:p>
        </w:tc>
        <w:tc>
          <w:tcPr>
            <w:tcW w:w="78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4"/>
        </w:trPr>
        <w:tc>
          <w:tcPr>
            <w:tcW w:w="3820" w:type="dxa"/>
            <w:vAlign w:val="bottom"/>
            <w:gridSpan w:val="2"/>
          </w:tcPr>
          <w:p>
            <w:pPr>
              <w:jc w:val="right"/>
              <w:ind w:right="260"/>
              <w:spacing w:after="0" w:line="214" w:lineRule="exact"/>
              <w:rPr>
                <w:sz w:val="20"/>
                <w:szCs w:val="20"/>
                <w:color w:val="auto"/>
              </w:rPr>
            </w:pPr>
            <w:r>
              <w:rPr>
                <w:rFonts w:ascii="Times New Roman" w:cs="Times New Roman" w:eastAsia="Times New Roman" w:hAnsi="Times New Roman"/>
                <w:sz w:val="20"/>
                <w:szCs w:val="20"/>
                <w:color w:val="auto"/>
              </w:rPr>
              <w:t>Outstanding at beginning of year: . . . . . . . .</w:t>
            </w: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94"/>
              </w:rPr>
              <w:t>1,602,028</w:t>
            </w:r>
          </w:p>
        </w:tc>
        <w:tc>
          <w:tcPr>
            <w:tcW w:w="260" w:type="dxa"/>
            <w:vAlign w:val="bottom"/>
          </w:tcPr>
          <w:p>
            <w:pPr>
              <w:spacing w:after="0"/>
              <w:rPr>
                <w:sz w:val="18"/>
                <w:szCs w:val="18"/>
                <w:color w:val="auto"/>
              </w:rPr>
            </w:pPr>
          </w:p>
        </w:tc>
        <w:tc>
          <w:tcPr>
            <w:tcW w:w="90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$15.42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$19,405</w:t>
            </w:r>
          </w:p>
        </w:tc>
        <w:tc>
          <w:tcPr>
            <w:tcW w:w="180" w:type="dxa"/>
            <w:vAlign w:val="bottom"/>
          </w:tcPr>
          <w:p>
            <w:pPr>
              <w:spacing w:after="0"/>
              <w:rPr>
                <w:sz w:val="18"/>
                <w:szCs w:val="18"/>
                <w:color w:val="auto"/>
              </w:rPr>
            </w:pPr>
          </w:p>
        </w:tc>
      </w:tr>
      <w:tr>
        <w:trPr>
          <w:trHeight w:val="23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Granted.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45,203</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Exercised . . . . . . . . . . . . . . . . . . . . . . . . .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(282,276)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(3,769)</w:t>
            </w:r>
          </w:p>
        </w:tc>
      </w:tr>
      <w:tr>
        <w:trPr>
          <w:trHeight w:val="23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Forfeited. . . . . . . . . . . . . . . . . . . . . . . . . .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(7,449)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(61)</w:t>
            </w:r>
          </w:p>
        </w:tc>
      </w:tr>
      <w:tr>
        <w:trPr>
          <w:trHeight w:val="229"/>
        </w:trPr>
        <w:tc>
          <w:tcPr>
            <w:tcW w:w="382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w w:val="98"/>
              </w:rPr>
              <w:t>Expired. . . . . . . . . . . . . . . . . . . . . . . . . . . . . .</w:t>
            </w:r>
          </w:p>
        </w:tc>
        <w:tc>
          <w:tcPr>
            <w:tcW w:w="1040" w:type="dxa"/>
            <w:vAlign w:val="bottom"/>
            <w:gridSpan w:val="2"/>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rPr>
              <w:t>(3,317)</w:t>
            </w:r>
          </w:p>
        </w:tc>
        <w:tc>
          <w:tcPr>
            <w:tcW w:w="9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18.27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(39)</w:t>
            </w:r>
          </w:p>
        </w:tc>
      </w:tr>
      <w:tr>
        <w:trPr>
          <w:trHeight w:val="49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Balance, December 31, 2022 . . . . . . . . . . .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1,354,189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16.11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69</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15,536</w:t>
            </w:r>
          </w:p>
        </w:tc>
        <w:tc>
          <w:tcPr>
            <w:tcW w:w="1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9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Exercisable at end of period . . . . . . . . . . . .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1,027,161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14.62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03</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13,250</w:t>
            </w:r>
          </w:p>
        </w:tc>
        <w:tc>
          <w:tcPr>
            <w:tcW w:w="1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92"/>
        </w:trPr>
        <w:tc>
          <w:tcPr>
            <w:tcW w:w="38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9"/>
              </w:rPr>
              <w:t>Vested at end of period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1,027,161</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14.62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left="671"/>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03</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13,250</w:t>
            </w:r>
          </w:p>
        </w:tc>
        <w:tc>
          <w:tcPr>
            <w:tcW w:w="18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103</w:t>
      </w:r>
    </w:p>
    <w:p>
      <w:pPr>
        <w:sectPr>
          <w:pgSz w:w="12060" w:h="15667" w:orient="portrait"/>
          <w:cols w:equalWidth="0" w:num="1">
            <w:col w:w="9227"/>
          </w:cols>
          <w:pgMar w:left="1400" w:top="912" w:right="1440" w:bottom="204" w:gutter="0" w:footer="0" w:header="0"/>
          <w:type w:val="continuous"/>
        </w:sectPr>
      </w:pPr>
    </w:p>
    <w:bookmarkStart w:id="116" w:name="page117"/>
    <w:bookmarkEnd w:id="116"/>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A summary of assumptions used to calculate the fair values of the awards granted during the periods noted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r>
      <w:tr>
        <w:trPr>
          <w:trHeight w:val="286"/>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40.20% to 40.29%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41.20% to 41.32%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27.46%</w:t>
            </w:r>
          </w:p>
        </w:tc>
      </w:tr>
      <w:tr>
        <w:trPr>
          <w:trHeight w:val="251"/>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0.70%</w:t>
            </w:r>
          </w:p>
        </w:tc>
      </w:tr>
      <w:tr>
        <w:trPr>
          <w:trHeight w:val="251"/>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 . . . . . . . . . . . . . . . . . . . . . . . . . . . . . . . . . . .</w:t>
            </w:r>
          </w:p>
        </w:tc>
        <w:tc>
          <w:tcPr>
            <w:tcW w:w="10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6.1 to 6.3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 to 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1"/>
                <w:szCs w:val="21"/>
                <w:color w:val="auto"/>
              </w:rPr>
            </w:pPr>
          </w:p>
        </w:tc>
      </w:tr>
      <w:tr>
        <w:trPr>
          <w:trHeight w:val="251"/>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w:t>
            </w:r>
          </w:p>
        </w:tc>
        <w:tc>
          <w:tcPr>
            <w:tcW w:w="10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1.56% to 1.95%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 to 0.83%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51"/>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 . . . . . . . . . . . . . . . . . . .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$10.54</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180" w:type="dxa"/>
            <w:vAlign w:val="bottom"/>
          </w:tcPr>
          <w:p>
            <w:pPr>
              <w:spacing w:after="0"/>
              <w:rPr>
                <w:sz w:val="21"/>
                <w:szCs w:val="21"/>
                <w:color w:val="auto"/>
              </w:rPr>
            </w:pPr>
          </w:p>
        </w:tc>
      </w:tr>
    </w:tbl>
    <w:p>
      <w:pPr>
        <w:spacing w:after="0" w:line="162"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The total intrinsic value of options exercised during the years ended December 31, 2022, 2021, and 2020 was $3.9 million, $2.1 million, and $1.1 million,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Awards and Units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summary of activity in the Plan during the year ended December 31, 2022 is presented 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r>
      <w:tr>
        <w:trPr>
          <w:trHeight w:val="177"/>
        </w:trPr>
        <w:tc>
          <w:tcPr>
            <w:tcW w:w="25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right"/>
              <w:ind w:right="160"/>
              <w:spacing w:after="0" w:line="178"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24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80"/>
        </w:trPr>
        <w:tc>
          <w:tcPr>
            <w:tcW w:w="25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20" w:type="dxa"/>
            <w:vAlign w:val="bottom"/>
            <w:gridSpan w:val="5"/>
          </w:tcPr>
          <w:p>
            <w:pPr>
              <w:jc w:val="right"/>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24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86"/>
        </w:trPr>
        <w:tc>
          <w:tcPr>
            <w:tcW w:w="7160" w:type="dxa"/>
            <w:vAlign w:val="bottom"/>
            <w:gridSpan w:val="2"/>
          </w:tcPr>
          <w:p>
            <w:pPr>
              <w:jc w:val="right"/>
              <w:ind w:right="4580"/>
              <w:spacing w:after="0"/>
              <w:rPr>
                <w:sz w:val="20"/>
                <w:szCs w:val="20"/>
                <w:color w:val="auto"/>
              </w:rPr>
            </w:pPr>
            <w:r>
              <w:rPr>
                <w:rFonts w:ascii="Times New Roman" w:cs="Times New Roman" w:eastAsia="Times New Roman" w:hAnsi="Times New Roman"/>
                <w:sz w:val="20"/>
                <w:szCs w:val="20"/>
                <w:color w:val="auto"/>
                <w:w w:val="99"/>
              </w:rPr>
              <w:t>Year Ended December 31, 2022</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4"/>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Outstanding at beginning of year: . . . . . . . . . . . . . . . . . . . . . . . . . . . . . . . . . . . . . . . . . .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42,767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$19.35</w:t>
            </w:r>
          </w:p>
        </w:tc>
        <w:tc>
          <w:tcPr>
            <w:tcW w:w="340" w:type="dxa"/>
            <w:vAlign w:val="bottom"/>
          </w:tcPr>
          <w:p>
            <w:pPr>
              <w:spacing w:after="0"/>
              <w:rPr>
                <w:sz w:val="20"/>
                <w:szCs w:val="20"/>
                <w:color w:val="auto"/>
              </w:rPr>
            </w:pPr>
          </w:p>
        </w:tc>
      </w:tr>
      <w:tr>
        <w:trPr>
          <w:trHeight w:val="251"/>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 . . . .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74,891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28.87</w:t>
            </w:r>
          </w:p>
        </w:tc>
        <w:tc>
          <w:tcPr>
            <w:tcW w:w="340" w:type="dxa"/>
            <w:vAlign w:val="bottom"/>
          </w:tcPr>
          <w:p>
            <w:pPr>
              <w:spacing w:after="0"/>
              <w:rPr>
                <w:sz w:val="21"/>
                <w:szCs w:val="21"/>
                <w:color w:val="auto"/>
              </w:rPr>
            </w:pPr>
          </w:p>
        </w:tc>
      </w:tr>
      <w:tr>
        <w:trPr>
          <w:trHeight w:val="251"/>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Exercised . . . . . . . . . . . . . . . . . . . . . . . . . . . . . . . . . . . . . . . . . . . . . . . . . . . . . . . . . . . . . .</w:t>
            </w: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(28,628)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20.99</w:t>
            </w:r>
          </w:p>
        </w:tc>
        <w:tc>
          <w:tcPr>
            <w:tcW w:w="340" w:type="dxa"/>
            <w:vAlign w:val="bottom"/>
          </w:tcPr>
          <w:p>
            <w:pPr>
              <w:spacing w:after="0"/>
              <w:rPr>
                <w:sz w:val="21"/>
                <w:szCs w:val="21"/>
                <w:color w:val="auto"/>
              </w:rPr>
            </w:pPr>
          </w:p>
        </w:tc>
      </w:tr>
      <w:tr>
        <w:trPr>
          <w:trHeight w:val="249"/>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 . . . . . .</w:t>
            </w:r>
          </w:p>
        </w:tc>
        <w:tc>
          <w:tcPr>
            <w:tcW w:w="80" w:type="dxa"/>
            <w:vAlign w:val="bottom"/>
            <w:gridSpan w:val="2"/>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(4,688)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28.16</w:t>
            </w:r>
          </w:p>
        </w:tc>
        <w:tc>
          <w:tcPr>
            <w:tcW w:w="34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32"/>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Balance, December 31, 2022 . . . . . . . . . . . . . . . . . . . . . . . . . . . . . . . . . . . . . . . . . . . . . . . .</w:t>
            </w:r>
          </w:p>
        </w:tc>
        <w:tc>
          <w:tcPr>
            <w:tcW w:w="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84,342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26.76</w:t>
            </w:r>
          </w:p>
        </w:tc>
        <w:tc>
          <w:tcPr>
            <w:tcW w:w="34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180" w:firstLine="394"/>
        <w:spacing w:after="0" w:line="250" w:lineRule="auto"/>
        <w:rPr>
          <w:sz w:val="20"/>
          <w:szCs w:val="20"/>
          <w:color w:val="auto"/>
        </w:rPr>
      </w:pPr>
      <w:r>
        <w:rPr>
          <w:rFonts w:ascii="Times New Roman" w:cs="Times New Roman" w:eastAsia="Times New Roman" w:hAnsi="Times New Roman"/>
          <w:sz w:val="20"/>
          <w:szCs w:val="20"/>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39" w:lineRule="exact"/>
        <w:rPr>
          <w:sz w:val="20"/>
          <w:szCs w:val="20"/>
          <w:color w:val="auto"/>
        </w:rPr>
      </w:pPr>
    </w:p>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For the years ended December 31, 2022, 2021, and 2020 the Company recorded stock-based compensation expense related to the Plan of $2.8 million, $1.6 million and $1.3 million, respectively.</w:t>
      </w:r>
    </w:p>
    <w:p>
      <w:pPr>
        <w:spacing w:after="0" w:line="143" w:lineRule="exact"/>
        <w:rPr>
          <w:sz w:val="20"/>
          <w:szCs w:val="20"/>
          <w:color w:val="auto"/>
        </w:rPr>
      </w:pPr>
    </w:p>
    <w:p>
      <w:pPr>
        <w:jc w:val="both"/>
        <w:ind w:right="180" w:firstLine="394"/>
        <w:spacing w:after="0" w:line="252" w:lineRule="auto"/>
        <w:rPr>
          <w:sz w:val="20"/>
          <w:szCs w:val="20"/>
          <w:color w:val="auto"/>
        </w:rPr>
      </w:pPr>
      <w:r>
        <w:rPr>
          <w:rFonts w:ascii="Times New Roman" w:cs="Times New Roman" w:eastAsia="Times New Roman" w:hAnsi="Times New Roman"/>
          <w:sz w:val="20"/>
          <w:szCs w:val="20"/>
          <w:color w:val="auto"/>
        </w:rPr>
        <w:t>The total unrecognized compensation cost for the awards outstanding under the Plan at December 31, 2022 was $2.5 million and will be recognized over a weighted average remaining period of 1.61 years. The total fair value of restricted stock units vested during the years ended December 31, 2022, 2021, and 2020 was $601 thousand, $489 thousand, and $489 thousand, respectively.</w:t>
      </w:r>
    </w:p>
    <w:p>
      <w:pPr>
        <w:spacing w:after="0" w:line="362" w:lineRule="exact"/>
        <w:rPr>
          <w:sz w:val="20"/>
          <w:szCs w:val="20"/>
          <w:color w:val="auto"/>
        </w:rPr>
      </w:pPr>
    </w:p>
    <w:p>
      <w:pPr>
        <w:ind w:left="440" w:hanging="434"/>
        <w:spacing w:after="0"/>
        <w:tabs>
          <w:tab w:leader="none" w:pos="44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INCOME TAXES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components of income tax expense (benefit) was as follows for the periods indicated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292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3"/>
        </w:trPr>
        <w:tc>
          <w:tcPr>
            <w:tcW w:w="6380" w:type="dxa"/>
            <w:vAlign w:val="bottom"/>
          </w:tcPr>
          <w:p>
            <w:pPr>
              <w:spacing w:after="0"/>
              <w:rPr>
                <w:sz w:val="15"/>
                <w:szCs w:val="15"/>
                <w:color w:val="auto"/>
              </w:rPr>
            </w:pPr>
          </w:p>
        </w:tc>
        <w:tc>
          <w:tcPr>
            <w:tcW w:w="640" w:type="dxa"/>
            <w:vAlign w:val="bottom"/>
            <w:tcBorders>
              <w:top w:val="single" w:sz="8" w:color="auto"/>
            </w:tcBorders>
          </w:tcPr>
          <w:p>
            <w:pPr>
              <w:jc w:val="right"/>
              <w:ind w:right="6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top w:val="single" w:sz="8" w:color="auto"/>
            </w:tcBorders>
            <w:gridSpan w:val="2"/>
          </w:tcPr>
          <w:p>
            <w:pPr>
              <w:jc w:val="right"/>
              <w:ind w:right="6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100" w:type="dxa"/>
            <w:vAlign w:val="bottom"/>
            <w:tcBorders>
              <w:top w:val="single" w:sz="8" w:color="auto"/>
            </w:tcBorders>
            <w:gridSpan w:val="2"/>
          </w:tcPr>
          <w:p>
            <w:pPr>
              <w:jc w:val="right"/>
              <w:ind w:right="61"/>
              <w:spacing w:after="0" w:line="174"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5"/>
                <w:szCs w:val="15"/>
                <w:color w:val="auto"/>
              </w:rPr>
            </w:pPr>
          </w:p>
        </w:tc>
      </w:tr>
      <w:tr>
        <w:trPr>
          <w:trHeight w:val="251"/>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Current expense</w:t>
            </w:r>
          </w:p>
        </w:tc>
        <w:tc>
          <w:tcPr>
            <w:tcW w:w="6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380" w:type="dxa"/>
            <w:vAlign w:val="bottom"/>
          </w:tcPr>
          <w:p>
            <w:pPr>
              <w:jc w:val="right"/>
              <w:ind w:right="361"/>
              <w:spacing w:after="0" w:line="216" w:lineRule="exact"/>
              <w:rPr>
                <w:sz w:val="20"/>
                <w:szCs w:val="20"/>
                <w:color w:val="auto"/>
              </w:rPr>
            </w:pPr>
            <w:r>
              <w:rPr>
                <w:rFonts w:ascii="Times New Roman" w:cs="Times New Roman" w:eastAsia="Times New Roman" w:hAnsi="Times New Roman"/>
                <w:sz w:val="20"/>
                <w:szCs w:val="20"/>
                <w:color w:val="auto"/>
              </w:rPr>
              <w:t>Federal . . . . . . . . . . . . . . . . . . . . . . . . . . . . . . . . . . . . . . . . . . . . . . . . . . . .</w:t>
            </w: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5"/>
              </w:rPr>
              <w:t>$13,250</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$12,834</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$12,590</w:t>
            </w:r>
          </w:p>
        </w:tc>
        <w:tc>
          <w:tcPr>
            <w:tcW w:w="80" w:type="dxa"/>
            <w:vAlign w:val="bottom"/>
          </w:tcPr>
          <w:p>
            <w:pPr>
              <w:spacing w:after="0"/>
              <w:rPr>
                <w:sz w:val="18"/>
                <w:szCs w:val="18"/>
                <w:color w:val="auto"/>
              </w:rPr>
            </w:pPr>
          </w:p>
        </w:tc>
      </w:tr>
      <w:tr>
        <w:trPr>
          <w:trHeight w:val="216"/>
        </w:trPr>
        <w:tc>
          <w:tcPr>
            <w:tcW w:w="6380" w:type="dxa"/>
            <w:vAlign w:val="bottom"/>
          </w:tcPr>
          <w:p>
            <w:pPr>
              <w:jc w:val="right"/>
              <w:ind w:right="361"/>
              <w:spacing w:after="0" w:line="216" w:lineRule="exact"/>
              <w:rPr>
                <w:sz w:val="20"/>
                <w:szCs w:val="20"/>
                <w:color w:val="auto"/>
              </w:rPr>
            </w:pPr>
            <w:r>
              <w:rPr>
                <w:rFonts w:ascii="Times New Roman" w:cs="Times New Roman" w:eastAsia="Times New Roman" w:hAnsi="Times New Roman"/>
                <w:sz w:val="20"/>
                <w:szCs w:val="20"/>
                <w:color w:val="auto"/>
              </w:rPr>
              <w:t>State . . . . . . . . . . . . . . . . . . . . . . . . . . . . . . . . . . . . . . . . . . . . . . . . . . . . . .</w:t>
            </w:r>
          </w:p>
        </w:tc>
        <w:tc>
          <w:tcPr>
            <w:tcW w:w="6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302</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220</w:t>
            </w:r>
          </w:p>
        </w:tc>
        <w:tc>
          <w:tcPr>
            <w:tcW w:w="1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248</w:t>
            </w:r>
          </w:p>
        </w:tc>
        <w:tc>
          <w:tcPr>
            <w:tcW w:w="80" w:type="dxa"/>
            <w:vAlign w:val="bottom"/>
          </w:tcPr>
          <w:p>
            <w:pPr>
              <w:spacing w:after="0"/>
              <w:rPr>
                <w:sz w:val="18"/>
                <w:szCs w:val="18"/>
                <w:color w:val="auto"/>
              </w:rPr>
            </w:pPr>
          </w:p>
        </w:tc>
      </w:tr>
      <w:tr>
        <w:trPr>
          <w:trHeight w:val="216"/>
        </w:trPr>
        <w:tc>
          <w:tcPr>
            <w:tcW w:w="63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Deferred expense (benefit)</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6380" w:type="dxa"/>
            <w:vAlign w:val="bottom"/>
          </w:tcPr>
          <w:p>
            <w:pPr>
              <w:jc w:val="right"/>
              <w:ind w:right="361"/>
              <w:spacing w:after="0" w:line="215" w:lineRule="exact"/>
              <w:rPr>
                <w:sz w:val="20"/>
                <w:szCs w:val="20"/>
                <w:color w:val="auto"/>
              </w:rPr>
            </w:pPr>
            <w:r>
              <w:rPr>
                <w:rFonts w:ascii="Times New Roman" w:cs="Times New Roman" w:eastAsia="Times New Roman" w:hAnsi="Times New Roman"/>
                <w:sz w:val="20"/>
                <w:szCs w:val="20"/>
                <w:color w:val="auto"/>
              </w:rPr>
              <w:t>Federal . . . . . . . . . . . . . . . . . . . . . . . . . . . . . . . . . . . . . . . . . . . . . . . . . . . .</w:t>
            </w: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1,359</w:t>
            </w:r>
          </w:p>
        </w:tc>
        <w:tc>
          <w:tcPr>
            <w:tcW w:w="4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1,453</w:t>
            </w:r>
          </w:p>
        </w:tc>
        <w:tc>
          <w:tcPr>
            <w:tcW w:w="46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(1,588)</w:t>
            </w:r>
          </w:p>
        </w:tc>
      </w:tr>
      <w:tr>
        <w:trPr>
          <w:trHeight w:val="245"/>
        </w:trPr>
        <w:tc>
          <w:tcPr>
            <w:tcW w:w="638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14,911</w:t>
            </w:r>
          </w:p>
        </w:tc>
        <w:tc>
          <w:tcPr>
            <w:tcW w:w="46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14,507</w:t>
            </w:r>
          </w:p>
        </w:tc>
        <w:tc>
          <w:tcPr>
            <w:tcW w:w="46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11,250</w:t>
            </w:r>
          </w:p>
        </w:tc>
        <w:tc>
          <w:tcPr>
            <w:tcW w:w="80" w:type="dxa"/>
            <w:vAlign w:val="bottom"/>
          </w:tcPr>
          <w:p>
            <w:pPr>
              <w:spacing w:after="0"/>
              <w:rPr>
                <w:sz w:val="21"/>
                <w:szCs w:val="21"/>
                <w:color w:val="auto"/>
              </w:rPr>
            </w:pPr>
          </w:p>
        </w:tc>
      </w:tr>
      <w:tr>
        <w:trPr>
          <w:trHeight w:val="20"/>
        </w:trPr>
        <w:tc>
          <w:tcPr>
            <w:tcW w:w="6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400"/>
          </w:cols>
          <w:pgMar w:left="1400" w:top="912" w:right="126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104</w:t>
      </w:r>
    </w:p>
    <w:p>
      <w:pPr>
        <w:sectPr>
          <w:pgSz w:w="12060" w:h="15667" w:orient="portrait"/>
          <w:cols w:equalWidth="0" w:num="1">
            <w:col w:w="9400"/>
          </w:cols>
          <w:pgMar w:left="1400" w:top="912" w:right="1267" w:bottom="204" w:gutter="0" w:footer="0" w:header="0"/>
          <w:type w:val="continuous"/>
        </w:sectPr>
      </w:pPr>
    </w:p>
    <w:bookmarkStart w:id="117" w:name="page118"/>
    <w:bookmarkEnd w:id="117"/>
    <w:p>
      <w:pPr>
        <w:jc w:val="both"/>
        <w:ind w:right="180" w:firstLine="394"/>
        <w:spacing w:after="0" w:line="244" w:lineRule="auto"/>
        <w:rPr>
          <w:sz w:val="20"/>
          <w:szCs w:val="20"/>
          <w:color w:val="auto"/>
        </w:rPr>
      </w:pPr>
      <w:r>
        <w:rPr>
          <w:rFonts w:ascii="Times New Roman" w:cs="Times New Roman" w:eastAsia="Times New Roman" w:hAnsi="Times New Roman"/>
          <w:sz w:val="20"/>
          <w:szCs w:val="20"/>
          <w:color w:val="auto"/>
        </w:rPr>
        <w:t>Effective tax rates differ from the federal statutory rate of 21% applied to income before income taxes due to the following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tcBorders>
              <w:bottom w:val="single" w:sz="8" w:color="auto"/>
            </w:tcBorders>
            <w:gridSpan w:val="11"/>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ind w:right="69"/>
              <w:spacing w:after="0" w:line="176" w:lineRule="exact"/>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3"/>
              <w:spacing w:after="0" w:line="176"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Federal statutory rate times financial statement income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$15,362</w:t>
            </w:r>
          </w:p>
        </w:tc>
        <w:tc>
          <w:tcPr>
            <w:tcW w:w="4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$15,355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$11,887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Effect of:</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Tax-exempt income . . . . . . . . . . . . . . . . . . . . . . . . . . . . . . . . . . . . . . . . . .</w:t>
            </w:r>
          </w:p>
        </w:tc>
        <w:tc>
          <w:tcPr>
            <w:tcW w:w="1120" w:type="dxa"/>
            <w:vAlign w:val="bottom"/>
            <w:gridSpan w:val="3"/>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(953)</w:t>
            </w:r>
          </w:p>
        </w:tc>
        <w:tc>
          <w:tcPr>
            <w:tcW w:w="960" w:type="dxa"/>
            <w:vAlign w:val="bottom"/>
            <w:gridSpan w:val="5"/>
          </w:tcPr>
          <w:p>
            <w:pPr>
              <w:jc w:val="right"/>
              <w:ind w:right="220"/>
              <w:spacing w:after="0" w:line="216" w:lineRule="exact"/>
              <w:rPr>
                <w:sz w:val="20"/>
                <w:szCs w:val="20"/>
                <w:color w:val="auto"/>
              </w:rPr>
            </w:pPr>
            <w:r>
              <w:rPr>
                <w:rFonts w:ascii="Times New Roman" w:cs="Times New Roman" w:eastAsia="Times New Roman" w:hAnsi="Times New Roman"/>
                <w:sz w:val="20"/>
                <w:szCs w:val="20"/>
                <w:color w:val="auto"/>
              </w:rPr>
              <w:t>(978)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(863)</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State taxes, net of federal benefit . . . . . . . . . . . . . . . . . . . . . . . . . . . . . . .</w:t>
            </w:r>
          </w:p>
        </w:tc>
        <w:tc>
          <w:tcPr>
            <w:tcW w:w="6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239</w:t>
            </w:r>
          </w:p>
        </w:tc>
        <w:tc>
          <w:tcPr>
            <w:tcW w:w="440" w:type="dxa"/>
            <w:vAlign w:val="bottom"/>
          </w:tcPr>
          <w:p>
            <w:pPr>
              <w:spacing w:after="0"/>
              <w:rPr>
                <w:sz w:val="18"/>
                <w:szCs w:val="18"/>
                <w:color w:val="auto"/>
              </w:rPr>
            </w:pP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174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Earnings from bank owned life insurance . . . . . . . . . . . . . . . . . . . . . . . .</w:t>
            </w:r>
          </w:p>
        </w:tc>
        <w:tc>
          <w:tcPr>
            <w:tcW w:w="1120" w:type="dxa"/>
            <w:vAlign w:val="bottom"/>
            <w:gridSpan w:val="3"/>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(251)</w:t>
            </w:r>
          </w:p>
        </w:tc>
        <w:tc>
          <w:tcPr>
            <w:tcW w:w="960" w:type="dxa"/>
            <w:vAlign w:val="bottom"/>
            <w:gridSpan w:val="5"/>
          </w:tcPr>
          <w:p>
            <w:pPr>
              <w:jc w:val="right"/>
              <w:ind w:right="220"/>
              <w:spacing w:after="0" w:line="216" w:lineRule="exact"/>
              <w:rPr>
                <w:sz w:val="20"/>
                <w:szCs w:val="20"/>
                <w:color w:val="auto"/>
              </w:rPr>
            </w:pPr>
            <w:r>
              <w:rPr>
                <w:rFonts w:ascii="Times New Roman" w:cs="Times New Roman" w:eastAsia="Times New Roman" w:hAnsi="Times New Roman"/>
                <w:sz w:val="20"/>
                <w:szCs w:val="20"/>
                <w:color w:val="auto"/>
              </w:rPr>
              <w:t>(262)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(280)</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rPr>
              <w:t>Non-deductible expenses . . . . . . . . . . . . . . . . . . . . . . . . . . . . . . . . . . . . . .</w:t>
            </w:r>
          </w:p>
        </w:tc>
        <w:tc>
          <w:tcPr>
            <w:tcW w:w="6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409</w:t>
            </w:r>
          </w:p>
        </w:tc>
        <w:tc>
          <w:tcPr>
            <w:tcW w:w="440" w:type="dxa"/>
            <w:vAlign w:val="bottom"/>
          </w:tcPr>
          <w:p>
            <w:pPr>
              <w:spacing w:after="0"/>
              <w:rPr>
                <w:sz w:val="18"/>
                <w:szCs w:val="18"/>
                <w:color w:val="auto"/>
              </w:rPr>
            </w:pP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281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Other, net . . . . . . . . . . . . . . . . . . . . . . . . . . . . . . . . . . . . . . . . . . . . . . . . . .</w:t>
            </w:r>
          </w:p>
        </w:tc>
        <w:tc>
          <w:tcPr>
            <w:tcW w:w="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right"/>
              <w:ind w:right="220"/>
              <w:spacing w:after="0" w:line="215" w:lineRule="exact"/>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w:t>
            </w: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14,911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14,507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11,250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 . . . . . . . . . . . . . . . . . . . . . . . . . . . . . . . . . . . . . . . . . . . . . .</w:t>
            </w:r>
          </w:p>
        </w:tc>
        <w:tc>
          <w:tcPr>
            <w:tcW w:w="112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rPr>
              <w:t>20.38%</w:t>
            </w: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19.84%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19.87%</w:t>
            </w:r>
          </w:p>
        </w:tc>
        <w:tc>
          <w:tcPr>
            <w:tcW w:w="0" w:type="dxa"/>
            <w:vAlign w:val="bottom"/>
          </w:tcPr>
          <w:p>
            <w:pPr>
              <w:spacing w:after="0"/>
              <w:rPr>
                <w:sz w:val="1"/>
                <w:szCs w:val="1"/>
                <w:color w:val="auto"/>
              </w:rPr>
            </w:pPr>
          </w:p>
        </w:tc>
      </w:tr>
      <w:tr>
        <w:trPr>
          <w:trHeight w:val="379"/>
        </w:trPr>
        <w:tc>
          <w:tcPr>
            <w:tcW w:w="9400" w:type="dxa"/>
            <w:vAlign w:val="bottom"/>
            <w:gridSpan w:val="14"/>
          </w:tcPr>
          <w:p>
            <w:pPr>
              <w:ind w:left="400"/>
              <w:spacing w:after="0"/>
              <w:rPr>
                <w:sz w:val="20"/>
                <w:szCs w:val="20"/>
                <w:color w:val="auto"/>
              </w:rPr>
            </w:pPr>
            <w:r>
              <w:rPr>
                <w:rFonts w:ascii="Times New Roman" w:cs="Times New Roman" w:eastAsia="Times New Roman" w:hAnsi="Times New Roman"/>
                <w:sz w:val="20"/>
                <w:szCs w:val="20"/>
                <w:color w:val="auto"/>
              </w:rPr>
              <w:t>Year-end deferred tax assets and liabilities were due to the following as of the periods indicated (dollars in</w:t>
            </w:r>
          </w:p>
        </w:tc>
        <w:tc>
          <w:tcPr>
            <w:tcW w:w="0" w:type="dxa"/>
            <w:vAlign w:val="bottom"/>
          </w:tcPr>
          <w:p>
            <w:pPr>
              <w:spacing w:after="0"/>
              <w:rPr>
                <w:sz w:val="1"/>
                <w:szCs w:val="1"/>
                <w:color w:val="auto"/>
              </w:rPr>
            </w:pPr>
          </w:p>
        </w:tc>
      </w:tr>
      <w:tr>
        <w:trPr>
          <w:trHeight w:val="24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thousands):</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6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9"/>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Borders>
              <w:top w:val="single" w:sz="8" w:color="auto"/>
              <w:bottom w:val="single" w:sz="8" w:color="auto"/>
            </w:tcBorders>
            <w:gridSpan w:val="2"/>
          </w:tcPr>
          <w:p>
            <w:pPr>
              <w:jc w:val="right"/>
              <w:ind w:right="49"/>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83"/>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9"/>
              </w:rPr>
              <w:t>Allowance for loan losses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  8,251</w:t>
            </w:r>
          </w:p>
        </w:tc>
        <w:tc>
          <w:tcPr>
            <w:tcW w:w="240" w:type="dxa"/>
            <w:vAlign w:val="bottom"/>
          </w:tcPr>
          <w:p>
            <w:pPr>
              <w:spacing w:after="0"/>
              <w:rPr>
                <w:sz w:val="18"/>
                <w:szCs w:val="18"/>
                <w:color w:val="auto"/>
              </w:rPr>
            </w:pPr>
          </w:p>
        </w:tc>
        <w:tc>
          <w:tcPr>
            <w:tcW w:w="2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8,840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9"/>
              </w:rPr>
              <w:t>Deferred compensation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6,118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5,772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Leases. . . . . . . . . . . . . .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201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Nonaccrual loans . . . . .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9"/>
              </w:rPr>
              <w:t>Unrealized gain on available-for-sale securities.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20"/>
              <w:spacing w:after="0" w:line="216" w:lineRule="exact"/>
              <w:rPr>
                <w:sz w:val="20"/>
                <w:szCs w:val="20"/>
                <w:color w:val="auto"/>
              </w:rPr>
            </w:pPr>
            <w:r>
              <w:rPr>
                <w:rFonts w:ascii="Times New Roman" w:cs="Times New Roman" w:eastAsia="Times New Roman" w:hAnsi="Times New Roman"/>
                <w:sz w:val="20"/>
                <w:szCs w:val="20"/>
                <w:color w:val="auto"/>
              </w:rPr>
              <w:t>21,579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63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w w:val="99"/>
              </w:rPr>
              <w:t>Other . . . . . . . . . . . . . . . . . . . . . . . . . . . . . . . . . . . . . . . . . . . . . . . . . . . . . . . . .</w:t>
            </w:r>
          </w:p>
        </w:tc>
        <w:tc>
          <w:tcPr>
            <w:tcW w:w="6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5"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gridSpan w:val="4"/>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deferred tax assets . . . . . . . . . . . . . . . . . . . . . . . . . . . . . . . . . . . . . . . . . . .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36,506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14,835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Depreciation . . . . . . . . .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(2,672)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(2,496)</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Intangibles . . . . . . . . . .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(505)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(586)</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Prepaid expenses . . . . . . .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(355)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9"/>
              </w:rPr>
              <w:t>Mortgage servicing rights . . . . . . . . . . . . . . . . . .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(5,770)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(4,137)</w:t>
            </w: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line="216" w:lineRule="exact"/>
              <w:rPr>
                <w:sz w:val="20"/>
                <w:szCs w:val="20"/>
                <w:color w:val="auto"/>
              </w:rPr>
            </w:pPr>
            <w:r>
              <w:rPr>
                <w:rFonts w:ascii="Times New Roman" w:cs="Times New Roman" w:eastAsia="Times New Roman" w:hAnsi="Times New Roman"/>
                <w:sz w:val="20"/>
                <w:szCs w:val="20"/>
                <w:color w:val="auto"/>
                <w:w w:val="99"/>
              </w:rPr>
              <w:t>Unrealized gain on available-for-sale securities. . . . . . . . . . . . . . . . . . . . . . . .</w:t>
            </w:r>
          </w:p>
        </w:tc>
        <w:tc>
          <w:tcPr>
            <w:tcW w:w="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940" w:type="dxa"/>
            <w:vAlign w:val="bottom"/>
            <w:gridSpan w:val="4"/>
          </w:tcPr>
          <w:p>
            <w:pPr>
              <w:jc w:val="right"/>
              <w:ind w:right="2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(2,438)</w:t>
            </w:r>
          </w:p>
        </w:tc>
        <w:tc>
          <w:tcPr>
            <w:tcW w:w="0" w:type="dxa"/>
            <w:vAlign w:val="bottom"/>
          </w:tcPr>
          <w:p>
            <w:pPr>
              <w:spacing w:after="0"/>
              <w:rPr>
                <w:sz w:val="1"/>
                <w:szCs w:val="1"/>
                <w:color w:val="auto"/>
              </w:rPr>
            </w:pPr>
          </w:p>
        </w:tc>
      </w:tr>
      <w:tr>
        <w:trPr>
          <w:trHeight w:val="215"/>
        </w:trPr>
        <w:tc>
          <w:tcPr>
            <w:tcW w:w="63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w w:val="99"/>
              </w:rPr>
              <w:t>Other . . . . . . . . . . . . . . . . . . . . . . . . . . . . . . . . . . . . . . . . . . . . . . . . . . . . . . . . .</w:t>
            </w:r>
          </w:p>
        </w:tc>
        <w:tc>
          <w:tcPr>
            <w:tcW w:w="68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line="21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(4,386)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(1,593)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deferred tax liabilities . . . . . . . . . . . . . . . . . . . . . . . . . . . . . . . . . . . . . . . .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(13,688)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6"/>
              </w:rPr>
              <w:t>(11,797)</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deferred tax asset . . . . . . . . . . . . . . . . . . . . . . . . . . . . . . . . . . . . . . . . . . . . .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 . . . . . .</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w w:val="97"/>
              </w:rPr>
              <w:t>$ 22,818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14.</w:t>
        <w:tab/>
        <w:t>RELATED-PARTY TRANSACTIONS</w:t>
      </w:r>
    </w:p>
    <w:p>
      <w:pPr>
        <w:spacing w:after="0" w:line="127" w:lineRule="exact"/>
        <w:rPr>
          <w:sz w:val="20"/>
          <w:szCs w:val="20"/>
          <w:color w:val="auto"/>
        </w:rPr>
      </w:pPr>
    </w:p>
    <w:p>
      <w:pPr>
        <w:jc w:val="both"/>
        <w:ind w:right="180" w:firstLine="394"/>
        <w:spacing w:after="0" w:line="252" w:lineRule="auto"/>
        <w:rPr>
          <w:sz w:val="20"/>
          <w:szCs w:val="20"/>
          <w:color w:val="auto"/>
        </w:rPr>
      </w:pPr>
      <w:r>
        <w:rPr>
          <w:rFonts w:ascii="Times New Roman" w:cs="Times New Roman" w:eastAsia="Times New Roman" w:hAnsi="Times New Roman"/>
          <w:sz w:val="20"/>
          <w:szCs w:val="20"/>
          <w:color w:val="auto"/>
        </w:rPr>
        <w:t>Direct and indirect loans to executive officers, directors, significant stockholders and their related affiliates as of December 31, 2022 and 2021 aggregated approximately $9.7 million and $12.2 million, respectively. There were no charge-offs related to these loans in 2022 or 2021 and advance and repayment activity was routine. Deposits from these related parties in the consolidated financial statements were not significant.</w:t>
      </w:r>
    </w:p>
    <w:p>
      <w:pPr>
        <w:spacing w:after="0" w:line="3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15.</w:t>
        <w:tab/>
        <w:t>OFF-BALANCE-SHEET ACTIVITIES, COMMITMENTS AND CONTINGENCIES</w:t>
      </w:r>
    </w:p>
    <w:p>
      <w:pPr>
        <w:spacing w:after="0" w:line="127" w:lineRule="exact"/>
        <w:rPr>
          <w:sz w:val="20"/>
          <w:szCs w:val="20"/>
          <w:color w:val="auto"/>
        </w:rPr>
      </w:pPr>
    </w:p>
    <w:p>
      <w:pPr>
        <w:jc w:val="both"/>
        <w:ind w:right="180" w:firstLine="394"/>
        <w:spacing w:after="0" w:line="254" w:lineRule="auto"/>
        <w:rPr>
          <w:sz w:val="20"/>
          <w:szCs w:val="20"/>
          <w:color w:val="auto"/>
        </w:rPr>
      </w:pPr>
      <w:r>
        <w:rPr>
          <w:rFonts w:ascii="Times New Roman" w:cs="Times New Roman" w:eastAsia="Times New Roman" w:hAnsi="Times New Roman"/>
          <w:sz w:val="20"/>
          <w:szCs w:val="20"/>
          <w:i w:val="1"/>
          <w:iCs w:val="1"/>
          <w:u w:val="single" w:color="auto"/>
          <w:color w:val="auto"/>
        </w:rPr>
        <w:t>Financial instruments with off-balance-sheet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is a party to financial instruments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ectPr>
          <w:pgSz w:w="12060" w:h="15667" w:orient="portrait"/>
          <w:cols w:equalWidth="0" w:num="1">
            <w:col w:w="9400"/>
          </w:cols>
          <w:pgMar w:left="1400" w:top="912" w:right="126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105</w:t>
      </w:r>
    </w:p>
    <w:p>
      <w:pPr>
        <w:sectPr>
          <w:pgSz w:w="12060" w:h="15667" w:orient="portrait"/>
          <w:cols w:equalWidth="0" w:num="1">
            <w:col w:w="9400"/>
          </w:cols>
          <w:pgMar w:left="1400" w:top="912" w:right="1267" w:bottom="204" w:gutter="0" w:footer="0" w:header="0"/>
          <w:type w:val="continuous"/>
        </w:sectPr>
      </w:pPr>
    </w:p>
    <w:bookmarkStart w:id="118" w:name="page119"/>
    <w:bookmarkEnd w:id="118"/>
    <w:p>
      <w:pPr>
        <w:jc w:val="both"/>
        <w:ind w:right="7" w:firstLine="394"/>
        <w:spacing w:after="0" w:line="237" w:lineRule="auto"/>
        <w:rPr>
          <w:sz w:val="20"/>
          <w:szCs w:val="20"/>
          <w:color w:val="auto"/>
        </w:rPr>
      </w:pPr>
      <w:r>
        <w:rPr>
          <w:rFonts w:ascii="Times New Roman" w:cs="Times New Roman" w:eastAsia="Times New Roman" w:hAnsi="Times New Roman"/>
          <w:sz w:val="20"/>
          <w:szCs w:val="20"/>
          <w:color w:val="auto"/>
        </w:rPr>
        <w:t>Financial instruments whose contract amounts represent credit risk outstanding at year-end follow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20" w:type="dxa"/>
            <w:vAlign w:val="bottom"/>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6"/>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to grant loans and unfunded commitments under lines of credit . . . . . .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5"/>
              </w:rPr>
              <w:t>$682,296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$542,338</w:t>
            </w:r>
          </w:p>
        </w:tc>
      </w:tr>
      <w:tr>
        <w:trPr>
          <w:trHeight w:val="25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Standby letters-of-credit . . . . . . . . . . . . . . . . . . . . . . . . . . . . . . . . . . . . . . . . . . . . . . . . . . .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13,864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12,418</w:t>
            </w:r>
          </w:p>
        </w:tc>
      </w:tr>
    </w:tbl>
    <w:p>
      <w:pPr>
        <w:spacing w:after="0" w:line="152"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34" w:lineRule="exact"/>
        <w:rPr>
          <w:sz w:val="20"/>
          <w:szCs w:val="20"/>
          <w:color w:val="auto"/>
        </w:rPr>
      </w:pPr>
    </w:p>
    <w:p>
      <w:pPr>
        <w:jc w:val="both"/>
        <w:ind w:right="7" w:firstLine="394"/>
        <w:spacing w:after="0" w:line="243" w:lineRule="auto"/>
        <w:rPr>
          <w:sz w:val="20"/>
          <w:szCs w:val="20"/>
          <w:color w:val="auto"/>
        </w:rPr>
      </w:pPr>
      <w:r>
        <w:rPr>
          <w:rFonts w:ascii="Times New Roman" w:cs="Times New Roman" w:eastAsia="Times New Roman" w:hAnsi="Times New Roman"/>
          <w:sz w:val="20"/>
          <w:szCs w:val="20"/>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36"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Litigation </w:t>
      </w:r>
      <w:r>
        <w:rPr>
          <w:rFonts w:ascii="Times New Roman" w:cs="Times New Roman" w:eastAsia="Times New Roman" w:hAnsi="Times New Roman"/>
          <w:sz w:val="19"/>
          <w:szCs w:val="19"/>
          <w:color w:val="auto"/>
        </w:rPr>
        <w:t>– In July 2020, a vendor claimed that City Bank had breached a contract by failing to timely pay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amounts allegedly due and owing. City Bank 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On or about September 23, 2022, the parties entered into a Settlement Agreement and Mutual Release, pursuant to which the parties agreed to the settlement and release of all claims and counterclaims in the lawsuit. Thereafter, the parties filed a joint motion to dismiss with prejudice and the court formally dismissed the case by order dated October 7, 2022. A gain contingency was recorded at settlement and that consideration was received on October 3, 2022.</w:t>
      </w:r>
    </w:p>
    <w:p>
      <w:pPr>
        <w:spacing w:after="0" w:line="127" w:lineRule="exact"/>
        <w:rPr>
          <w:sz w:val="20"/>
          <w:szCs w:val="20"/>
          <w:color w:val="auto"/>
        </w:rPr>
      </w:pPr>
    </w:p>
    <w:p>
      <w:pPr>
        <w:jc w:val="both"/>
        <w:ind w:right="7" w:firstLine="394"/>
        <w:spacing w:after="0" w:line="242" w:lineRule="auto"/>
        <w:rPr>
          <w:sz w:val="20"/>
          <w:szCs w:val="20"/>
          <w:color w:val="auto"/>
        </w:rPr>
      </w:pPr>
      <w:r>
        <w:rPr>
          <w:rFonts w:ascii="Times New Roman" w:cs="Times New Roman" w:eastAsia="Times New Roman" w:hAnsi="Times New Roman"/>
          <w:sz w:val="20"/>
          <w:szCs w:val="20"/>
          <w:color w:val="auto"/>
        </w:rPr>
        <w:t>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available to be issued.</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i w:val="1"/>
          <w:iCs w:val="1"/>
          <w:u w:val="single" w:color="auto"/>
          <w:color w:val="auto"/>
        </w:rPr>
        <w:t>FHLB Letters of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The Company has used FHLB letters of credit to pledge to certain public deposits.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FHLB letters of credit outstanding at December 31, 2022 or 2021.</w:t>
      </w:r>
    </w:p>
    <w:p>
      <w:pPr>
        <w:spacing w:after="0" w:line="341" w:lineRule="exact"/>
        <w:rPr>
          <w:sz w:val="20"/>
          <w:szCs w:val="20"/>
          <w:color w:val="auto"/>
        </w:rPr>
      </w:pPr>
    </w:p>
    <w:p>
      <w:pPr>
        <w:ind w:left="520" w:hanging="515"/>
        <w:spacing w:after="0"/>
        <w:tabs>
          <w:tab w:leader="none" w:pos="5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CAPITAL AND REGULATORY MATTERS</w:t>
      </w:r>
    </w:p>
    <w:p>
      <w:pPr>
        <w:spacing w:after="0" w:line="117" w:lineRule="exact"/>
        <w:rPr>
          <w:sz w:val="20"/>
          <w:szCs w:val="20"/>
          <w:color w:val="auto"/>
        </w:rPr>
      </w:pPr>
    </w:p>
    <w:p>
      <w:pPr>
        <w:jc w:val="both"/>
        <w:ind w:right="7" w:firstLine="394"/>
        <w:spacing w:after="0" w:line="245" w:lineRule="auto"/>
        <w:rPr>
          <w:sz w:val="20"/>
          <w:szCs w:val="20"/>
          <w:color w:val="auto"/>
        </w:rPr>
      </w:pPr>
      <w:r>
        <w:rPr>
          <w:rFonts w:ascii="Times New Roman" w:cs="Times New Roman" w:eastAsia="Times New Roman" w:hAnsi="Times New Roman"/>
          <w:sz w:val="20"/>
          <w:szCs w:val="20"/>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34" w:lineRule="exact"/>
        <w:rPr>
          <w:sz w:val="20"/>
          <w:szCs w:val="20"/>
          <w:color w:val="auto"/>
        </w:rPr>
      </w:pPr>
    </w:p>
    <w:p>
      <w:pPr>
        <w:jc w:val="both"/>
        <w:ind w:right="7" w:firstLine="394"/>
        <w:spacing w:after="0" w:line="259" w:lineRule="auto"/>
        <w:rPr>
          <w:sz w:val="20"/>
          <w:szCs w:val="20"/>
          <w:color w:val="auto"/>
        </w:rPr>
      </w:pPr>
      <w:r>
        <w:rPr>
          <w:rFonts w:ascii="Times New Roman" w:cs="Times New Roman" w:eastAsia="Times New Roman" w:hAnsi="Times New Roman"/>
          <w:sz w:val="19"/>
          <w:szCs w:val="19"/>
          <w:color w:val="auto"/>
        </w:rPr>
        <w:t>In July 2013, the Federal Reserve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w:t>
      </w:r>
    </w:p>
    <w:p>
      <w:pPr>
        <w:sectPr>
          <w:pgSz w:w="12060" w:h="15667" w:orient="portrait"/>
          <w:cols w:equalWidth="0" w:num="1">
            <w:col w:w="9227"/>
          </w:cols>
          <w:pgMar w:left="1400" w:top="912" w:right="1440" w:bottom="204"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106</w:t>
      </w:r>
    </w:p>
    <w:p>
      <w:pPr>
        <w:sectPr>
          <w:pgSz w:w="12060" w:h="15667" w:orient="portrait"/>
          <w:cols w:equalWidth="0" w:num="1">
            <w:col w:w="9227"/>
          </w:cols>
          <w:pgMar w:left="1400" w:top="912" w:right="1440" w:bottom="204" w:gutter="0" w:footer="0" w:header="0"/>
          <w:type w:val="continuous"/>
        </w:sectPr>
      </w:pPr>
    </w:p>
    <w:bookmarkStart w:id="119" w:name="page120"/>
    <w:bookmarkEnd w:id="119"/>
    <w:p>
      <w:pPr>
        <w:jc w:val="both"/>
        <w:ind w:right="60"/>
        <w:spacing w:after="0" w:line="250" w:lineRule="auto"/>
        <w:rPr>
          <w:sz w:val="20"/>
          <w:szCs w:val="20"/>
          <w:color w:val="auto"/>
        </w:rPr>
      </w:pPr>
      <w:r>
        <w:rPr>
          <w:rFonts w:ascii="Times New Roman" w:cs="Times New Roman" w:eastAsia="Times New Roman" w:hAnsi="Times New Roman"/>
          <w:sz w:val="20"/>
          <w:szCs w:val="20"/>
          <w:color w:val="auto"/>
        </w:rPr>
        <w:t>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39" w:lineRule="exact"/>
        <w:rPr>
          <w:sz w:val="20"/>
          <w:szCs w:val="20"/>
          <w:color w:val="auto"/>
        </w:rPr>
      </w:pPr>
    </w:p>
    <w:p>
      <w:pPr>
        <w:jc w:val="both"/>
        <w:ind w:right="60" w:firstLine="394"/>
        <w:spacing w:after="0" w:line="253" w:lineRule="auto"/>
        <w:rPr>
          <w:sz w:val="20"/>
          <w:szCs w:val="20"/>
          <w:color w:val="auto"/>
        </w:rPr>
      </w:pPr>
      <w:r>
        <w:rPr>
          <w:rFonts w:ascii="Times New Roman" w:cs="Times New Roman" w:eastAsia="Times New Roman" w:hAnsi="Times New Roman"/>
          <w:sz w:val="20"/>
          <w:szCs w:val="20"/>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2022 and 2021, that the Company and its bank subsidiary met all capital adequacy requirements to which they are subject.</w:t>
      </w:r>
    </w:p>
    <w:p>
      <w:pPr>
        <w:spacing w:after="0" w:line="138" w:lineRule="exact"/>
        <w:rPr>
          <w:sz w:val="20"/>
          <w:szCs w:val="20"/>
          <w:color w:val="auto"/>
        </w:rPr>
      </w:pPr>
    </w:p>
    <w:p>
      <w:pPr>
        <w:jc w:val="both"/>
        <w:ind w:right="60" w:firstLine="394"/>
        <w:spacing w:after="0" w:line="252" w:lineRule="auto"/>
        <w:rPr>
          <w:sz w:val="20"/>
          <w:szCs w:val="20"/>
          <w:color w:val="auto"/>
        </w:rPr>
      </w:pPr>
      <w:r>
        <w:rPr>
          <w:rFonts w:ascii="Times New Roman" w:cs="Times New Roman" w:eastAsia="Times New Roman" w:hAnsi="Times New Roman"/>
          <w:sz w:val="20"/>
          <w:szCs w:val="20"/>
          <w:color w:val="auto"/>
        </w:rPr>
        <w:t>As of December 31, 2022,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2022 that management believes have changed the bank subsidiary’s category.</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and its bank subsidiary’s actual capital amounts and ratios follow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Minimum Required</w:t>
            </w:r>
          </w:p>
        </w:tc>
        <w:tc>
          <w:tcPr>
            <w:tcW w:w="19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To Be Well Capitalized</w:t>
            </w:r>
          </w:p>
        </w:tc>
      </w:tr>
      <w:tr>
        <w:trPr>
          <w:trHeight w:val="177"/>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Under BASEL III</w:t>
            </w:r>
          </w:p>
        </w:tc>
        <w:tc>
          <w:tcPr>
            <w:tcW w:w="1920" w:type="dxa"/>
            <w:vAlign w:val="bottom"/>
            <w:gridSpan w:val="4"/>
          </w:tcPr>
          <w:p>
            <w:pPr>
              <w:jc w:val="center"/>
              <w:ind w:right="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Under Prompt Corrective</w:t>
            </w:r>
          </w:p>
        </w:tc>
      </w:tr>
      <w:tr>
        <w:trPr>
          <w:trHeight w:val="18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gridSpan w:val="2"/>
          </w:tcPr>
          <w:p>
            <w:pPr>
              <w:ind w:left="480"/>
              <w:spacing w:after="0" w:line="181" w:lineRule="exact"/>
              <w:rPr>
                <w:sz w:val="20"/>
                <w:szCs w:val="20"/>
                <w:color w:val="auto"/>
              </w:rPr>
            </w:pPr>
            <w:r>
              <w:rPr>
                <w:rFonts w:ascii="Times New Roman" w:cs="Times New Roman" w:eastAsia="Times New Roman" w:hAnsi="Times New Roman"/>
                <w:sz w:val="16"/>
                <w:szCs w:val="16"/>
                <w:b w:val="1"/>
                <w:bCs w:val="1"/>
                <w:color w:val="auto"/>
                <w:w w:val="96"/>
              </w:rPr>
              <w:t>Actual</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Fully Phased-In</w:t>
            </w:r>
          </w:p>
        </w:tc>
        <w:tc>
          <w:tcPr>
            <w:tcW w:w="240" w:type="dxa"/>
            <w:vAlign w:val="bottom"/>
          </w:tcPr>
          <w:p>
            <w:pPr>
              <w:spacing w:after="0"/>
              <w:rPr>
                <w:sz w:val="15"/>
                <w:szCs w:val="15"/>
                <w:color w:val="auto"/>
              </w:rPr>
            </w:pPr>
          </w:p>
        </w:tc>
        <w:tc>
          <w:tcPr>
            <w:tcW w:w="1860" w:type="dxa"/>
            <w:vAlign w:val="bottom"/>
            <w:tcBorders>
              <w:bottom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Action Provisions</w:t>
            </w:r>
          </w:p>
        </w:tc>
        <w:tc>
          <w:tcPr>
            <w:tcW w:w="60" w:type="dxa"/>
            <w:vAlign w:val="bottom"/>
          </w:tcPr>
          <w:p>
            <w:pPr>
              <w:spacing w:after="0"/>
              <w:rPr>
                <w:sz w:val="15"/>
                <w:szCs w:val="15"/>
                <w:color w:val="auto"/>
              </w:rPr>
            </w:pPr>
          </w:p>
        </w:tc>
      </w:tr>
      <w:tr>
        <w:trPr>
          <w:trHeight w:val="199"/>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96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Ratio</w:t>
            </w:r>
          </w:p>
        </w:tc>
      </w:tr>
      <w:tr>
        <w:trPr>
          <w:trHeight w:val="279"/>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Total Capital to Risk Weighted 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$559,094</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16.58%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$354,045</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454,427</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13.48%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353,967</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$337,112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Tier I Capital to Risk Weighted 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443,265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13.15%</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286,608</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286,545</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269,689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Common Equity Tier 1 to Risk Weighted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3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398,265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11.81%</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236,030</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235,978</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219,122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Tier I Capital to Average 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443,265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11.03%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161,662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414,559</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10.32%</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161,574</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200,774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Total Capital to Risk Weighted 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$524,836</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$299,521</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425,748</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14.93%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299,465</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$285,205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Tier I Capital to Risk Weighted 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413,322</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14.49%</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242,469</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13.67%</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242,424</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8.50%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228,164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Common Equity Tier 1 to Risk Weighted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3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368,322</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12.91%</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199,681</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13.67%</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199,644</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185,383</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483"/>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Tier I Capital to Average Assets: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413,322</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10.77%</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154,592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N/A</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N/A</w:t>
            </w: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City Bank . . . . . . . .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390,015</w:t>
            </w:r>
          </w:p>
        </w:tc>
        <w:tc>
          <w:tcPr>
            <w:tcW w:w="2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10.16%</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154,503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191,859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200" w:lineRule="exact"/>
        <w:rPr>
          <w:sz w:val="20"/>
          <w:szCs w:val="20"/>
          <w:color w:val="auto"/>
        </w:rPr>
      </w:pPr>
    </w:p>
    <w:p>
      <w:pPr>
        <w:sectPr>
          <w:pgSz w:w="12060" w:h="15667" w:orient="portrait"/>
          <w:cols w:equalWidth="0" w:num="1">
            <w:col w:w="9280"/>
          </w:cols>
          <w:pgMar w:left="1400" w:top="912" w:right="1387" w:bottom="204"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107</w:t>
      </w:r>
    </w:p>
    <w:p>
      <w:pPr>
        <w:sectPr>
          <w:pgSz w:w="12060" w:h="15667" w:orient="portrait"/>
          <w:cols w:equalWidth="0" w:num="1">
            <w:col w:w="9280"/>
          </w:cols>
          <w:pgMar w:left="1400" w:top="912" w:right="1387" w:bottom="204" w:gutter="0" w:footer="0" w:header="0"/>
          <w:type w:val="continuous"/>
        </w:sectPr>
      </w:pPr>
    </w:p>
    <w:bookmarkStart w:id="120" w:name="page121"/>
    <w:bookmarkEnd w:id="120"/>
    <w:p>
      <w:pPr>
        <w:jc w:val="both"/>
        <w:ind w:right="80" w:firstLine="394"/>
        <w:spacing w:after="0"/>
        <w:rPr>
          <w:sz w:val="20"/>
          <w:szCs w:val="20"/>
          <w:color w:val="auto"/>
        </w:rPr>
      </w:pPr>
      <w:r>
        <w:rPr>
          <w:rFonts w:ascii="Times New Roman" w:cs="Times New Roman" w:eastAsia="Times New Roman" w:hAnsi="Times New Roman"/>
          <w:sz w:val="20"/>
          <w:szCs w:val="20"/>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17.</w:t>
        <w:tab/>
        <w:t>DERIVATIVES</w:t>
      </w:r>
    </w:p>
    <w:p>
      <w:pPr>
        <w:spacing w:after="0" w:line="117" w:lineRule="exact"/>
        <w:rPr>
          <w:sz w:val="20"/>
          <w:szCs w:val="20"/>
          <w:color w:val="auto"/>
        </w:rPr>
      </w:pPr>
    </w:p>
    <w:p>
      <w:pPr>
        <w:jc w:val="both"/>
        <w:ind w:right="80" w:firstLine="394"/>
        <w:spacing w:after="0" w:line="259" w:lineRule="auto"/>
        <w:rPr>
          <w:sz w:val="20"/>
          <w:szCs w:val="20"/>
          <w:color w:val="auto"/>
        </w:rPr>
      </w:pPr>
      <w:r>
        <w:rPr>
          <w:rFonts w:ascii="Times New Roman" w:cs="Times New Roman" w:eastAsia="Times New Roman" w:hAnsi="Times New Roman"/>
          <w:sz w:val="19"/>
          <w:szCs w:val="19"/>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reflects the changes in fair value hedges included in the Consolidated Statements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(Loss) for the periods indicated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8"/>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Rate Contracts</w:t>
            </w:r>
          </w:p>
        </w:tc>
        <w:tc>
          <w:tcPr>
            <w:tcW w:w="220" w:type="dxa"/>
            <w:vAlign w:val="bottom"/>
          </w:tcPr>
          <w:p>
            <w:pPr>
              <w:spacing w:after="0"/>
              <w:rPr>
                <w:sz w:val="17"/>
                <w:szCs w:val="17"/>
                <w:color w:val="auto"/>
              </w:rPr>
            </w:pP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7"/>
                <w:szCs w:val="17"/>
                <w:color w:val="auto"/>
              </w:rPr>
            </w:pPr>
          </w:p>
        </w:tc>
      </w:tr>
      <w:tr>
        <w:trPr>
          <w:trHeight w:val="27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Change in fair value of interest rate swaps hedging</w:t>
            </w:r>
          </w:p>
        </w:tc>
        <w:tc>
          <w:tcPr>
            <w:tcW w:w="2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45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investment securities. . . . . . . . . . . . . . . . . . . . . . . . . . .</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Other noninterest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$ 14,439</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$ 5,710</w:t>
            </w:r>
          </w:p>
        </w:tc>
        <w:tc>
          <w:tcPr>
            <w:tcW w:w="1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(25)</w:t>
            </w: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hedged investment securities . .</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Other noninterest expense</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(14,607)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(5,812)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80" w:type="dxa"/>
            <w:vAlign w:val="bottom"/>
          </w:tcPr>
          <w:p>
            <w:pPr>
              <w:spacing w:after="0"/>
              <w:rPr>
                <w:sz w:val="20"/>
                <w:szCs w:val="20"/>
                <w:color w:val="auto"/>
              </w:rPr>
            </w:pPr>
          </w:p>
        </w:tc>
      </w:tr>
      <w:tr>
        <w:trPr>
          <w:trHeight w:val="483"/>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interest rate swaps hedging</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4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fixed rate loans . . . . . . . . . . . . . . . . . . . . . . . . . . . . . . .</w:t>
            </w: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Interest income - Loans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(576)</w:t>
            </w:r>
          </w:p>
        </w:tc>
      </w:tr>
      <w:tr>
        <w:trPr>
          <w:trHeight w:val="241"/>
        </w:trPr>
        <w:tc>
          <w:tcPr>
            <w:tcW w:w="4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hedged fixed rate loans . . . . . . .</w:t>
            </w:r>
          </w:p>
        </w:tc>
        <w:tc>
          <w:tcPr>
            <w:tcW w:w="23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Interest income - Loans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80" w:type="dxa"/>
            <w:vAlign w:val="bottom"/>
          </w:tcPr>
          <w:p>
            <w:pPr>
              <w:spacing w:after="0"/>
              <w:rPr>
                <w:sz w:val="20"/>
                <w:szCs w:val="20"/>
                <w:color w:val="auto"/>
              </w:rPr>
            </w:pPr>
          </w:p>
        </w:tc>
      </w:tr>
    </w:tbl>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The following table reflects the fair value hedges included in the Consolidated Balance Sheets as of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6"/>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5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180"/>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8"/>
              <w:spacing w:after="0" w:line="181"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5"/>
                <w:szCs w:val="15"/>
                <w:color w:val="auto"/>
              </w:rPr>
            </w:pPr>
          </w:p>
        </w:tc>
        <w:tc>
          <w:tcPr>
            <w:tcW w:w="94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Value</w:t>
            </w:r>
          </w:p>
        </w:tc>
      </w:tr>
      <w:tr>
        <w:trPr>
          <w:trHeight w:val="279"/>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Included in other liabilities: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41"/>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related to fixed rate loans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3"/>
          </w:tcPr>
          <w:p>
            <w:pPr>
              <w:jc w:val="center"/>
              <w:ind w:left="345"/>
              <w:spacing w:after="0"/>
              <w:rPr>
                <w:sz w:val="20"/>
                <w:szCs w:val="20"/>
                <w:color w:val="auto"/>
              </w:rPr>
            </w:pPr>
            <w:r>
              <w:rPr>
                <w:rFonts w:ascii="Times New Roman" w:cs="Times New Roman" w:eastAsia="Times New Roman" w:hAnsi="Times New Roman"/>
                <w:sz w:val="20"/>
                <w:szCs w:val="20"/>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9,775</w:t>
            </w: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429</w:t>
            </w:r>
          </w:p>
        </w:tc>
      </w:tr>
      <w:tr>
        <w:trPr>
          <w:trHeight w:val="241"/>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related to state and municipal securities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Included in other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1"/>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related to fixed rate loans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5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swaps related to state and municipal securities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123,760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20,125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123,760</w:t>
            </w:r>
          </w:p>
        </w:tc>
        <w:tc>
          <w:tcPr>
            <w:tcW w:w="2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5,686</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Mortgage banking derivatives</w:t>
      </w:r>
    </w:p>
    <w:p>
      <w:pPr>
        <w:spacing w:after="0" w:line="117" w:lineRule="exact"/>
        <w:rPr>
          <w:sz w:val="20"/>
          <w:szCs w:val="20"/>
          <w:color w:val="auto"/>
        </w:rPr>
      </w:pPr>
    </w:p>
    <w:p>
      <w:pPr>
        <w:jc w:val="both"/>
        <w:ind w:right="80" w:firstLine="394"/>
        <w:spacing w:after="0"/>
        <w:rPr>
          <w:sz w:val="20"/>
          <w:szCs w:val="20"/>
          <w:color w:val="auto"/>
        </w:rPr>
      </w:pPr>
      <w:r>
        <w:rPr>
          <w:rFonts w:ascii="Times New Roman" w:cs="Times New Roman" w:eastAsia="Times New Roman" w:hAnsi="Times New Roman"/>
          <w:sz w:val="20"/>
          <w:szCs w:val="20"/>
          <w:color w:val="auto"/>
        </w:rPr>
        <w:t>These derivatives are not designated as hedging instruments. The net gains (losses) relating to free standing derivative instruments used for risk management are summarized below for the periods indicated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mortgage banking</w:t>
            </w:r>
          </w:p>
        </w:tc>
        <w:tc>
          <w:tcPr>
            <w:tcW w:w="10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36"/>
        </w:trPr>
        <w:tc>
          <w:tcPr>
            <w:tcW w:w="3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derivatives . . . . . . . . . . . . . . . . . . . . . . . . .</w:t>
            </w:r>
          </w:p>
        </w:tc>
        <w:tc>
          <w:tcPr>
            <w:tcW w:w="31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Net gain (loss) on sales of loans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$(1,109)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$(1,792)</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w:t>
            </w:r>
          </w:p>
        </w:tc>
      </w:tr>
    </w:tbl>
    <w:p>
      <w:pPr>
        <w:spacing w:after="0" w:line="152" w:lineRule="exact"/>
        <w:rPr>
          <w:sz w:val="20"/>
          <w:szCs w:val="20"/>
          <w:color w:val="auto"/>
        </w:rPr>
      </w:pPr>
    </w:p>
    <w:p>
      <w:pPr>
        <w:jc w:val="both"/>
        <w:ind w:right="80"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reflects the amount and fair value of mortgage banking derivatives in the Consolidated Balance Sheets as of December 31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6"/>
        </w:trPr>
        <w:tc>
          <w:tcPr>
            <w:tcW w:w="598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3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180"/>
        </w:trPr>
        <w:tc>
          <w:tcPr>
            <w:tcW w:w="5980" w:type="dxa"/>
            <w:vAlign w:val="bottom"/>
          </w:tcPr>
          <w:p>
            <w:pPr>
              <w:spacing w:after="0"/>
              <w:rPr>
                <w:sz w:val="15"/>
                <w:szCs w:val="15"/>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89"/>
              </w:rPr>
              <w:t>Value</w:t>
            </w: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6"/>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Value</w:t>
            </w:r>
          </w:p>
        </w:tc>
      </w:tr>
      <w:tr>
        <w:trPr>
          <w:trHeight w:val="289"/>
        </w:trPr>
        <w:tc>
          <w:tcPr>
            <w:tcW w:w="5980" w:type="dxa"/>
            <w:vAlign w:val="bottom"/>
          </w:tcPr>
          <w:p>
            <w:pPr>
              <w:jc w:val="right"/>
              <w:ind w:right="3921"/>
              <w:spacing w:after="0"/>
              <w:rPr>
                <w:sz w:val="20"/>
                <w:szCs w:val="20"/>
                <w:color w:val="auto"/>
              </w:rPr>
            </w:pPr>
            <w:r>
              <w:rPr>
                <w:rFonts w:ascii="Times New Roman" w:cs="Times New Roman" w:eastAsia="Times New Roman" w:hAnsi="Times New Roman"/>
                <w:sz w:val="20"/>
                <w:szCs w:val="20"/>
                <w:color w:val="auto"/>
              </w:rPr>
              <w:t>Included in other assets: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1"/>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Forward contracts related to mortgage loans held for sale.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$23,500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Interest rate lock commitments . . . . . . . . . . . . . . . . . . . . . . . . . . . . .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27,348</w:t>
            </w:r>
          </w:p>
        </w:tc>
        <w:tc>
          <w:tcPr>
            <w:tcW w:w="320" w:type="dxa"/>
            <w:vAlign w:val="bottom"/>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104,437</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1,642</w:t>
            </w:r>
          </w:p>
        </w:tc>
      </w:tr>
      <w:tr>
        <w:trPr>
          <w:trHeight w:val="281"/>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Total included in other assets.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50,848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555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104,437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1,642</w:t>
            </w:r>
          </w:p>
        </w:tc>
      </w:tr>
      <w:tr>
        <w:trPr>
          <w:trHeight w:val="20"/>
        </w:trPr>
        <w:tc>
          <w:tcPr>
            <w:tcW w:w="5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300"/>
          </w:cols>
          <w:pgMar w:left="1400" w:top="912" w:right="1367" w:bottom="204"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108</w:t>
      </w:r>
    </w:p>
    <w:p>
      <w:pPr>
        <w:sectPr>
          <w:pgSz w:w="12060" w:h="15667" w:orient="portrait"/>
          <w:cols w:equalWidth="0" w:num="1">
            <w:col w:w="9300"/>
          </w:cols>
          <w:pgMar w:left="1400" w:top="912" w:right="1367" w:bottom="204"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6"/>
        </w:trPr>
        <w:tc>
          <w:tcPr>
            <w:tcW w:w="5980" w:type="dxa"/>
            <w:vAlign w:val="bottom"/>
          </w:tcPr>
          <w:p>
            <w:pPr>
              <w:spacing w:after="0"/>
              <w:rPr>
                <w:sz w:val="17"/>
                <w:szCs w:val="17"/>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Fair</w:t>
            </w:r>
          </w:p>
        </w:tc>
      </w:tr>
      <w:tr>
        <w:trPr>
          <w:trHeight w:val="180"/>
        </w:trPr>
        <w:tc>
          <w:tcPr>
            <w:tcW w:w="5980" w:type="dxa"/>
            <w:vAlign w:val="bottom"/>
          </w:tcPr>
          <w:p>
            <w:pPr>
              <w:spacing w:after="0"/>
              <w:rPr>
                <w:sz w:val="15"/>
                <w:szCs w:val="15"/>
                <w:color w:val="auto"/>
              </w:rPr>
            </w:pPr>
          </w:p>
        </w:tc>
        <w:tc>
          <w:tcPr>
            <w:tcW w:w="640" w:type="dxa"/>
            <w:vAlign w:val="bottom"/>
            <w:tcBorders>
              <w:bottom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Pr>
          <w:p>
            <w:pPr>
              <w:spacing w:after="0"/>
              <w:rPr>
                <w:sz w:val="15"/>
                <w:szCs w:val="15"/>
                <w:color w:val="auto"/>
              </w:rPr>
            </w:pPr>
          </w:p>
        </w:tc>
        <w:tc>
          <w:tcPr>
            <w:tcW w:w="4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89"/>
              </w:rPr>
              <w:t>Value</w:t>
            </w: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540"/>
        </w:trPr>
        <w:tc>
          <w:tcPr>
            <w:tcW w:w="5980" w:type="dxa"/>
            <w:vAlign w:val="bottom"/>
          </w:tcPr>
          <w:p>
            <w:pPr>
              <w:jc w:val="right"/>
              <w:ind w:right="3641"/>
              <w:spacing w:after="0"/>
              <w:rPr>
                <w:sz w:val="20"/>
                <w:szCs w:val="20"/>
                <w:color w:val="auto"/>
              </w:rPr>
            </w:pPr>
            <w:r>
              <w:rPr>
                <w:rFonts w:ascii="Times New Roman" w:cs="Times New Roman" w:eastAsia="Times New Roman" w:hAnsi="Times New Roman"/>
                <w:sz w:val="20"/>
                <w:szCs w:val="20"/>
                <w:color w:val="auto"/>
              </w:rPr>
              <w:t>Included in other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1"/>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Forward contracts related to mortgage loans held for sale. . . . . .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$5,615</w:t>
            </w:r>
          </w:p>
        </w:tc>
        <w:tc>
          <w:tcPr>
            <w:tcW w:w="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980" w:type="dxa"/>
            <w:vAlign w:val="bottom"/>
            <w:gridSpan w:val="3"/>
          </w:tcPr>
          <w:p>
            <w:pPr>
              <w:jc w:val="center"/>
              <w:ind w:left="241"/>
              <w:spacing w:after="0"/>
              <w:rPr>
                <w:sz w:val="20"/>
                <w:szCs w:val="20"/>
                <w:color w:val="auto"/>
              </w:rPr>
            </w:pPr>
            <w:r>
              <w:rPr>
                <w:rFonts w:ascii="Times New Roman" w:cs="Times New Roman" w:eastAsia="Times New Roman" w:hAnsi="Times New Roman"/>
                <w:sz w:val="20"/>
                <w:szCs w:val="20"/>
                <w:color w:val="auto"/>
                <w:w w:val="98"/>
              </w:rPr>
              <w:t>$93,120</w:t>
            </w:r>
          </w:p>
        </w:tc>
        <w:tc>
          <w:tcPr>
            <w:tcW w:w="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1"/>
                <w:szCs w:val="21"/>
                <w:color w:val="auto"/>
              </w:rPr>
            </w:pPr>
          </w:p>
        </w:tc>
      </w:tr>
      <w:tr>
        <w:trPr>
          <w:trHeight w:val="249"/>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Interest rate lock commitments . . . . . . . . . . . . . . . . . . . . . . . . . . . . . .</w:t>
            </w: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1"/>
        </w:trPr>
        <w:tc>
          <w:tcPr>
            <w:tcW w:w="598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Total included in other liabilities . . . . . . . . . . . . . . . . . . . . . . . .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5,615</w:t>
            </w:r>
          </w:p>
        </w:tc>
        <w:tc>
          <w:tcPr>
            <w:tcW w:w="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128</w:t>
            </w:r>
          </w:p>
        </w:tc>
        <w:tc>
          <w:tcPr>
            <w:tcW w:w="980" w:type="dxa"/>
            <w:vAlign w:val="bottom"/>
            <w:gridSpan w:val="3"/>
          </w:tcPr>
          <w:p>
            <w:pPr>
              <w:jc w:val="center"/>
              <w:ind w:left="241"/>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93,120</w:t>
            </w:r>
          </w:p>
        </w:tc>
        <w:tc>
          <w:tcPr>
            <w:tcW w:w="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r>
      <w:tr>
        <w:trPr>
          <w:trHeight w:val="20"/>
        </w:trPr>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80" w:firstLine="394"/>
        <w:spacing w:after="0" w:line="270" w:lineRule="auto"/>
        <w:rPr>
          <w:sz w:val="20"/>
          <w:szCs w:val="20"/>
          <w:color w:val="auto"/>
        </w:rPr>
      </w:pPr>
      <w:r>
        <w:rPr>
          <w:rFonts w:ascii="Times New Roman" w:cs="Times New Roman" w:eastAsia="Times New Roman" w:hAnsi="Times New Roman"/>
          <w:sz w:val="19"/>
          <w:szCs w:val="19"/>
          <w:color w:val="auto"/>
        </w:rPr>
        <w:t>The Company had received cash collateral of $18.9 and $4.8 million to offset asset derivative positions on its interest rate swaps at December 31, 2022 and 2021, respectively. This amount is reported in other liabilities in the Consolidated Balance Sheets. The Company had advanced $1.1 and 1.1 million to offset liability derivative positions on its interest rate swaps at December 31, 2022 and 2021, respectively. Additionally, the Company had advanced $440 thousand and $440 thousand on its mortgage forward contracts at December 31, 2022 and 2021, respectively. The advanced cash collateral amounts are reported in cash and due from banks in the Consolidated Balance Sheets.</w:t>
      </w:r>
    </w:p>
    <w:p>
      <w:pPr>
        <w:spacing w:after="0" w:line="3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18.</w:t>
        <w:tab/>
        <w:t>PARENT COMPANY ONLY CONDENSED FINANCIAL INFORMATION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Condensed financial information of South Plains Financial, Inc. follows (dollars in thousands):</w:t>
      </w:r>
    </w:p>
    <w:p>
      <w:pPr>
        <w:spacing w:after="0" w:line="3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CONDENSED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ASSETS</w:t>
            </w:r>
          </w:p>
        </w:tc>
        <w:tc>
          <w:tcPr>
            <w:tcW w:w="59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$ 98,996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$ 96,243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 in banking subsidiary . . . . . . . . . . . . . . . . . . . . . . . . . . . . . . . . . . . . . . . .</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373,308</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429,119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Investment in other subsidiary . . . . . . . . . . . . . . . . . . . . . . . . . . . . . . . . . . . . . . . . . .</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 . . . . . .</w:t>
            </w:r>
          </w:p>
        </w:tc>
        <w:tc>
          <w:tcPr>
            <w:tcW w:w="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9,214</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6,013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 . . .</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481,569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531,426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LIABILITIES AND STOCKHOLDERS’ EQUITY</w:t>
            </w:r>
          </w:p>
        </w:tc>
        <w:tc>
          <w:tcPr>
            <w:tcW w:w="26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080" w:type="dxa"/>
            <w:vAlign w:val="bottom"/>
            <w:tcBorders>
              <w:bottom w:val="single" w:sz="8" w:color="auto"/>
            </w:tcBorders>
            <w:gridSpan w:val="2"/>
            <w:vMerge w:val="continue"/>
          </w:tcPr>
          <w:p>
            <w:pPr>
              <w:jc w:val="right"/>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Debt . . . . . . . . . . . . . . . . . . . . . . . . . . . . . . . . . . . . . . . . . . . . . . . . . . . . . . . . . . . . . . .</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$122,354</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$122,168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Accrued expenses and other liabilities . . . . . . . . . . . . . . . . . . . . . . . . . . . . . . . . . . . .</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Stockholders’ equity. . . . . . . . . . . . . . . . . . . . . . . . . . . . . . . . . . . . . . . . . . . . . . . . . . .</w:t>
            </w:r>
          </w:p>
        </w:tc>
        <w:tc>
          <w:tcPr>
            <w:tcW w:w="480" w:type="dxa"/>
            <w:vAlign w:val="bottom"/>
          </w:tcPr>
          <w:p>
            <w:pPr>
              <w:spacing w:after="0"/>
              <w:rPr>
                <w:sz w:val="21"/>
                <w:szCs w:val="21"/>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357,014</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407,427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7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 . . . . . . . . . . .</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481,569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531,426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i w:val="1"/>
                <w:iCs w:val="1"/>
                <w:color w:val="auto"/>
              </w:rPr>
              <w:t>CONDENSED STATEMENTS OF INCOME</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720" w:type="dxa"/>
            <w:vAlign w:val="bottom"/>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gridSpan w:val="11"/>
          </w:tcPr>
          <w:p>
            <w:pPr>
              <w:ind w:lef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gridSpan w:val="2"/>
          </w:tcPr>
          <w:p>
            <w:pPr>
              <w:spacing w:after="0"/>
              <w:rPr>
                <w:sz w:val="18"/>
                <w:szCs w:val="18"/>
                <w:color w:val="auto"/>
              </w:rPr>
            </w:pPr>
          </w:p>
        </w:tc>
        <w:tc>
          <w:tcPr>
            <w:tcW w:w="6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Dividends. . .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$40,375</w:t>
            </w:r>
          </w:p>
        </w:tc>
        <w:tc>
          <w:tcPr>
            <w:tcW w:w="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$48,250</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4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(5,689)</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(4,936)</w:t>
            </w:r>
          </w:p>
        </w:tc>
        <w:tc>
          <w:tcPr>
            <w:tcW w:w="88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w w:val="95"/>
              </w:rPr>
              <w:t>(3,390)</w:t>
            </w:r>
          </w:p>
        </w:tc>
        <w:tc>
          <w:tcPr>
            <w:tcW w:w="0" w:type="dxa"/>
            <w:vAlign w:val="bottom"/>
          </w:tcPr>
          <w:p>
            <w:pPr>
              <w:spacing w:after="0"/>
              <w:rPr>
                <w:sz w:val="1"/>
                <w:szCs w:val="1"/>
                <w:color w:val="auto"/>
              </w:rPr>
            </w:pPr>
          </w:p>
        </w:tc>
      </w:tr>
      <w:tr>
        <w:trPr>
          <w:trHeight w:val="249"/>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expense . . . . . . . . . . . . . . . . . . . . . . . . . . . . . . .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(1,768)</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(1,466)</w:t>
            </w:r>
          </w:p>
        </w:tc>
        <w:tc>
          <w:tcPr>
            <w:tcW w:w="88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w w:val="95"/>
              </w:rPr>
              <w:t>(1,572)</w:t>
            </w:r>
          </w:p>
        </w:tc>
        <w:tc>
          <w:tcPr>
            <w:tcW w:w="0" w:type="dxa"/>
            <w:vAlign w:val="bottom"/>
          </w:tcPr>
          <w:p>
            <w:pPr>
              <w:spacing w:after="0"/>
              <w:rPr>
                <w:sz w:val="1"/>
                <w:szCs w:val="1"/>
                <w:color w:val="auto"/>
              </w:rPr>
            </w:pPr>
          </w:p>
        </w:tc>
      </w:tr>
      <w:tr>
        <w:trPr>
          <w:trHeight w:val="283"/>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before income tax and undistributed subsidiary income . . . . . . . . . . . . .</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32,970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41,874</w:t>
            </w: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benefit . . . . . . . . . . . . . . . . . . . . . . . . . . . . . . . . . . . . . . . . . . . . . . .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(1,339)</w:t>
            </w:r>
          </w:p>
        </w:tc>
        <w:tc>
          <w:tcPr>
            <w:tcW w:w="88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w w:val="95"/>
              </w:rPr>
              <w:t>(1,018)</w:t>
            </w:r>
          </w:p>
        </w:tc>
        <w:tc>
          <w:tcPr>
            <w:tcW w:w="0" w:type="dxa"/>
            <w:vAlign w:val="bottom"/>
          </w:tcPr>
          <w:p>
            <w:pPr>
              <w:spacing w:after="0"/>
              <w:rPr>
                <w:sz w:val="1"/>
                <w:szCs w:val="1"/>
                <w:color w:val="auto"/>
              </w:rPr>
            </w:pPr>
          </w:p>
        </w:tc>
      </w:tr>
      <w:tr>
        <w:trPr>
          <w:trHeight w:val="249"/>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in undistributed subsidiary income. . . . . . . . . . . . . . . . . . . . . . . . . . . . . . .</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23,715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15,401</w:t>
            </w:r>
          </w:p>
        </w:tc>
        <w:tc>
          <w:tcPr>
            <w:tcW w:w="14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5"/>
              </w:rPr>
              <w:t>$</w:t>
            </w:r>
            <w:r>
              <w:rPr>
                <w:rFonts w:ascii="Times New Roman" w:cs="Times New Roman" w:eastAsia="Times New Roman" w:hAnsi="Times New Roman"/>
                <w:sz w:val="20"/>
                <w:szCs w:val="20"/>
                <w:color w:val="auto"/>
                <w:w w:val="95"/>
              </w:rPr>
              <w:t>58,240</w:t>
            </w:r>
          </w:p>
        </w:tc>
        <w:tc>
          <w:tcPr>
            <w:tcW w:w="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58,614</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45,353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300"/>
          </w:cols>
          <w:pgMar w:left="1400" w:top="987" w:right="1367"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109</w:t>
      </w:r>
    </w:p>
    <w:p>
      <w:pPr>
        <w:sectPr>
          <w:pgSz w:w="12060" w:h="15667" w:orient="portrait"/>
          <w:cols w:equalWidth="0" w:num="1">
            <w:col w:w="9300"/>
          </w:cols>
          <w:pgMar w:left="1400" w:top="987" w:right="1367" w:bottom="204" w:gutter="0" w:footer="0" w:header="0"/>
          <w:type w:val="continuous"/>
        </w:sectPr>
      </w:pPr>
    </w:p>
    <w:bookmarkStart w:id="122" w:name="page123"/>
    <w:bookmarkEnd w:id="122"/>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CONDENSED STATEMENTS OF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60" w:type="dxa"/>
            <w:vAlign w:val="bottom"/>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7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6640" w:type="dxa"/>
            <w:vAlign w:val="bottom"/>
          </w:tcPr>
          <w:p>
            <w:pPr>
              <w:jc w:val="right"/>
              <w:ind w:right="3541"/>
              <w:spacing w:after="0"/>
              <w:rPr>
                <w:sz w:val="20"/>
                <w:szCs w:val="20"/>
                <w:color w:val="auto"/>
              </w:rPr>
            </w:pPr>
            <w:r>
              <w:rPr>
                <w:rFonts w:ascii="Times New Roman" w:cs="Times New Roman" w:eastAsia="Times New Roman" w:hAnsi="Times New Roman"/>
                <w:sz w:val="20"/>
                <w:szCs w:val="20"/>
                <w:color w:val="auto"/>
              </w:rPr>
              <w:t>Cash flows from operating activities:</w:t>
            </w:r>
          </w:p>
        </w:tc>
        <w:tc>
          <w:tcPr>
            <w:tcW w:w="70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$ 58,240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$ 58,614</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$ 45,353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5281"/>
              <w:spacing w:after="0"/>
              <w:rPr>
                <w:sz w:val="20"/>
                <w:szCs w:val="20"/>
                <w:color w:val="auto"/>
              </w:rPr>
            </w:pPr>
            <w:r>
              <w:rPr>
                <w:rFonts w:ascii="Times New Roman" w:cs="Times New Roman" w:eastAsia="Times New Roman" w:hAnsi="Times New Roman"/>
                <w:sz w:val="20"/>
                <w:szCs w:val="20"/>
                <w:color w:val="auto"/>
              </w:rPr>
              <w:t>Adjustments: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Equity in undistributed subsidiary income. . . . . . . . . . . . . . . . . . . . . . . . . .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(23,715)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(15,401)</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(28,682)</w:t>
            </w: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Amortization of debt issuance costs.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Stock based compensation . .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Change in other assets . . . . . . . . . . . . . . . . . . . . . . . . . . . . . . . . . . . . . . . . .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(3,201)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r>
        <w:trPr>
          <w:trHeight w:val="229"/>
        </w:trPr>
        <w:tc>
          <w:tcPr>
            <w:tcW w:w="6640" w:type="dxa"/>
            <w:vAlign w:val="bottom"/>
          </w:tcPr>
          <w:p>
            <w:pPr>
              <w:jc w:val="right"/>
              <w:ind w:right="141"/>
              <w:spacing w:after="0" w:line="229" w:lineRule="exact"/>
              <w:rPr>
                <w:sz w:val="20"/>
                <w:szCs w:val="20"/>
                <w:color w:val="auto"/>
              </w:rPr>
            </w:pPr>
            <w:r>
              <w:rPr>
                <w:rFonts w:ascii="Times New Roman" w:cs="Times New Roman" w:eastAsia="Times New Roman" w:hAnsi="Times New Roman"/>
                <w:sz w:val="20"/>
                <w:szCs w:val="20"/>
                <w:color w:val="auto"/>
              </w:rPr>
              <w:t>Change in other liabilities. . . . . . . . . . . . . . . . . . . . . . . . . . . . . . . . . . . . . . . .</w:t>
            </w: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369</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317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34,632</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43,590</w:t>
            </w:r>
          </w:p>
        </w:tc>
        <w:tc>
          <w:tcPr>
            <w:tcW w:w="1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3541"/>
              <w:spacing w:after="0"/>
              <w:rPr>
                <w:sz w:val="20"/>
                <w:szCs w:val="20"/>
                <w:color w:val="auto"/>
              </w:rPr>
            </w:pPr>
            <w:r>
              <w:rPr>
                <w:rFonts w:ascii="Times New Roman" w:cs="Times New Roman" w:eastAsia="Times New Roman" w:hAnsi="Times New Roman"/>
                <w:sz w:val="20"/>
                <w:szCs w:val="20"/>
                <w:color w:val="auto"/>
              </w:rPr>
              <w:t>Cash flows from financing activities: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Proceeds from long-term borrowings . . . . . . . . . . . . . . . . . . . . . . . . . . . . . . .</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49,070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Payments to tax authorities for stock-based compensation . . . . . . . . . . . . .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(1,168)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0" w:type="dxa"/>
            <w:vAlign w:val="bottom"/>
          </w:tcPr>
          <w:p>
            <w:pPr>
              <w:spacing w:after="0"/>
              <w:rPr>
                <w:sz w:val="1"/>
                <w:szCs w:val="1"/>
                <w:color w:val="auto"/>
              </w:rPr>
            </w:pPr>
          </w:p>
        </w:tc>
      </w:tr>
      <w:tr>
        <w:trPr>
          <w:trHeight w:val="232"/>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Payments to repurchase common stock . . . . . . . . . . . . . . . . . . . . . . . . . . . .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(22,699)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(9,227)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0" w:type="dxa"/>
            <w:vAlign w:val="bottom"/>
          </w:tcPr>
          <w:p>
            <w:pPr>
              <w:spacing w:after="0"/>
              <w:rPr>
                <w:sz w:val="1"/>
                <w:szCs w:val="1"/>
                <w:color w:val="auto"/>
              </w:rPr>
            </w:pPr>
          </w:p>
        </w:tc>
      </w:tr>
      <w:tr>
        <w:trPr>
          <w:trHeight w:val="229"/>
        </w:trPr>
        <w:tc>
          <w:tcPr>
            <w:tcW w:w="6640" w:type="dxa"/>
            <w:vAlign w:val="bottom"/>
          </w:tcPr>
          <w:p>
            <w:pPr>
              <w:jc w:val="right"/>
              <w:ind w:right="141"/>
              <w:spacing w:after="0" w:line="229" w:lineRule="exact"/>
              <w:rPr>
                <w:sz w:val="20"/>
                <w:szCs w:val="20"/>
                <w:color w:val="auto"/>
              </w:rPr>
            </w:pPr>
            <w:r>
              <w:rPr>
                <w:rFonts w:ascii="Times New Roman" w:cs="Times New Roman" w:eastAsia="Times New Roman" w:hAnsi="Times New Roman"/>
                <w:sz w:val="20"/>
                <w:szCs w:val="20"/>
                <w:color w:val="auto"/>
              </w:rPr>
              <w:t>Cash dividends paid on common stock . . . . . . . . . . . . . . . . . . . . . . . . . . . . .</w:t>
            </w:r>
          </w:p>
        </w:tc>
        <w:tc>
          <w:tcPr>
            <w:tcW w:w="94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(8,012)</w:t>
            </w:r>
          </w:p>
        </w:tc>
        <w:tc>
          <w:tcPr>
            <w:tcW w:w="8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(5,385)</w:t>
            </w:r>
          </w:p>
        </w:tc>
        <w:tc>
          <w:tcPr>
            <w:tcW w:w="8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(2,528)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Net cash provided by (used in) financing activities . . . . . . . . . . . . . . . . .</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(31,879)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5"/>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Net change in cash and cash equivalents. . . . . . . . . . . . . . . . . . . . . . . . . . . . . . . .</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2,753</w:t>
            </w:r>
          </w:p>
        </w:tc>
        <w:tc>
          <w:tcPr>
            <w:tcW w:w="24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40" w:type="dxa"/>
            <w:vAlign w:val="bottom"/>
          </w:tcPr>
          <w:p>
            <w:pPr>
              <w:jc w:val="right"/>
              <w:ind w:right="141"/>
              <w:spacing w:after="0" w:line="229" w:lineRule="exact"/>
              <w:rPr>
                <w:sz w:val="20"/>
                <w:szCs w:val="20"/>
                <w:color w:val="auto"/>
              </w:rPr>
            </w:pPr>
            <w:r>
              <w:rPr>
                <w:rFonts w:ascii="Times New Roman" w:cs="Times New Roman" w:eastAsia="Times New Roman" w:hAnsi="Times New Roman"/>
                <w:sz w:val="20"/>
                <w:szCs w:val="20"/>
                <w:color w:val="auto"/>
                <w:w w:val="98"/>
              </w:rPr>
              <w:t>Beginning cash and cash equivalents . . . . . . . . . . . . . . . . . . . . . . . . . . . . . . . . . . .</w:t>
            </w: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96,243</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67,890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4,181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Ending cash and cash equivalents . . . . . . . . . . . . . . . . . . . . . . .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$ 98,996</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$ 96,243</w:t>
            </w:r>
          </w:p>
        </w:tc>
        <w:tc>
          <w:tcPr>
            <w:tcW w:w="1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$ 67,890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440" w:hanging="434"/>
        <w:spacing w:after="0"/>
        <w:tabs>
          <w:tab w:leader="none" w:pos="440" w:val="left"/>
        </w:tabs>
        <w:numPr>
          <w:ilvl w:val="0"/>
          <w:numId w:val="3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EARNINGS PER SHARE</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factors used in the earnings per share computation follow (dollars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2"/>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66"/>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45,353</w:t>
            </w:r>
          </w:p>
        </w:tc>
      </w:tr>
      <w:tr>
        <w:trPr>
          <w:trHeight w:val="463"/>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basic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17,373,138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17,953,624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18,054,373</w:t>
            </w:r>
          </w:p>
        </w:tc>
      </w:tr>
      <w:tr>
        <w:trPr>
          <w:trHeight w:val="23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securities: . . . . . . . . . . . . . . . . . . . . . . . . . . . . . . .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 awards . . . . . . . . . . . . . . . . . . . . . . . . . .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646,690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538,594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284,660</w:t>
            </w:r>
          </w:p>
        </w:tc>
      </w:tr>
      <w:tr>
        <w:trPr>
          <w:trHeight w:val="23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diluted . . . . . . . . .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18,019,828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18,492,218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18,339,033</w:t>
            </w:r>
          </w:p>
        </w:tc>
      </w:tr>
      <w:tr>
        <w:trPr>
          <w:trHeight w:val="463"/>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Basic earnings per share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32"/>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Diluted earnings per share.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r>
    </w:tbl>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20.</w:t>
        <w:tab/>
        <w:t>SEGMENT INFORMATION</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Financial results by reportable segment are detailed below for the periods indicated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66"/>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the Year Ended December 31, 2022</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620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Net interest income . . . . . . . . . . . . . . . . . . . . . . . . . . . . . . . . . . . . . . . . . . . .</w:t>
            </w:r>
          </w:p>
        </w:tc>
        <w:tc>
          <w:tcPr>
            <w:tcW w:w="1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138,476</w:t>
            </w:r>
          </w:p>
        </w:tc>
        <w:tc>
          <w:tcPr>
            <w:tcW w:w="160" w:type="dxa"/>
            <w:vAlign w:val="bottom"/>
          </w:tcPr>
          <w:p>
            <w:pPr>
              <w:spacing w:after="0"/>
              <w:rPr>
                <w:sz w:val="18"/>
                <w:szCs w:val="18"/>
                <w:color w:val="auto"/>
              </w:rPr>
            </w:pPr>
          </w:p>
        </w:tc>
        <w:tc>
          <w:tcPr>
            <w:tcW w:w="240" w:type="dxa"/>
            <w:vAlign w:val="bottom"/>
            <w:gridSpan w:val="3"/>
          </w:tcPr>
          <w:p>
            <w:pPr>
              <w:ind w:lef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3"/>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138,476</w:t>
            </w:r>
          </w:p>
        </w:tc>
        <w:tc>
          <w:tcPr>
            <w:tcW w:w="80" w:type="dxa"/>
            <w:vAlign w:val="bottom"/>
          </w:tcPr>
          <w:p>
            <w:pPr>
              <w:spacing w:after="0"/>
              <w:rPr>
                <w:sz w:val="18"/>
                <w:szCs w:val="18"/>
                <w:color w:val="auto"/>
              </w:rPr>
            </w:pPr>
          </w:p>
        </w:tc>
      </w:tr>
      <w:tr>
        <w:trPr>
          <w:trHeight w:val="232"/>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Provision for loan losses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80" w:type="dxa"/>
            <w:vAlign w:val="bottom"/>
          </w:tcPr>
          <w:p>
            <w:pPr>
              <w:spacing w:after="0"/>
              <w:rPr>
                <w:sz w:val="20"/>
                <w:szCs w:val="20"/>
                <w:color w:val="auto"/>
              </w:rPr>
            </w:pPr>
          </w:p>
        </w:tc>
      </w:tr>
      <w:tr>
        <w:trPr>
          <w:trHeight w:val="232"/>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Noninterest income . . . .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10,649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76,145</w:t>
            </w:r>
          </w:p>
        </w:tc>
        <w:tc>
          <w:tcPr>
            <w:tcW w:w="80" w:type="dxa"/>
            <w:vAlign w:val="bottom"/>
          </w:tcPr>
          <w:p>
            <w:pPr>
              <w:spacing w:after="0"/>
              <w:rPr>
                <w:sz w:val="20"/>
                <w:szCs w:val="20"/>
                <w:color w:val="auto"/>
              </w:rPr>
            </w:pPr>
          </w:p>
        </w:tc>
      </w:tr>
      <w:tr>
        <w:trPr>
          <w:trHeight w:val="229"/>
        </w:trPr>
        <w:tc>
          <w:tcPr>
            <w:tcW w:w="62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Noninterest expense. . . . . . . . . . . . . . . . . . . . . . . . . . . . . . . . . . . . . . . . . . . .</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(137,236)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0"/>
                <w:szCs w:val="20"/>
                <w:color w:val="auto"/>
                <w:w w:val="99"/>
              </w:rPr>
              <w:t>(6,853)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(144,089)</w:t>
            </w:r>
          </w:p>
        </w:tc>
      </w:tr>
      <w:tr>
        <w:trPr>
          <w:trHeight w:val="261"/>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 . .</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69,355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73,151</w:t>
            </w:r>
          </w:p>
        </w:tc>
        <w:tc>
          <w:tcPr>
            <w:tcW w:w="80" w:type="dxa"/>
            <w:vAlign w:val="bottom"/>
          </w:tcPr>
          <w:p>
            <w:pPr>
              <w:spacing w:after="0"/>
              <w:rPr>
                <w:sz w:val="22"/>
                <w:szCs w:val="22"/>
                <w:color w:val="auto"/>
              </w:rPr>
            </w:pPr>
          </w:p>
        </w:tc>
      </w:tr>
      <w:tr>
        <w:trPr>
          <w:trHeight w:val="261"/>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w:t>
            </w: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(14,110)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(801)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(14,911)</w:t>
            </w:r>
          </w:p>
        </w:tc>
      </w:tr>
      <w:tr>
        <w:trPr>
          <w:trHeight w:val="20"/>
        </w:trPr>
        <w:tc>
          <w:tcPr>
            <w:tcW w:w="3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1"/>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55,245</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58,240</w:t>
            </w:r>
          </w:p>
        </w:tc>
        <w:tc>
          <w:tcPr>
            <w:tcW w:w="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6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3,929,232</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14,831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3,944,063</w:t>
            </w:r>
          </w:p>
        </w:tc>
        <w:tc>
          <w:tcPr>
            <w:tcW w:w="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060" w:h="15667" w:orient="portrait"/>
          <w:cols w:equalWidth="0" w:num="1">
            <w:col w:w="9300"/>
          </w:cols>
          <w:pgMar w:left="1400" w:top="900" w:right="1367" w:bottom="21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110</w:t>
      </w:r>
    </w:p>
    <w:p>
      <w:pPr>
        <w:sectPr>
          <w:pgSz w:w="12060" w:h="15667" w:orient="portrait"/>
          <w:cols w:equalWidth="0" w:num="1">
            <w:col w:w="9300"/>
          </w:cols>
          <w:pgMar w:left="1400" w:top="900" w:right="1367" w:bottom="214"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9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498"/>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the Year Ended December 31, 2021</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Net interest income (expense). . . . . . . . . . . . . . . . . . . . . . . . . . . . . . . . . . . .</w:t>
            </w:r>
          </w:p>
        </w:tc>
        <w:tc>
          <w:tcPr>
            <w:tcW w:w="24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121,764</w:t>
            </w:r>
          </w:p>
        </w:tc>
        <w:tc>
          <w:tcPr>
            <w:tcW w:w="160" w:type="dxa"/>
            <w:vAlign w:val="bottom"/>
          </w:tcPr>
          <w:p>
            <w:pPr>
              <w:spacing w:after="0"/>
              <w:rPr>
                <w:sz w:val="18"/>
                <w:szCs w:val="18"/>
                <w:color w:val="auto"/>
              </w:rPr>
            </w:pPr>
          </w:p>
        </w:tc>
        <w:tc>
          <w:tcPr>
            <w:tcW w:w="240" w:type="dxa"/>
            <w:vAlign w:val="bottom"/>
            <w:gridSpan w:val="3"/>
          </w:tcPr>
          <w:p>
            <w:pPr>
              <w:ind w:lef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3"/>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121,764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loan losses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Noninterest income . . . .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Noninterest expense. . . . . . . . . . . . . . . . . . . . . . . . . . . . . . . . . . . . . . . . . . . .</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(142,111)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0"/>
                <w:szCs w:val="20"/>
                <w:color w:val="auto"/>
                <w:w w:val="99"/>
              </w:rPr>
              <w:t>(5,919)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(148,030)</w:t>
            </w:r>
          </w:p>
        </w:tc>
        <w:tc>
          <w:tcPr>
            <w:tcW w:w="0" w:type="dxa"/>
            <w:vAlign w:val="bottom"/>
          </w:tcPr>
          <w:p>
            <w:pPr>
              <w:spacing w:after="0"/>
              <w:rPr>
                <w:sz w:val="1"/>
                <w:szCs w:val="1"/>
                <w:color w:val="auto"/>
              </w:rPr>
            </w:pPr>
          </w:p>
        </w:tc>
      </w:tr>
      <w:tr>
        <w:trPr>
          <w:trHeight w:val="261"/>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 . .</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70,905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w:t>
            </w: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(14,091)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56,814</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3,890,751</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11,104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3,901,855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For the Year Ended December 31, 2020</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6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Net interest income (expense). . . . . . . . . . . . . . . . . . . . . . . . . . . . . . . . . . . .</w:t>
            </w:r>
          </w:p>
        </w:tc>
        <w:tc>
          <w:tcPr>
            <w:tcW w:w="24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122,285</w:t>
            </w:r>
          </w:p>
        </w:tc>
        <w:tc>
          <w:tcPr>
            <w:tcW w:w="160" w:type="dxa"/>
            <w:vAlign w:val="bottom"/>
          </w:tcPr>
          <w:p>
            <w:pPr>
              <w:spacing w:after="0"/>
              <w:rPr>
                <w:sz w:val="18"/>
                <w:szCs w:val="18"/>
                <w:color w:val="auto"/>
              </w:rPr>
            </w:pPr>
          </w:p>
        </w:tc>
        <w:tc>
          <w:tcPr>
            <w:tcW w:w="240" w:type="dxa"/>
            <w:vAlign w:val="bottom"/>
            <w:gridSpan w:val="3"/>
          </w:tcPr>
          <w:p>
            <w:pPr>
              <w:ind w:lef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gridSpan w:val="3"/>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122,285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Provision for loan losses . . . . . . . . . . . . . . . . . . . . . . . . . . . . . . . . . . . . . . . .</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(25,570)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(25,570)</w:t>
            </w:r>
          </w:p>
        </w:tc>
        <w:tc>
          <w:tcPr>
            <w:tcW w:w="0" w:type="dxa"/>
            <w:vAlign w:val="bottom"/>
          </w:tcPr>
          <w:p>
            <w:pPr>
              <w:spacing w:after="0"/>
              <w:rPr>
                <w:sz w:val="1"/>
                <w:szCs w:val="1"/>
                <w:color w:val="auto"/>
              </w:rPr>
            </w:pPr>
          </w:p>
        </w:tc>
      </w:tr>
      <w:tr>
        <w:trPr>
          <w:trHeight w:val="232"/>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Noninterest income . . . . . . . . . . . . . . . . . . . . . . . . . . . . . . . . . . . . . . . . . . . .</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auto"/>
              </w:rPr>
              <w:t>Noninterest expense. . . . . . . . . . . . . . . . . . . . . . . . . . . . . . . . . . . . . . . . . . . .</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(135,985)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0"/>
                <w:szCs w:val="20"/>
                <w:color w:val="auto"/>
                <w:w w:val="99"/>
              </w:rPr>
              <w:t>(5,730)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(141,715)</w:t>
            </w:r>
          </w:p>
        </w:tc>
        <w:tc>
          <w:tcPr>
            <w:tcW w:w="0" w:type="dxa"/>
            <w:vAlign w:val="bottom"/>
          </w:tcPr>
          <w:p>
            <w:pPr>
              <w:spacing w:after="0"/>
              <w:rPr>
                <w:sz w:val="1"/>
                <w:szCs w:val="1"/>
                <w:color w:val="auto"/>
              </w:rPr>
            </w:pPr>
          </w:p>
        </w:tc>
      </w:tr>
      <w:tr>
        <w:trPr>
          <w:trHeight w:val="261"/>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before income taxes . . . . . . . . . . . . . . . . . . . . . . . . . . . . . . . . . . . . .</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54,740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 tax (expense) benefit . . . . . . . . . . . . . . . . . . . . . . . . . . . . . . . . . . . .</w:t>
            </w: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(10,804)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(11,250)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43,936</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45,353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3,584,828</w:t>
            </w:r>
          </w:p>
        </w:tc>
        <w:tc>
          <w:tcPr>
            <w:tcW w:w="160" w:type="dxa"/>
            <w:vAlign w:val="bottom"/>
          </w:tcPr>
          <w:p>
            <w:pPr>
              <w:spacing w:after="0"/>
              <w:rPr>
                <w:sz w:val="22"/>
                <w:szCs w:val="22"/>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14,332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3,599,160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440" w:hanging="434"/>
        <w:spacing w:after="0"/>
        <w:tabs>
          <w:tab w:leader="none" w:pos="440" w:val="left"/>
        </w:tabs>
        <w:numPr>
          <w:ilvl w:val="0"/>
          <w:numId w:val="3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ACCUMULATED OTHER COMPREHENSIVE INCOME (LOSS)</w:t>
      </w:r>
    </w:p>
    <w:p>
      <w:pPr>
        <w:spacing w:after="0" w:line="117" w:lineRule="exact"/>
        <w:rPr>
          <w:sz w:val="20"/>
          <w:szCs w:val="20"/>
          <w:color w:val="auto"/>
        </w:rPr>
      </w:pPr>
    </w:p>
    <w:p>
      <w:pPr>
        <w:ind w:right="80"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details the changes in accumulated other comprehensive income (loss) by component, net of tax for the periods indicated (dollars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Unrealized Gains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5"/>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gridSpan w:val="5"/>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Gains and (Losses)</w:t>
            </w:r>
          </w:p>
        </w:tc>
        <w:tc>
          <w:tcPr>
            <w:tcW w:w="1500" w:type="dxa"/>
            <w:vAlign w:val="bottom"/>
            <w:gridSpan w:val="6"/>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8"/>
              </w:rPr>
              <w:t>Securities Available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gridSpan w:val="5"/>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on Cash Flow Hedges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for Sale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6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 the Year Ended December 31, 2022</w:t>
            </w: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Beginning balance . . . . . . . . . . . . . . . . . . . . . . . . . . . . . . . . . . . . . .</w:t>
            </w:r>
          </w:p>
        </w:tc>
        <w:tc>
          <w:tcPr>
            <w:tcW w:w="5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4,532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320"/>
              <w:spacing w:after="0" w:line="214" w:lineRule="exact"/>
              <w:rPr>
                <w:sz w:val="20"/>
                <w:szCs w:val="20"/>
                <w:color w:val="auto"/>
              </w:rPr>
            </w:pPr>
            <w:r>
              <w:rPr>
                <w:rFonts w:ascii="Times New Roman" w:cs="Times New Roman" w:eastAsia="Times New Roman" w:hAnsi="Times New Roman"/>
                <w:sz w:val="20"/>
                <w:szCs w:val="20"/>
                <w:color w:val="auto"/>
              </w:rPr>
              <w:t>9,170</w:t>
            </w:r>
          </w:p>
        </w:tc>
        <w:tc>
          <w:tcPr>
            <w:tcW w:w="80" w:type="dxa"/>
            <w:vAlign w:val="bottom"/>
          </w:tcPr>
          <w:p>
            <w:pPr>
              <w:spacing w:after="0"/>
              <w:rPr>
                <w:sz w:val="18"/>
                <w:szCs w:val="18"/>
                <w:color w:val="auto"/>
              </w:rPr>
            </w:pPr>
          </w:p>
        </w:tc>
        <w:tc>
          <w:tcPr>
            <w:tcW w:w="18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13,702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Other comprehensive income (loss) before reclassification . . .</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4"/>
              </w:rPr>
              <w:t>11,540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w w:val="96"/>
              </w:rPr>
              <w:t>(90,350)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w w:val="96"/>
              </w:rPr>
              <w:t>(78,810)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Amounts reclassified from other comprehensive. . . . . .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Net current period other comprehensive income (loss).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11,540</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(90,350)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(78,810)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Ending balance . . . . . . . . . . . . . . . . . . . . . . . . . . . . . . . .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16,072</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(81,180)</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(65,108)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For the Year Ended December 31, 2021</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8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w w:val="97"/>
              </w:rPr>
              <w:t>Beginning balance . . . . . . . . . . . . . . . . . . . . . . . . . . . . . . . . . . . . . .</w:t>
            </w:r>
          </w:p>
        </w:tc>
        <w:tc>
          <w:tcPr>
            <w:tcW w:w="5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360"/>
              <w:spacing w:after="0" w:line="214" w:lineRule="exact"/>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18"/>
                <w:szCs w:val="18"/>
                <w:color w:val="auto"/>
              </w:rPr>
            </w:pPr>
          </w:p>
        </w:tc>
        <w:tc>
          <w:tcPr>
            <w:tcW w:w="500" w:type="dxa"/>
            <w:vAlign w:val="bottom"/>
            <w:gridSpan w:val="3"/>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320"/>
              <w:spacing w:after="0" w:line="214" w:lineRule="exact"/>
              <w:rPr>
                <w:sz w:val="20"/>
                <w:szCs w:val="20"/>
                <w:color w:val="auto"/>
              </w:rPr>
            </w:pPr>
            <w:r>
              <w:rPr>
                <w:rFonts w:ascii="Times New Roman" w:cs="Times New Roman" w:eastAsia="Times New Roman" w:hAnsi="Times New Roman"/>
                <w:sz w:val="20"/>
                <w:szCs w:val="20"/>
                <w:color w:val="auto"/>
              </w:rPr>
              <w:t>21,399</w:t>
            </w:r>
          </w:p>
        </w:tc>
        <w:tc>
          <w:tcPr>
            <w:tcW w:w="80" w:type="dxa"/>
            <w:vAlign w:val="bottom"/>
          </w:tcPr>
          <w:p>
            <w:pPr>
              <w:spacing w:after="0"/>
              <w:rPr>
                <w:sz w:val="18"/>
                <w:szCs w:val="18"/>
                <w:color w:val="auto"/>
              </w:rPr>
            </w:pPr>
          </w:p>
        </w:tc>
        <w:tc>
          <w:tcPr>
            <w:tcW w:w="18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21,339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Other comprehensive income (loss) before reclassification . . .</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4,592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w w:val="96"/>
              </w:rPr>
              <w:t>(12,229)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(7,637)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Amounts reclassified from other comprehensive. . . . . .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Net current period other comprehensive income (loss).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4,592</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(12,229)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(7,637)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Ending balance . . . . . . . . . . . . . . . . . . . . . . . . . . . . . . . .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9,170</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For the Year Ended December 31, 2020</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8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20"/>
                <w:szCs w:val="20"/>
                <w:color w:val="auto"/>
                <w:w w:val="97"/>
              </w:rPr>
              <w:t>Beginning balance . . . . . . . . . . . . . . . . . . . . . . . . . . . . . . . . . . . . . .</w:t>
            </w:r>
          </w:p>
        </w:tc>
        <w:tc>
          <w:tcPr>
            <w:tcW w:w="52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ind w:right="500"/>
              <w:spacing w:after="0" w:line="214"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3"/>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320"/>
              <w:spacing w:after="0" w:line="214" w:lineRule="exact"/>
              <w:rPr>
                <w:sz w:val="20"/>
                <w:szCs w:val="20"/>
                <w:color w:val="auto"/>
              </w:rPr>
            </w:pPr>
            <w:r>
              <w:rPr>
                <w:rFonts w:ascii="Times New Roman" w:cs="Times New Roman" w:eastAsia="Times New Roman" w:hAnsi="Times New Roman"/>
                <w:sz w:val="20"/>
                <w:szCs w:val="20"/>
                <w:color w:val="auto"/>
              </w:rPr>
              <w:t>958</w:t>
            </w:r>
          </w:p>
        </w:tc>
        <w:tc>
          <w:tcPr>
            <w:tcW w:w="80" w:type="dxa"/>
            <w:vAlign w:val="bottom"/>
          </w:tcPr>
          <w:p>
            <w:pPr>
              <w:spacing w:after="0"/>
              <w:rPr>
                <w:sz w:val="18"/>
                <w:szCs w:val="18"/>
                <w:color w:val="auto"/>
              </w:rPr>
            </w:pPr>
          </w:p>
        </w:tc>
        <w:tc>
          <w:tcPr>
            <w:tcW w:w="18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Other comprehensive income (loss) before reclassification . . .</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line="229" w:lineRule="exact"/>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22,272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22,212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Amounts reclassified from other comprehensive. . . . . .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(1,831)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Net current period other comprehensive income (loss). . . . . . .</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20,441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Ending balance . . . . . . . . . . . . . . . . . . . . . . . . . . . . . . . . . . . . . .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Amounts reclassified are shown on the Consolidated Statements of Comprehensive Income (Loss).</w:t>
      </w:r>
    </w:p>
    <w:p>
      <w:pPr>
        <w:sectPr>
          <w:pgSz w:w="12060" w:h="15667" w:orient="portrait"/>
          <w:cols w:equalWidth="0" w:num="1">
            <w:col w:w="9300"/>
          </w:cols>
          <w:pgMar w:left="1400" w:top="987" w:right="1367" w:bottom="214"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111</w:t>
      </w:r>
    </w:p>
    <w:p>
      <w:pPr>
        <w:sectPr>
          <w:pgSz w:w="12060" w:h="15667" w:orient="portrait"/>
          <w:cols w:equalWidth="0" w:num="1">
            <w:col w:w="9300"/>
          </w:cols>
          <w:pgMar w:left="1400" w:top="987" w:right="1367" w:bottom="214" w:gutter="0" w:footer="0" w:header="0"/>
          <w:type w:val="continuous"/>
        </w:sectPr>
      </w:pPr>
    </w:p>
    <w:bookmarkStart w:id="124" w:name="page125"/>
    <w:bookmarkEnd w:id="124"/>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22.</w:t>
        <w:tab/>
        <w:t>FAIR VALUE DISCLOSURES</w:t>
      </w:r>
    </w:p>
    <w:p>
      <w:pPr>
        <w:spacing w:after="0" w:line="127" w:lineRule="exact"/>
        <w:rPr>
          <w:sz w:val="20"/>
          <w:szCs w:val="20"/>
          <w:color w:val="auto"/>
        </w:rPr>
      </w:pPr>
    </w:p>
    <w:p>
      <w:pPr>
        <w:jc w:val="both"/>
        <w:ind w:right="80" w:firstLine="394"/>
        <w:spacing w:after="0" w:line="255" w:lineRule="auto"/>
        <w:rPr>
          <w:sz w:val="20"/>
          <w:szCs w:val="20"/>
          <w:color w:val="auto"/>
        </w:rPr>
      </w:pPr>
      <w:r>
        <w:rPr>
          <w:rFonts w:ascii="Times New Roman" w:cs="Times New Roman" w:eastAsia="Times New Roman" w:hAnsi="Times New Roman"/>
          <w:sz w:val="20"/>
          <w:szCs w:val="20"/>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36" w:lineRule="exact"/>
        <w:rPr>
          <w:sz w:val="20"/>
          <w:szCs w:val="20"/>
          <w:color w:val="auto"/>
        </w:rPr>
      </w:pPr>
    </w:p>
    <w:p>
      <w:pPr>
        <w:jc w:val="both"/>
        <w:ind w:right="80" w:firstLine="394"/>
        <w:spacing w:after="0" w:line="247" w:lineRule="auto"/>
        <w:rPr>
          <w:sz w:val="20"/>
          <w:szCs w:val="20"/>
          <w:color w:val="auto"/>
        </w:rPr>
      </w:pPr>
      <w:r>
        <w:rPr>
          <w:rFonts w:ascii="Times New Roman" w:cs="Times New Roman" w:eastAsia="Times New Roman" w:hAnsi="Times New Roman"/>
          <w:sz w:val="20"/>
          <w:szCs w:val="20"/>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35" w:lineRule="exact"/>
        <w:rPr>
          <w:sz w:val="20"/>
          <w:szCs w:val="20"/>
          <w:color w:val="auto"/>
        </w:rPr>
      </w:pPr>
    </w:p>
    <w:p>
      <w:pPr>
        <w:ind w:left="800" w:right="80" w:hanging="400"/>
        <w:spacing w:after="0" w:line="229" w:lineRule="auto"/>
        <w:tabs>
          <w:tab w:leader="none" w:pos="80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Level 1 Inputs </w:t>
      </w:r>
      <w:r>
        <w:rPr>
          <w:rFonts w:ascii="Times New Roman" w:cs="Times New Roman" w:eastAsia="Times New Roman" w:hAnsi="Times New Roman"/>
          <w:sz w:val="20"/>
          <w:szCs w:val="20"/>
          <w:color w:val="auto"/>
        </w:rPr>
        <w:t>- Unadjusted quoted prices in active markets for identical assets or liabilities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entity has the ability to access at the measurement date.</w:t>
      </w:r>
    </w:p>
    <w:p>
      <w:pPr>
        <w:spacing w:after="0" w:line="137" w:lineRule="exact"/>
        <w:rPr>
          <w:rFonts w:ascii="Symbol" w:cs="Symbol" w:eastAsia="Symbol" w:hAnsi="Symbol"/>
          <w:sz w:val="20"/>
          <w:szCs w:val="20"/>
          <w:color w:val="auto"/>
        </w:rPr>
      </w:pPr>
    </w:p>
    <w:p>
      <w:pPr>
        <w:jc w:val="both"/>
        <w:ind w:left="800" w:right="80" w:hanging="400"/>
        <w:spacing w:after="0" w:line="241" w:lineRule="auto"/>
        <w:tabs>
          <w:tab w:leader="none" w:pos="80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Level 2 Inputs </w:t>
      </w:r>
      <w:r>
        <w:rPr>
          <w:rFonts w:ascii="Times New Roman" w:cs="Times New Roman" w:eastAsia="Times New Roman" w:hAnsi="Times New Roman"/>
          <w:sz w:val="20"/>
          <w:szCs w:val="20"/>
          <w:color w:val="auto"/>
        </w:rPr>
        <w:t>- Inputs other than quoted prices included in Level 1 that are observable for the asset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36" w:lineRule="exact"/>
        <w:rPr>
          <w:rFonts w:ascii="Symbol" w:cs="Symbol" w:eastAsia="Symbol" w:hAnsi="Symbol"/>
          <w:sz w:val="20"/>
          <w:szCs w:val="20"/>
          <w:color w:val="auto"/>
        </w:rPr>
      </w:pPr>
    </w:p>
    <w:p>
      <w:pPr>
        <w:jc w:val="both"/>
        <w:ind w:left="800" w:right="80" w:hanging="400"/>
        <w:spacing w:after="0" w:line="235" w:lineRule="auto"/>
        <w:tabs>
          <w:tab w:leader="none" w:pos="80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Level 3 Inputs </w:t>
      </w:r>
      <w:r>
        <w:rPr>
          <w:rFonts w:ascii="Times New Roman" w:cs="Times New Roman" w:eastAsia="Times New Roman" w:hAnsi="Times New Roman"/>
          <w:sz w:val="20"/>
          <w:szCs w:val="20"/>
          <w:color w:val="auto"/>
        </w:rPr>
        <w:t>- Significant unobservable inputs for determining the fair values of assets or liabilities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reflect an entity’s own assumptions about the assumptions that market participants would use in pricing the assets or liabilities.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fair value measurements as of December 31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6"/>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80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Assets (liabilities) measured at fair value on a recurring basis: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5800" w:type="dxa"/>
            <w:vAlign w:val="bottom"/>
            <w:gridSpan w:val="2"/>
          </w:tcPr>
          <w:p>
            <w:pPr>
              <w:jc w:val="right"/>
              <w:ind w:right="33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State and municipal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$225,055</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$225,055</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Residential mortgage-backed securities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328,845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328,845</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Commercial mortgage-backed securities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41,967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41,967</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Commercial collateralized mortgage obligations.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75,638</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Asset-backed and other amortizing securities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19,094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19,094</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Other securities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11,112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11,112</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Loans held for sale (mandatory)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10,038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10,038</w:t>
            </w: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Mortgage servicing rights.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4"/>
              </w:rPr>
              <w:t>27,474</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27,474</w:t>
            </w: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Asset derivatives . . .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21,162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21,162</w:t>
            </w: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Liability derivatives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463"/>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 measured at fair value on a non-recurring basis: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Impaired loans . .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4,821</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4,821</w:t>
            </w:r>
          </w:p>
        </w:tc>
      </w:tr>
    </w:tbl>
    <w:p>
      <w:pPr>
        <w:spacing w:after="0" w:line="200" w:lineRule="exact"/>
        <w:rPr>
          <w:sz w:val="20"/>
          <w:szCs w:val="20"/>
          <w:color w:val="auto"/>
        </w:rPr>
      </w:pPr>
    </w:p>
    <w:p>
      <w:pPr>
        <w:sectPr>
          <w:pgSz w:w="12060" w:h="15667" w:orient="portrait"/>
          <w:cols w:equalWidth="0" w:num="1">
            <w:col w:w="9300"/>
          </w:cols>
          <w:pgMar w:left="1400" w:top="900" w:right="1367" w:bottom="214"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112</w:t>
      </w:r>
    </w:p>
    <w:p>
      <w:pPr>
        <w:sectPr>
          <w:pgSz w:w="12060" w:h="15667" w:orient="portrait"/>
          <w:cols w:equalWidth="0" w:num="1">
            <w:col w:w="9300"/>
          </w:cols>
          <w:pgMar w:left="1400" w:top="900" w:right="1367" w:bottom="214"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98"/>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80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Assets (liabilities) measured at fair value on a recurring basis: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5800" w:type="dxa"/>
            <w:vAlign w:val="bottom"/>
            <w:gridSpan w:val="2"/>
          </w:tcPr>
          <w:p>
            <w:pPr>
              <w:jc w:val="right"/>
              <w:ind w:right="3320"/>
              <w:spacing w:after="0"/>
              <w:rPr>
                <w:sz w:val="20"/>
                <w:szCs w:val="20"/>
                <w:color w:val="auto"/>
              </w:rPr>
            </w:pPr>
            <w:r>
              <w:rPr>
                <w:rFonts w:ascii="Times New Roman" w:cs="Times New Roman" w:eastAsia="Times New Roman" w:hAnsi="Times New Roman"/>
                <w:sz w:val="20"/>
                <w:szCs w:val="20"/>
                <w:color w:val="auto"/>
              </w:rPr>
              <w:t>Securities available for sale:</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State and municipal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$275,672</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$275,672</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Residential mortgage-backed securities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251,601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251,601</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Commercial mortgage-backed securities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51,488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51,488</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Commercial collateralized mortgage obligations.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106,320</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Asset-backed and other amortizing securities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26,936</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Other securities . . . .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12,487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12,487</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Loans held for sale (mandatory)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47,593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47,593</w:t>
            </w:r>
          </w:p>
        </w:tc>
        <w:tc>
          <w:tcPr>
            <w:tcW w:w="80" w:type="dxa"/>
            <w:vAlign w:val="bottom"/>
          </w:tcPr>
          <w:p>
            <w:pPr>
              <w:spacing w:after="0"/>
              <w:rPr>
                <w:sz w:val="20"/>
                <w:szCs w:val="20"/>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Mortgage servicing rights.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4"/>
              </w:rPr>
              <w:t>19,700</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19,700</w:t>
            </w: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Asset derivatives . . .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7,328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7,328</w:t>
            </w: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Liability derivatives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(535)</w:t>
            </w:r>
          </w:p>
        </w:tc>
      </w:tr>
      <w:tr>
        <w:trPr>
          <w:trHeight w:val="463"/>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Assets measured at fair value on a non-recurring basis: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2"/>
        </w:trPr>
        <w:tc>
          <w:tcPr>
            <w:tcW w:w="5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Impaired loans . . . . . . . . . . . . . . . . . . . . . . . . . . . . . . . . . . . . . . . . . . .</w:t>
            </w:r>
          </w:p>
        </w:tc>
        <w:tc>
          <w:tcPr>
            <w:tcW w:w="120" w:type="dxa"/>
            <w:vAlign w:val="bottom"/>
          </w:tcPr>
          <w:p>
            <w:pPr>
              <w:spacing w:after="0"/>
              <w:rPr>
                <w:sz w:val="20"/>
                <w:szCs w:val="20"/>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6,427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6,427</w:t>
            </w:r>
          </w:p>
        </w:tc>
        <w:tc>
          <w:tcPr>
            <w:tcW w:w="80" w:type="dxa"/>
            <w:vAlign w:val="bottom"/>
          </w:tcPr>
          <w:p>
            <w:pPr>
              <w:spacing w:after="0"/>
              <w:rPr>
                <w:sz w:val="20"/>
                <w:szCs w:val="20"/>
                <w:color w:val="auto"/>
              </w:rPr>
            </w:pPr>
          </w:p>
        </w:tc>
      </w:tr>
    </w:tbl>
    <w:p>
      <w:pPr>
        <w:spacing w:after="0" w:line="162" w:lineRule="exact"/>
        <w:rPr>
          <w:sz w:val="20"/>
          <w:szCs w:val="20"/>
          <w:color w:val="auto"/>
        </w:rPr>
      </w:pPr>
    </w:p>
    <w:p>
      <w:pPr>
        <w:jc w:val="both"/>
        <w:ind w:right="80" w:firstLine="394"/>
        <w:spacing w:after="0" w:line="244" w:lineRule="auto"/>
        <w:rPr>
          <w:sz w:val="20"/>
          <w:szCs w:val="20"/>
          <w:color w:val="auto"/>
        </w:rPr>
      </w:pP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43" w:lineRule="exact"/>
        <w:rPr>
          <w:sz w:val="20"/>
          <w:szCs w:val="20"/>
          <w:color w:val="auto"/>
        </w:rPr>
      </w:pPr>
    </w:p>
    <w:p>
      <w:pPr>
        <w:jc w:val="both"/>
        <w:ind w:right="80" w:firstLine="394"/>
        <w:spacing w:after="0" w:line="254" w:lineRule="auto"/>
        <w:rPr>
          <w:sz w:val="20"/>
          <w:szCs w:val="20"/>
          <w:color w:val="auto"/>
        </w:rPr>
      </w:pPr>
      <w:r>
        <w:rPr>
          <w:rFonts w:ascii="Times New Roman" w:cs="Times New Roman" w:eastAsia="Times New Roman" w:hAnsi="Times New Roman"/>
          <w:sz w:val="20"/>
          <w:szCs w:val="20"/>
          <w:u w:val="single" w:color="auto"/>
          <w:color w:val="auto"/>
        </w:rPr>
        <w:t>Mortgage servicing rights</w:t>
      </w:r>
      <w:r>
        <w:rPr>
          <w:rFonts w:ascii="Times New Roman" w:cs="Times New Roman" w:eastAsia="Times New Roman" w:hAnsi="Times New Roman"/>
          <w:sz w:val="20"/>
          <w:szCs w:val="20"/>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8 for the Level 3 change activity for the years ended December 31, 2022 and 2021.</w:t>
      </w:r>
    </w:p>
    <w:p>
      <w:pPr>
        <w:spacing w:after="0" w:line="136" w:lineRule="exact"/>
        <w:rPr>
          <w:sz w:val="20"/>
          <w:szCs w:val="20"/>
          <w:color w:val="auto"/>
        </w:rPr>
      </w:pPr>
    </w:p>
    <w:p>
      <w:pPr>
        <w:jc w:val="both"/>
        <w:ind w:right="80" w:firstLine="394"/>
        <w:spacing w:after="0" w:line="244" w:lineRule="auto"/>
        <w:rPr>
          <w:sz w:val="20"/>
          <w:szCs w:val="20"/>
          <w:color w:val="auto"/>
        </w:rPr>
      </w:pPr>
      <w:r>
        <w:rPr>
          <w:rFonts w:ascii="Times New Roman" w:cs="Times New Roman" w:eastAsia="Times New Roman" w:hAnsi="Times New Roman"/>
          <w:sz w:val="20"/>
          <w:szCs w:val="20"/>
          <w:u w:val="single" w:color="auto"/>
          <w:color w:val="auto"/>
        </w:rPr>
        <w:t>Derivatives</w:t>
      </w:r>
      <w:r>
        <w:rPr>
          <w:rFonts w:ascii="Times New Roman" w:cs="Times New Roman" w:eastAsia="Times New Roman" w:hAnsi="Times New Roman"/>
          <w:sz w:val="20"/>
          <w:szCs w:val="20"/>
          <w:color w:val="auto"/>
        </w:rPr>
        <w:t xml:space="preserve"> – Fair value of derivatives is based on valuation models using observable market data as of the measurement date.</w:t>
      </w:r>
    </w:p>
    <w:p>
      <w:pPr>
        <w:spacing w:after="0" w:line="143" w:lineRule="exact"/>
        <w:rPr>
          <w:sz w:val="20"/>
          <w:szCs w:val="20"/>
          <w:color w:val="auto"/>
        </w:rPr>
      </w:pPr>
    </w:p>
    <w:p>
      <w:pPr>
        <w:jc w:val="both"/>
        <w:ind w:right="80" w:firstLine="394"/>
        <w:spacing w:after="0" w:line="250" w:lineRule="auto"/>
        <w:rPr>
          <w:sz w:val="20"/>
          <w:szCs w:val="20"/>
          <w:color w:val="auto"/>
        </w:rPr>
      </w:pPr>
      <w:r>
        <w:rPr>
          <w:rFonts w:ascii="Times New Roman" w:cs="Times New Roman" w:eastAsia="Times New Roman" w:hAnsi="Times New Roman"/>
          <w:sz w:val="20"/>
          <w:szCs w:val="20"/>
          <w:u w:val="single" w:color="auto"/>
          <w:color w:val="auto"/>
        </w:rPr>
        <w:t>Impaired loans</w:t>
      </w:r>
      <w:r>
        <w:rPr>
          <w:rFonts w:ascii="Times New Roman" w:cs="Times New Roman" w:eastAsia="Times New Roman" w:hAnsi="Times New Roman"/>
          <w:sz w:val="20"/>
          <w:szCs w:val="20"/>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Values of Assets Recorded on a Recurring Basis for which the Fair Value Option has been Elected</w:t>
      </w:r>
    </w:p>
    <w:p>
      <w:pPr>
        <w:spacing w:after="0" w:line="127" w:lineRule="exact"/>
        <w:rPr>
          <w:sz w:val="20"/>
          <w:szCs w:val="20"/>
          <w:color w:val="auto"/>
        </w:rPr>
      </w:pPr>
    </w:p>
    <w:p>
      <w:pPr>
        <w:jc w:val="both"/>
        <w:ind w:right="80" w:firstLine="394"/>
        <w:spacing w:after="0" w:line="256" w:lineRule="auto"/>
        <w:rPr>
          <w:sz w:val="20"/>
          <w:szCs w:val="20"/>
          <w:color w:val="auto"/>
        </w:rPr>
      </w:pPr>
      <w:r>
        <w:rPr>
          <w:rFonts w:ascii="Times New Roman" w:cs="Times New Roman" w:eastAsia="Times New Roman" w:hAnsi="Times New Roman"/>
          <w:sz w:val="20"/>
          <w:szCs w:val="20"/>
          <w:u w:val="single" w:color="auto"/>
          <w:color w:val="auto"/>
        </w:rPr>
        <w:t>Loans held for sale (mandatory)</w:t>
      </w:r>
      <w:r>
        <w:rPr>
          <w:rFonts w:ascii="Times New Roman" w:cs="Times New Roman" w:eastAsia="Times New Roman" w:hAnsi="Times New Roman"/>
          <w:sz w:val="20"/>
          <w:szCs w:val="20"/>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For assets for which the fair value option has been elected, the earned current contractual interest payment is recognized in interest income, loan origination costs and fees on fair value option loans are recognized in earnings as incurred and not deferred. At December 31, 2022, and 2021, there were no gains or losses recorded attributable to changes in instrument-specific credit risk. Fair value is determined using quoted prices for similar assets, adjusted for specific attributes of that loan. At December 31,2022 and 2021 the aggregate fair value of loans held for sale for mandatory delivery was $10.0 million and $47.6 million, respectively. The aggregate unpaid principal balance as of the same dates was $9.9 million and $46.4 million, respectively, representing differences between fair value and unpaid principal balance of $163 thousand and $1.2 million, respectively. There were no loans held for sale for mandatory delivery designated as nonaccrual or 90 days or more past due at December 31, 2022 and 2021.</w:t>
      </w:r>
    </w:p>
    <w:p>
      <w:pPr>
        <w:spacing w:after="0" w:line="132" w:lineRule="exact"/>
        <w:rPr>
          <w:sz w:val="20"/>
          <w:szCs w:val="20"/>
          <w:color w:val="auto"/>
        </w:rPr>
      </w:pPr>
    </w:p>
    <w:p>
      <w:pPr>
        <w:jc w:val="both"/>
        <w:ind w:right="80" w:firstLine="394"/>
        <w:spacing w:after="0" w:line="252" w:lineRule="auto"/>
        <w:rPr>
          <w:sz w:val="20"/>
          <w:szCs w:val="20"/>
          <w:color w:val="auto"/>
        </w:rPr>
      </w:pPr>
      <w:r>
        <w:rPr>
          <w:rFonts w:ascii="Times New Roman" w:cs="Times New Roman" w:eastAsia="Times New Roman" w:hAnsi="Times New Roman"/>
          <w:sz w:val="20"/>
          <w:szCs w:val="20"/>
          <w:color w:val="auto"/>
        </w:rPr>
        <w:t>The total fair value option impact on noninterest income for loans held for sale for mandatory delivery is included in Net gain on sales of loans in the consolidated statements of comprehensive income (loss). For the years ended December 31, 2022, 2021, and 2020 this amount totaled $(2.1) million, $(3.4) million, and $4.8 million, respectively.</w:t>
      </w:r>
    </w:p>
    <w:p>
      <w:pPr>
        <w:sectPr>
          <w:pgSz w:w="12060" w:h="15667" w:orient="portrait"/>
          <w:cols w:equalWidth="0" w:num="1">
            <w:col w:w="9300"/>
          </w:cols>
          <w:pgMar w:left="1400" w:top="987" w:right="1367" w:bottom="214"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113</w:t>
      </w:r>
    </w:p>
    <w:p>
      <w:pPr>
        <w:sectPr>
          <w:pgSz w:w="12060" w:h="15667" w:orient="portrait"/>
          <w:cols w:equalWidth="0" w:num="1">
            <w:col w:w="9300"/>
          </w:cols>
          <w:pgMar w:left="1400" w:top="987" w:right="1367" w:bottom="214" w:gutter="0" w:footer="0" w:header="0"/>
          <w:type w:val="continuous"/>
        </w:sectPr>
      </w:pPr>
    </w:p>
    <w:bookmarkStart w:id="126" w:name="page127"/>
    <w:bookmarkEnd w:id="126"/>
    <w:p>
      <w:pPr>
        <w:ind w:right="7" w:firstLine="394"/>
        <w:spacing w:after="0" w:line="237" w:lineRule="auto"/>
        <w:rPr>
          <w:sz w:val="20"/>
          <w:szCs w:val="20"/>
          <w:color w:val="auto"/>
        </w:rPr>
      </w:pPr>
      <w:r>
        <w:rPr>
          <w:rFonts w:ascii="Times New Roman" w:cs="Times New Roman" w:eastAsia="Times New Roman" w:hAnsi="Times New Roman"/>
          <w:sz w:val="20"/>
          <w:szCs w:val="20"/>
          <w:color w:val="auto"/>
        </w:rPr>
        <w:t>The following table presents quantitative information about recurring and non-recurring Level 3 fair value measurements at December 31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6"/>
                <w:szCs w:val="16"/>
                <w:color w:val="auto"/>
              </w:rPr>
            </w:pPr>
          </w:p>
        </w:tc>
        <w:tc>
          <w:tcPr>
            <w:tcW w:w="2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140" w:type="dxa"/>
            <w:vAlign w:val="bottom"/>
          </w:tcPr>
          <w:p>
            <w:pPr>
              <w:spacing w:after="0"/>
              <w:rPr>
                <w:sz w:val="16"/>
                <w:szCs w:val="16"/>
                <w:color w:val="auto"/>
              </w:rPr>
            </w:pPr>
          </w:p>
        </w:tc>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Range of Discounts</w:t>
            </w:r>
          </w:p>
        </w:tc>
      </w:tr>
      <w:tr>
        <w:trPr>
          <w:trHeight w:val="286"/>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3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Non-recurring</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Impaired loans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Third party appraisals or</w:t>
            </w: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Collateral discounts and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20%-100%</w:t>
            </w:r>
          </w:p>
        </w:tc>
      </w:tr>
      <w:tr>
        <w:trPr>
          <w:trHeight w:val="236"/>
        </w:trPr>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inspections</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selling costs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Recurring: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 servicing rights . .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27,474</w:t>
            </w:r>
          </w:p>
        </w:tc>
        <w:tc>
          <w:tcPr>
            <w:tcW w:w="80" w:type="dxa"/>
            <w:vAlign w:val="bottom"/>
          </w:tcPr>
          <w:p>
            <w:pPr>
              <w:spacing w:after="0"/>
              <w:rPr>
                <w:sz w:val="21"/>
                <w:szCs w:val="21"/>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Discounted cash flows</w:t>
            </w: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Constant prepayment rate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7.47%</w:t>
            </w:r>
          </w:p>
        </w:tc>
      </w:tr>
      <w:tr>
        <w:trPr>
          <w:trHeight w:val="251"/>
        </w:trPr>
        <w:tc>
          <w:tcPr>
            <w:tcW w:w="1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9.15%</w:t>
            </w:r>
          </w:p>
        </w:tc>
      </w:tr>
      <w:tr>
        <w:trPr>
          <w:trHeight w:val="50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Non-recurring</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Impaired loans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Third party appraisals or</w:t>
            </w: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Collateral discounts and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20%-100%</w:t>
            </w:r>
          </w:p>
        </w:tc>
      </w:tr>
      <w:tr>
        <w:trPr>
          <w:trHeight w:val="236"/>
        </w:trPr>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inspections</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selling costs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Recurring: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1"/>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Mortgage servicing rights . .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19,700</w:t>
            </w:r>
          </w:p>
        </w:tc>
        <w:tc>
          <w:tcPr>
            <w:tcW w:w="80" w:type="dxa"/>
            <w:vAlign w:val="bottom"/>
          </w:tcPr>
          <w:p>
            <w:pPr>
              <w:spacing w:after="0"/>
              <w:rPr>
                <w:sz w:val="21"/>
                <w:szCs w:val="21"/>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Discounted cash flows</w:t>
            </w: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Constant prepayment rate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12.35%</w:t>
            </w:r>
          </w:p>
        </w:tc>
      </w:tr>
      <w:tr>
        <w:trPr>
          <w:trHeight w:val="251"/>
        </w:trPr>
        <w:tc>
          <w:tcPr>
            <w:tcW w:w="1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9.14%</w:t>
            </w:r>
          </w:p>
        </w:tc>
      </w:tr>
    </w:tbl>
    <w:p>
      <w:pPr>
        <w:spacing w:after="0" w:line="14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The following table summarizes carrying value measurements as of December 31(dollars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0"/>
        </w:trPr>
        <w:tc>
          <w:tcPr>
            <w:tcW w:w="1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5"/>
                <w:szCs w:val="15"/>
                <w:color w:val="auto"/>
              </w:rPr>
            </w:pPr>
          </w:p>
        </w:tc>
        <w:tc>
          <w:tcPr>
            <w:tcW w:w="88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63"/>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86"/>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2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 . . . . . . . . . . . . . . . . . . . .</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Cash and cash equivalents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234,883</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234,883</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234,883</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Loans held for investment, net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2,708,793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4"/>
              </w:rPr>
              <w:t>2,662,609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2,662,609</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Loans held for sale (best efforts).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20,745</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Accrued interest receivable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16,432</w:t>
            </w:r>
          </w:p>
        </w:tc>
      </w:tr>
      <w:tr>
        <w:trPr>
          <w:trHeight w:val="251"/>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1"/>
        </w:trPr>
        <w:tc>
          <w:tcPr>
            <w:tcW w:w="40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Deposits . . . . . . . . . . . . . . . . . . . . . . . . . . . . .</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3,406,430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3,405,222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3,405,222</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Accrued interest payable . .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2,836</w:t>
            </w:r>
          </w:p>
        </w:tc>
      </w:tr>
      <w:tr>
        <w:trPr>
          <w:trHeight w:val="251"/>
        </w:trPr>
        <w:tc>
          <w:tcPr>
            <w:tcW w:w="388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color w:val="auto"/>
              </w:rPr>
              <w:t>Junior subordinated deferrable interest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7"/>
        </w:trPr>
        <w:tc>
          <w:tcPr>
            <w:tcW w:w="40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debentures . . . . . . . . . . . . . . . . . . . . . . . . . .</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34,606</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Subordinated debt. . . . . . . .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70,835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70,835</w:t>
            </w:r>
          </w:p>
        </w:tc>
      </w:tr>
      <w:tr>
        <w:trPr>
          <w:trHeight w:val="502"/>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w w:val="99"/>
              </w:rPr>
              <w:t>December 31, 2021 . . . . . . . . . . . . . . . . . . . . .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1"/>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Cash and cash equivalents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486,821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486,821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486,821</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Loans held for investment, net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7"/>
              </w:rPr>
              <w:t>2,395,479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4"/>
              </w:rPr>
              <w:t>2,397,079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2,397,079</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Loans held for sale (best efforts).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28,914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29,500</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Accrued interest receivable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13,900</w:t>
            </w:r>
          </w:p>
        </w:tc>
      </w:tr>
      <w:tr>
        <w:trPr>
          <w:trHeight w:val="251"/>
        </w:trPr>
        <w:tc>
          <w:tcPr>
            <w:tcW w:w="3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1"/>
        </w:trPr>
        <w:tc>
          <w:tcPr>
            <w:tcW w:w="40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Deposits . . . . . . . . . . . . . . . . . . . . . . . . . . . . .</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7"/>
              </w:rPr>
              <w:t>3,341,222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4"/>
              </w:rPr>
              <w:t>3,004,091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339,797</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3,343,888</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Accrued interest payable . .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1,914</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1,914</w:t>
            </w:r>
          </w:p>
        </w:tc>
      </w:tr>
      <w:tr>
        <w:trPr>
          <w:trHeight w:val="251"/>
        </w:trPr>
        <w:tc>
          <w:tcPr>
            <w:tcW w:w="388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color w:val="auto"/>
              </w:rPr>
              <w:t>Junior subordinated deferrable interest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6"/>
        </w:trPr>
        <w:tc>
          <w:tcPr>
            <w:tcW w:w="4000" w:type="dxa"/>
            <w:vAlign w:val="bottom"/>
            <w:gridSpan w:val="3"/>
          </w:tcPr>
          <w:p>
            <w:pPr>
              <w:jc w:val="right"/>
              <w:ind w:right="121"/>
              <w:spacing w:after="0"/>
              <w:rPr>
                <w:sz w:val="20"/>
                <w:szCs w:val="20"/>
                <w:color w:val="auto"/>
              </w:rPr>
            </w:pPr>
            <w:r>
              <w:rPr>
                <w:rFonts w:ascii="Times New Roman" w:cs="Times New Roman" w:eastAsia="Times New Roman" w:hAnsi="Times New Roman"/>
                <w:sz w:val="20"/>
                <w:szCs w:val="20"/>
                <w:color w:val="auto"/>
              </w:rPr>
              <w:t>debentures . . . . . . . . . . . . . . . . . . . . . . . . . .</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46,393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45,690</w:t>
            </w:r>
          </w:p>
        </w:tc>
      </w:tr>
      <w:tr>
        <w:trPr>
          <w:trHeight w:val="251"/>
        </w:trPr>
        <w:tc>
          <w:tcPr>
            <w:tcW w:w="38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Subordinated debt. . . . . . . . . . . . . . . . . . . . .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75,775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77,939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77,939</w:t>
            </w:r>
          </w:p>
        </w:tc>
      </w:tr>
    </w:tbl>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23.</w:t>
        <w:tab/>
        <w:t>SUBSEQUENT EVENTS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Declaration</w:t>
      </w:r>
    </w:p>
    <w:p>
      <w:pPr>
        <w:spacing w:after="0" w:line="117" w:lineRule="exact"/>
        <w:rPr>
          <w:sz w:val="20"/>
          <w:szCs w:val="20"/>
          <w:color w:val="auto"/>
        </w:rPr>
      </w:pPr>
    </w:p>
    <w:p>
      <w:pPr>
        <w:ind w:right="7" w:firstLine="394"/>
        <w:spacing w:after="0" w:line="236" w:lineRule="auto"/>
        <w:rPr>
          <w:sz w:val="20"/>
          <w:szCs w:val="20"/>
          <w:color w:val="auto"/>
        </w:rPr>
      </w:pPr>
      <w:r>
        <w:rPr>
          <w:rFonts w:ascii="Times New Roman" w:cs="Times New Roman" w:eastAsia="Times New Roman" w:hAnsi="Times New Roman"/>
          <w:sz w:val="20"/>
          <w:szCs w:val="20"/>
          <w:color w:val="auto"/>
        </w:rPr>
        <w:t>On January 19, 2023, the Company declared a cash dividend of $0.13 per share of common stock to be paid on February 13, 2023 to all shareholders of record as of January 30, 2023.</w:t>
      </w:r>
    </w:p>
    <w:p>
      <w:pPr>
        <w:sectPr>
          <w:pgSz w:w="12060" w:h="15667" w:orient="portrait"/>
          <w:cols w:equalWidth="0" w:num="1">
            <w:col w:w="9227"/>
          </w:cols>
          <w:pgMar w:left="1400" w:top="912" w:right="1440" w:bottom="214"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114</w:t>
      </w:r>
    </w:p>
    <w:p>
      <w:pPr>
        <w:sectPr>
          <w:pgSz w:w="12060" w:h="15667" w:orient="portrait"/>
          <w:cols w:equalWidth="0" w:num="1">
            <w:col w:w="9227"/>
          </w:cols>
          <w:pgMar w:left="1400" w:top="912" w:right="1440" w:bottom="214" w:gutter="0" w:footer="0" w:header="0"/>
          <w:type w:val="continuous"/>
        </w:sectPr>
      </w:pPr>
    </w:p>
    <w:bookmarkStart w:id="127" w:name="page128"/>
    <w:bookmarkEnd w:id="127"/>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3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27"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138"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There have been no significant changes in our internal control over financial reporting during the three months ended December 31, 2022 that have materially affected, or are reasonably likely to materially affect, our internal control over financial reporting.</w:t>
      </w:r>
    </w:p>
    <w:p>
      <w:pPr>
        <w:spacing w:after="0" w:line="139"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pacing w:after="0" w:line="139"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u w:val="single" w:color="auto"/>
          <w:color w:val="auto"/>
        </w:rPr>
        <w:t>Report of Management on Internal Control over Financial Reporting</w:t>
      </w:r>
      <w:r>
        <w:rPr>
          <w:rFonts w:ascii="Times New Roman" w:cs="Times New Roman" w:eastAsia="Times New Roman" w:hAnsi="Times New Roman"/>
          <w:sz w:val="20"/>
          <w:szCs w:val="20"/>
          <w:color w:val="auto"/>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138" w:lineRule="exact"/>
        <w:rPr>
          <w:sz w:val="20"/>
          <w:szCs w:val="20"/>
          <w:color w:val="auto"/>
        </w:rPr>
      </w:pPr>
    </w:p>
    <w:p>
      <w:pPr>
        <w:jc w:val="both"/>
        <w:ind w:right="7" w:firstLine="394"/>
        <w:spacing w:after="0" w:line="270" w:lineRule="auto"/>
        <w:rPr>
          <w:sz w:val="20"/>
          <w:szCs w:val="20"/>
          <w:color w:val="auto"/>
        </w:rPr>
      </w:pPr>
      <w:r>
        <w:rPr>
          <w:rFonts w:ascii="Times New Roman" w:cs="Times New Roman" w:eastAsia="Times New Roman" w:hAnsi="Times New Roman"/>
          <w:sz w:val="19"/>
          <w:szCs w:val="19"/>
          <w:color w:val="auto"/>
        </w:rPr>
        <w:t>Management conducted an assessment of the effectiveness of the Company’s internal control over financial reporting as of December 31, 2022, utilizing the framework established in Internal Control – Integrated Framework 2013, issued by the Committee of Sponsoring Organizations of the Treadway Commission (‘‘COSO’’).</w:t>
      </w:r>
    </w:p>
    <w:p>
      <w:pPr>
        <w:spacing w:after="0" w:line="120"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Based on this assessment, management has determined that the Company’s internal control over financial reporting as of December 31, 2022 was effective.</w:t>
      </w:r>
    </w:p>
    <w:p>
      <w:pPr>
        <w:spacing w:after="0" w:line="143" w:lineRule="exact"/>
        <w:rPr>
          <w:sz w:val="20"/>
          <w:szCs w:val="20"/>
          <w:color w:val="auto"/>
        </w:rPr>
      </w:pPr>
    </w:p>
    <w:p>
      <w:pPr>
        <w:jc w:val="both"/>
        <w:ind w:right="7" w:firstLine="394"/>
        <w:spacing w:after="0" w:line="254" w:lineRule="auto"/>
        <w:rPr>
          <w:sz w:val="20"/>
          <w:szCs w:val="20"/>
          <w:color w:val="auto"/>
        </w:rPr>
      </w:pPr>
      <w:r>
        <w:rPr>
          <w:rFonts w:ascii="Times New Roman" w:cs="Times New Roman" w:eastAsia="Times New Roman" w:hAnsi="Times New Roman"/>
          <w:sz w:val="20"/>
          <w:szCs w:val="20"/>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139"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spacing w:after="0" w:line="3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37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2060" w:h="15667" w:orient="portrait"/>
          <w:cols w:equalWidth="0" w:num="1">
            <w:col w:w="9227"/>
          </w:cols>
          <w:pgMar w:left="1400" w:top="900" w:right="1440" w:bottom="214"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115</w:t>
      </w:r>
    </w:p>
    <w:p>
      <w:pPr>
        <w:sectPr>
          <w:pgSz w:w="12060" w:h="15667" w:orient="portrait"/>
          <w:cols w:equalWidth="0" w:num="1">
            <w:col w:w="9227"/>
          </w:cols>
          <w:pgMar w:left="1400" w:top="900" w:right="1440" w:bottom="214" w:gutter="0" w:footer="0" w:header="0"/>
          <w:type w:val="continuous"/>
        </w:sectPr>
      </w:pPr>
    </w:p>
    <w:bookmarkStart w:id="128" w:name="page129"/>
    <w:bookmarkEnd w:id="128"/>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5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Directors, Executive Officers and Corporate Governance.</w:t>
      </w:r>
    </w:p>
    <w:p>
      <w:pPr>
        <w:spacing w:after="0" w:line="127" w:lineRule="exact"/>
        <w:rPr>
          <w:sz w:val="20"/>
          <w:szCs w:val="20"/>
          <w:color w:val="auto"/>
        </w:rPr>
      </w:pPr>
    </w:p>
    <w:p>
      <w:pPr>
        <w:jc w:val="both"/>
        <w:ind w:right="7" w:firstLine="394"/>
        <w:spacing w:after="0" w:line="25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Definitive Proxy Statement for the 2023 Annual Meeting of Shareholders to be filed with the Securities and Exchange Commission within 120 days after our fiscal year end (the ‘‘Proxy Statement’’).</w:t>
      </w:r>
    </w:p>
    <w:p>
      <w:pPr>
        <w:spacing w:after="0" w:line="139"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Times New Roman" w:cs="Times New Roman" w:eastAsia="Times New Roman" w:hAnsi="Times New Roman"/>
          <w:sz w:val="20"/>
          <w:szCs w:val="20"/>
          <w:u w:val="single" w:color="auto"/>
          <w:color w:val="auto"/>
        </w:rPr>
        <w:t>www.spfi.bank</w:t>
      </w:r>
      <w:r>
        <w:rPr>
          <w:rFonts w:ascii="Times New Roman" w:cs="Times New Roman" w:eastAsia="Times New Roman" w:hAnsi="Times New Roman"/>
          <w:sz w:val="20"/>
          <w:szCs w:val="20"/>
          <w:color w:val="auto"/>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spacing w:after="0" w:line="3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27" w:lineRule="exact"/>
        <w:rPr>
          <w:sz w:val="20"/>
          <w:szCs w:val="20"/>
          <w:color w:val="auto"/>
        </w:rPr>
      </w:pPr>
    </w:p>
    <w:p>
      <w:pPr>
        <w:jc w:val="both"/>
        <w:ind w:right="7" w:firstLine="394"/>
        <w:spacing w:after="0" w:line="24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to be filed with the Securities and Exchange Commission within 120 days after our fiscal year end.</w:t>
      </w:r>
    </w:p>
    <w:p>
      <w:pPr>
        <w:spacing w:after="0" w:line="372" w:lineRule="exact"/>
        <w:rPr>
          <w:sz w:val="20"/>
          <w:szCs w:val="20"/>
          <w:color w:val="auto"/>
        </w:rPr>
      </w:pPr>
    </w:p>
    <w:p>
      <w:pPr>
        <w:ind w:left="1000" w:right="247" w:hanging="984"/>
        <w:spacing w:after="0" w:line="236"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27" w:lineRule="exact"/>
        <w:rPr>
          <w:sz w:val="20"/>
          <w:szCs w:val="20"/>
          <w:color w:val="auto"/>
        </w:rPr>
      </w:pPr>
    </w:p>
    <w:p>
      <w:pPr>
        <w:ind w:right="7" w:firstLine="394"/>
        <w:spacing w:after="0" w:line="24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to be filed with the Securities and Exchange Commission within 120 days after our fiscal year end.</w:t>
      </w:r>
    </w:p>
    <w:p>
      <w:pPr>
        <w:spacing w:after="0" w:line="3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7" w:lineRule="exact"/>
        <w:rPr>
          <w:sz w:val="20"/>
          <w:szCs w:val="20"/>
          <w:color w:val="auto"/>
        </w:rPr>
      </w:pPr>
    </w:p>
    <w:p>
      <w:pPr>
        <w:ind w:right="7" w:firstLine="394"/>
        <w:spacing w:after="0" w:line="24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to be filed with the Securities and Exchange Commission within 120 days after our fiscal year end.</w:t>
      </w:r>
    </w:p>
    <w:p>
      <w:pPr>
        <w:spacing w:after="0" w:line="3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color w:val="auto"/>
        </w:rPr>
        <w:t>Principal Accounting Fees and Services.</w:t>
      </w:r>
    </w:p>
    <w:p>
      <w:pPr>
        <w:spacing w:after="0" w:line="127" w:lineRule="exact"/>
        <w:rPr>
          <w:sz w:val="20"/>
          <w:szCs w:val="20"/>
          <w:color w:val="auto"/>
        </w:rPr>
      </w:pPr>
    </w:p>
    <w:p>
      <w:pPr>
        <w:ind w:right="7" w:firstLine="394"/>
        <w:spacing w:after="0" w:line="244"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to be filed with the Securities and Exchange Commission within 120 days after our fiscal year end.</w:t>
      </w:r>
    </w:p>
    <w:p>
      <w:pPr>
        <w:sectPr>
          <w:pgSz w:w="12060" w:h="15667" w:orient="portrait"/>
          <w:cols w:equalWidth="0" w:num="1">
            <w:col w:w="9227"/>
          </w:cols>
          <w:pgMar w:left="1400" w:top="900" w:right="1440" w:bottom="2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116</w:t>
      </w:r>
    </w:p>
    <w:p>
      <w:pPr>
        <w:sectPr>
          <w:pgSz w:w="12060" w:h="15667" w:orient="portrait"/>
          <w:cols w:equalWidth="0" w:num="1">
            <w:col w:w="9227"/>
          </w:cols>
          <w:pgMar w:left="1400" w:top="900" w:right="1440" w:bottom="214" w:gutter="0" w:footer="0" w:header="0"/>
          <w:type w:val="continuous"/>
        </w:sectPr>
      </w:pPr>
    </w:p>
    <w:bookmarkStart w:id="129" w:name="page130"/>
    <w:bookmarkEnd w:id="129"/>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1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Financial Statement Schedules.</w:t>
      </w:r>
    </w:p>
    <w:p>
      <w:pPr>
        <w:spacing w:after="0" w:line="117" w:lineRule="exact"/>
        <w:rPr>
          <w:sz w:val="20"/>
          <w:szCs w:val="20"/>
          <w:color w:val="auto"/>
        </w:rPr>
      </w:pPr>
    </w:p>
    <w:p>
      <w:pPr>
        <w:ind w:left="400" w:right="7" w:hanging="394"/>
        <w:spacing w:after="0" w:line="237" w:lineRule="auto"/>
        <w:tabs>
          <w:tab w:leader="none" w:pos="4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notes thereto and independent auditors’ report thereon, filed as part hereof, are listed in Item 8.</w:t>
      </w:r>
    </w:p>
    <w:p>
      <w:pPr>
        <w:spacing w:after="0" w:line="136" w:lineRule="exact"/>
        <w:rPr>
          <w:rFonts w:ascii="Times New Roman" w:cs="Times New Roman" w:eastAsia="Times New Roman" w:hAnsi="Times New Roman"/>
          <w:sz w:val="20"/>
          <w:szCs w:val="20"/>
          <w:color w:val="auto"/>
        </w:rPr>
      </w:pPr>
    </w:p>
    <w:p>
      <w:pPr>
        <w:ind w:left="400" w:right="7" w:hanging="394"/>
        <w:spacing w:after="0" w:line="236" w:lineRule="auto"/>
        <w:tabs>
          <w:tab w:leader="none" w:pos="4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are omitted because they are not required or applicable, or the required information is shown in the consolidated financial statements or the notes thereto.</w:t>
      </w:r>
    </w:p>
    <w:p>
      <w:pPr>
        <w:spacing w:after="0" w:line="126" w:lineRule="exact"/>
        <w:rPr>
          <w:rFonts w:ascii="Times New Roman" w:cs="Times New Roman" w:eastAsia="Times New Roman" w:hAnsi="Times New Roman"/>
          <w:sz w:val="20"/>
          <w:szCs w:val="20"/>
          <w:color w:val="auto"/>
        </w:rPr>
      </w:pPr>
    </w:p>
    <w:p>
      <w:pPr>
        <w:ind w:left="400" w:hanging="394"/>
        <w:spacing w:after="0"/>
        <w:tabs>
          <w:tab w:leader="none" w:pos="4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6"/>
                <w:szCs w:val="16"/>
                <w:color w:val="auto"/>
              </w:rPr>
            </w:pPr>
          </w:p>
        </w:tc>
        <w:tc>
          <w:tcPr>
            <w:tcW w:w="792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2"/>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Agreement and Plan of Merger by and between South Plains Financial, Inc., SPFI Merger Sub,</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 City Bank, and West Texas State Bank, dated as of July 25, 2019,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2.1 to the Current Report on Form 8-K filed with the SEC on July 25, 2019</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(File No. 38895)) (schedules to which have been omitted pursuant to Item 601(b)(2) of</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Regulation S-K and will be provided to the SEC upon request).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Certificate of Formation of South Plains Financial, Inc. (incorporated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herein by reference to Exhibit 3.1 to the Registration Statement on Form S-1 of South Plains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Second Amended and Restated Bylaws of South Plains Financial, Inc.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3.1 to the Current Report on Form 8-K filed with the SEC on November 1,</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2021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Specimen common stock certificate of South Plains Financial, Inc.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4.1 to the Registration Statement on Form S-1 of South Plains Financial,</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Indenture, dated September 29, 2020, by and between South Plains Financial, Inc. and UMB</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Bank, National Association, as trustee (incorporated herein by reference to Exhibit 4.1 to the</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with the SEC on September 30, 2020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Fixed to Floating Rate Subordinated Note due September 30, 2030 (included as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A-2 to the Indenture incorporated herein by reference as Exhibit 4.2 hereto).</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Voting Agreement, dated as of July 25, 2019, by and among South Plains Financial,</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 West Texas State Bank and the shareholders of West Texas State Bank party thereto</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herein by reference to Exhibit 10.1 to the Current Report on Form 8-K filed with</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the SEC on July 25, 2019 (File No. 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Director Support Agreement, dated as of July 25, 2019, by and among South Plains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Inc. and each non-employee director of West Texas State Bank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10.2 to the Current Report on Form 8-K filed with the SEC on July 25,</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2019 (File No. 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Executive Employment Agreement, dated December 18, 2019, by and between South Plains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Inc., City Bank, and Curtis C. Griffith (incorporated herein by reference to</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10.1 to the Current Report on Form 8-K filed with the SEC on December 19, 2019 (File</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Executive Employment Agreement, dated March 6, 2019, by and between South Plains Financial,</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 and Cory T. Newsom (incorporated herein by reference to Exhibit 10.4 to the Registration</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Statement on Form S-1/A of South Plains Financial, Inc. (Registration No. 333-230851) filed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April 29, 2019).</w:t>
            </w:r>
          </w:p>
        </w:tc>
      </w:tr>
    </w:tbl>
    <w:p>
      <w:pPr>
        <w:spacing w:after="0" w:line="200" w:lineRule="exact"/>
        <w:rPr>
          <w:sz w:val="20"/>
          <w:szCs w:val="20"/>
          <w:color w:val="auto"/>
        </w:rPr>
      </w:pPr>
    </w:p>
    <w:p>
      <w:pPr>
        <w:sectPr>
          <w:pgSz w:w="12060" w:h="15667" w:orient="portrait"/>
          <w:cols w:equalWidth="0" w:num="1">
            <w:col w:w="9227"/>
          </w:cols>
          <w:pgMar w:left="1400" w:top="900" w:right="1440" w:bottom="2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117</w:t>
      </w:r>
    </w:p>
    <w:p>
      <w:pPr>
        <w:sectPr>
          <w:pgSz w:w="12060" w:h="15667" w:orient="portrait"/>
          <w:cols w:equalWidth="0" w:num="1">
            <w:col w:w="9227"/>
          </w:cols>
          <w:pgMar w:left="1400" w:top="900" w:right="1440" w:bottom="214"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8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6"/>
                <w:szCs w:val="16"/>
                <w:color w:val="auto"/>
              </w:rPr>
            </w:pPr>
          </w:p>
        </w:tc>
        <w:tc>
          <w:tcPr>
            <w:tcW w:w="792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2"/>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1 to Executive Employment Agreement, dated December 15, 2021, by and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among City Bank, Curtis C. Griffith and South Plains Financial, Inc.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10.1 to the Current Report on Form 8-K filed with the SEC on</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December 21, 2021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1 to Executive Employment Agreement, dated December 15, 2021, by and</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among City Bank, Cory T. Newsom and South Plains Financial, Inc. (incorporated herein by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10.2 to the Current Report on Form 8-K filed with the SEC on</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December 21, 2021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South Plains Financial, Inc. 2019 Equity Incentive Plan (incorporated herein by reference to</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Exhibit 10.1 to the Registration Statement on Form S-1/A of South Plains Financial, Inc.</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Stock Option Award Agreement under the South Plains Financial, Inc. 2019 Equity</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Incentive Plan (incorporated herein by reference to Exhibit 10.2 to the Registration Statement on</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S-1/A of South Plains Financial, 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Restricted Stock Unit Award Agreement under the South Plains Financial, Inc. 2019</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Equity Incentive Plan (incorporated herein by reference to Exhibit 10.3 to the Registration</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Statement on Form S-1 of South Plains Financial, Inc. (Registration No. 333-230851) filed</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Indemnification Agreement (incorporated herein by reference to Exhibit 10.9 to the</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Statement on Form S-1/A of South Plains Financial, Inc. (Registration No. 333-</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Deferred Compensation Plan Adoption Agreement of Cory T. Newsom (incorporated herein by</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reference to Exhibit 10.5 to the Registration Statement on Form S-1/A of South Plains Financial,</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Joint Beneficiary Designation Agreement of Cory Newsom, effective January 1, 2008</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herein by reference to Exhibit 10.6 to the Registration Statement on Form S-1/A of</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South Plains Financial, 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Joint Beneficiary Designation Agreement of Cory Newsom, effective April 1, 2014 (incorporated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herein by reference to Exhibit 10.7 to the Registration Statement on Form S-1/A of South Plains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Board Representation Agreement between South Plains Financial, Inc. and James C. Henry</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(incorporated herein by reference to Exhibit 10.8 to the Registration Statement on Form S-1/A of</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South Plains Financial, Inc. (Registration No. 333-230851) filed April 29, 2019).</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Note Purchase Agreement, dated as of September 29, 2020, by and among South Plains</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Financial, Inc. and the Purchasers (incorporated herein by reference to Exhibit 10.1 of the</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with the SEC on September 30, 2020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Form of Registration Rights Agreement, dated as of September 29, 2020, by and among South</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Plains Financial, Inc. and the Purchasers (incorporated herein by reference to Exhibit 10.2 of the</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with the SEC on September 30, 2020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16.1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Letter from Weaver and Tidwell, L.L.P., dated October 26, 2021, to the U.S. Securities and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Commission (incorporated herein by reference to Exhibit 16.1 of the Current Report</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8-K filed with the SEC on October 26, 2021 (File No. 001-38895)).</w:t>
            </w:r>
          </w:p>
        </w:tc>
      </w:tr>
    </w:tbl>
    <w:p>
      <w:pPr>
        <w:spacing w:after="0" w:line="200" w:lineRule="exact"/>
        <w:rPr>
          <w:sz w:val="20"/>
          <w:szCs w:val="20"/>
          <w:color w:val="auto"/>
        </w:rPr>
      </w:pPr>
    </w:p>
    <w:p>
      <w:pPr>
        <w:sectPr>
          <w:pgSz w:w="12060" w:h="15667" w:orient="portrait"/>
          <w:cols w:equalWidth="0" w:num="1">
            <w:col w:w="9227"/>
          </w:cols>
          <w:pgMar w:left="1400" w:top="987" w:right="1440" w:bottom="2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118</w:t>
      </w:r>
    </w:p>
    <w:p>
      <w:pPr>
        <w:sectPr>
          <w:pgSz w:w="12060" w:h="15667" w:orient="portrait"/>
          <w:cols w:equalWidth="0" w:num="1">
            <w:col w:w="9227"/>
          </w:cols>
          <w:pgMar w:left="1400" w:top="987" w:right="1440" w:bottom="214"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18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6"/>
                <w:szCs w:val="16"/>
                <w:color w:val="auto"/>
              </w:rPr>
            </w:pPr>
          </w:p>
        </w:tc>
        <w:tc>
          <w:tcPr>
            <w:tcW w:w="7920" w:type="dxa"/>
            <w:vAlign w:val="bottom"/>
            <w:tcBorders>
              <w:bottom w:val="single" w:sz="8" w:color="auto"/>
            </w:tcBorders>
          </w:tcPr>
          <w:p>
            <w:pPr>
              <w:ind w:left="35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62"/>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16.2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Letter from Weaver and Tidwell, L.L.P., dated March 11, 2022, to the U.S. Securities and</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Commission (incorporated herein by reference to Exhibit 16.1 of the Current Report</w:t>
            </w:r>
          </w:p>
        </w:tc>
      </w:tr>
      <w:tr>
        <w:trPr>
          <w:trHeight w:val="236"/>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on form 8-K filed with the SEC on March 11, 2022 (File No. 001-38895)).</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Subsidiaries of South Plains Financial, Inc.</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Consent of FORVIS.</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Consent of Weaver and Tidwell, LLP.</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by Chief Executive Officer pursuant to Rule 13a-14(a) under the Securities</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Act of 1934, as amended.</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by Chief Financial Officer pursuant to Rule 13a-14(a) under the Securities</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Act of 1934, as amended.</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Section 1350 Certification of Chief Executive Officer.</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Section 1350 Certification of Chief Financial Officer.</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w:t>
            </w:r>
          </w:p>
        </w:tc>
      </w:tr>
      <w:tr>
        <w:trPr>
          <w:trHeight w:val="237"/>
        </w:trPr>
        <w:tc>
          <w:tcPr>
            <w:tcW w:w="1180" w:type="dxa"/>
            <w:vAlign w:val="bottom"/>
          </w:tcPr>
          <w:p>
            <w:pPr>
              <w:spacing w:after="0"/>
              <w:rPr>
                <w:sz w:val="20"/>
                <w:szCs w:val="20"/>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File because its XBRL tags are embedded within the Inline XBRL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45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217170</wp:posOffset>
                </wp:positionV>
                <wp:extent cx="90106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7.1pt" to="71.2pt,17.1pt" o:allowincell="f" strokecolor="#000000" strokeweight="0.493pt"/>
            </w:pict>
          </mc:Fallback>
        </mc:AlternateContent>
      </w:r>
    </w:p>
    <w:p>
      <w:pPr>
        <w:spacing w:after="0" w:line="200" w:lineRule="exact"/>
        <w:rPr>
          <w:sz w:val="20"/>
          <w:szCs w:val="20"/>
          <w:color w:val="auto"/>
        </w:rPr>
      </w:pPr>
    </w:p>
    <w:p>
      <w:pPr>
        <w:spacing w:after="0" w:line="223" w:lineRule="exact"/>
        <w:rPr>
          <w:sz w:val="20"/>
          <w:szCs w:val="20"/>
          <w:color w:val="auto"/>
        </w:rPr>
      </w:pPr>
    </w:p>
    <w:p>
      <w:pPr>
        <w:ind w:left="400" w:hanging="395"/>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Annual Report on Form 10-K.</w:t>
      </w:r>
    </w:p>
    <w:p>
      <w:pPr>
        <w:spacing w:after="0" w:line="62" w:lineRule="exact"/>
        <w:rPr>
          <w:sz w:val="20"/>
          <w:szCs w:val="20"/>
          <w:color w:val="auto"/>
        </w:rPr>
      </w:pPr>
    </w:p>
    <w:p>
      <w:pPr>
        <w:ind w:left="400" w:hanging="395"/>
        <w:spacing w:after="0"/>
        <w:tabs>
          <w:tab w:leader="none" w:pos="4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with this Annual Report on Form 10-K.</w:t>
      </w:r>
    </w:p>
    <w:p>
      <w:pPr>
        <w:spacing w:after="0" w:line="62" w:lineRule="exact"/>
        <w:rPr>
          <w:sz w:val="20"/>
          <w:szCs w:val="20"/>
          <w:color w:val="auto"/>
        </w:rPr>
      </w:pPr>
    </w:p>
    <w:p>
      <w:pPr>
        <w:ind w:left="400" w:hanging="395"/>
        <w:spacing w:after="0"/>
        <w:tabs>
          <w:tab w:leader="none" w:pos="4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34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ectPr>
          <w:pgSz w:w="12060" w:h="15667" w:orient="portrait"/>
          <w:cols w:equalWidth="0" w:num="1">
            <w:col w:w="9227"/>
          </w:cols>
          <w:pgMar w:left="1400" w:top="987" w:right="1440" w:bottom="2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119</w:t>
      </w:r>
    </w:p>
    <w:p>
      <w:pPr>
        <w:sectPr>
          <w:pgSz w:w="12060" w:h="15667" w:orient="portrait"/>
          <w:cols w:equalWidth="0" w:num="1">
            <w:col w:w="9227"/>
          </w:cols>
          <w:pgMar w:left="1400" w:top="987" w:right="1440" w:bottom="214" w:gutter="0" w:footer="0" w:header="0"/>
          <w:type w:val="continuous"/>
        </w:sectPr>
      </w:pPr>
    </w:p>
    <w:bookmarkStart w:id="132" w:name="page133"/>
    <w:bookmarkEnd w:id="132"/>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7" w:lineRule="exact"/>
        <w:rPr>
          <w:sz w:val="20"/>
          <w:szCs w:val="20"/>
          <w:color w:val="auto"/>
        </w:rPr>
      </w:pPr>
    </w:p>
    <w:p>
      <w:pPr>
        <w:ind w:right="7" w:firstLine="394"/>
        <w:spacing w:after="0" w:line="24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South Plains Financial, Inc.</w:t>
      </w:r>
    </w:p>
    <w:p>
      <w:pPr>
        <w:spacing w:after="0" w:line="273" w:lineRule="exact"/>
        <w:rPr>
          <w:sz w:val="20"/>
          <w:szCs w:val="20"/>
          <w:color w:val="auto"/>
        </w:rPr>
      </w:pPr>
    </w:p>
    <w:p>
      <w:pPr>
        <w:spacing w:after="0"/>
        <w:tabs>
          <w:tab w:leader="none" w:pos="4480" w:val="left"/>
          <w:tab w:leader="none" w:pos="4960" w:val="left"/>
        </w:tabs>
        <w:rPr>
          <w:sz w:val="20"/>
          <w:szCs w:val="20"/>
          <w:color w:val="auto"/>
        </w:rPr>
      </w:pPr>
      <w:r>
        <w:rPr>
          <w:rFonts w:ascii="Times New Roman" w:cs="Times New Roman" w:eastAsia="Times New Roman" w:hAnsi="Times New Roman"/>
          <w:sz w:val="20"/>
          <w:szCs w:val="20"/>
          <w:color w:val="auto"/>
        </w:rPr>
        <w:t>Date: March 13, 2023</w:t>
      </w:r>
      <w:r>
        <w:rPr>
          <w:sz w:val="20"/>
          <w:szCs w:val="20"/>
          <w:color w:val="auto"/>
        </w:rPr>
        <w:tab/>
      </w:r>
      <w:r>
        <w:rPr>
          <w:rFonts w:ascii="Times New Roman" w:cs="Times New Roman" w:eastAsia="Times New Roman" w:hAnsi="Times New Roman"/>
          <w:sz w:val="20"/>
          <w:szCs w:val="20"/>
          <w:color w:val="auto"/>
        </w:rPr>
        <w:t>By:</w:t>
        <w:tab/>
        <w:t>/s/ Curtis C. Griffith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3156585</wp:posOffset>
                </wp:positionH>
                <wp:positionV relativeFrom="paragraph">
                  <wp:posOffset>1270</wp:posOffset>
                </wp:positionV>
                <wp:extent cx="270256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2560"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55pt,0.1pt" to="461.35pt,0.1pt" o:allowincell="f" strokecolor="#000000" strokeweight="0.493pt"/>
            </w:pict>
          </mc:Fallback>
        </mc:AlternateContent>
      </w:r>
    </w:p>
    <w:p>
      <w:pPr>
        <w:spacing w:after="0" w:line="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Curtis C. Griffith</w:t>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Chairman and Chief Executive Officer</w:t>
      </w:r>
    </w:p>
    <w:p>
      <w:pPr>
        <w:spacing w:after="0" w:line="162" w:lineRule="exact"/>
        <w:rPr>
          <w:sz w:val="20"/>
          <w:szCs w:val="20"/>
          <w:color w:val="auto"/>
        </w:rPr>
      </w:pPr>
    </w:p>
    <w:p>
      <w:pPr>
        <w:ind w:right="7" w:firstLine="394"/>
        <w:spacing w:after="0" w:line="24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40" w:type="dxa"/>
            <w:vAlign w:val="bottom"/>
          </w:tcPr>
          <w:p>
            <w:pPr>
              <w:spacing w:after="0"/>
              <w:rPr>
                <w:sz w:val="16"/>
                <w:szCs w:val="16"/>
                <w:color w:val="auto"/>
              </w:rPr>
            </w:pPr>
          </w:p>
        </w:tc>
        <w:tc>
          <w:tcPr>
            <w:tcW w:w="4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20" w:type="dxa"/>
            <w:vAlign w:val="bottom"/>
          </w:tcPr>
          <w:p>
            <w:pPr>
              <w:spacing w:after="0"/>
              <w:rPr>
                <w:sz w:val="16"/>
                <w:szCs w:val="16"/>
                <w:color w:val="auto"/>
              </w:rPr>
            </w:pPr>
          </w:p>
        </w:tc>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534"/>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Curtis C. Griffith</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 (Chairman); Chief Executive Officer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19"/>
        </w:trPr>
        <w:tc>
          <w:tcPr>
            <w:tcW w:w="3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Curtis C. Griffith</w:t>
            </w:r>
          </w:p>
        </w:tc>
        <w:tc>
          <w:tcPr>
            <w:tcW w:w="240" w:type="dxa"/>
            <w:vAlign w:val="bottom"/>
          </w:tcPr>
          <w:p>
            <w:pPr>
              <w:spacing w:after="0"/>
              <w:rPr>
                <w:sz w:val="19"/>
                <w:szCs w:val="19"/>
                <w:color w:val="auto"/>
              </w:rPr>
            </w:pPr>
          </w:p>
        </w:tc>
        <w:tc>
          <w:tcPr>
            <w:tcW w:w="40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(principal executive officer)</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3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Cory T. Newsom</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 and President</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Cory T. Newsom</w:t>
            </w: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Steven B. Crockett</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and Treasurer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19"/>
        </w:trPr>
        <w:tc>
          <w:tcPr>
            <w:tcW w:w="3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Steven B. Crockett</w:t>
            </w:r>
          </w:p>
        </w:tc>
        <w:tc>
          <w:tcPr>
            <w:tcW w:w="240" w:type="dxa"/>
            <w:vAlign w:val="bottom"/>
          </w:tcPr>
          <w:p>
            <w:pPr>
              <w:spacing w:after="0"/>
              <w:rPr>
                <w:sz w:val="19"/>
                <w:szCs w:val="19"/>
                <w:color w:val="auto"/>
              </w:rPr>
            </w:pPr>
          </w:p>
        </w:tc>
        <w:tc>
          <w:tcPr>
            <w:tcW w:w="40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3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D. Campbell</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Richard D. Campbell</w:t>
            </w: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Cynthia B. Keith</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Cynthia B. Keith</w:t>
            </w: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Noe G. Valles</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Noe G. Valles</w:t>
            </w: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Kyle R. Wargo</w:t>
            </w:r>
          </w:p>
        </w:tc>
        <w:tc>
          <w:tcPr>
            <w:tcW w:w="2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March 13, 2023</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Times New Roman" w:cs="Times New Roman" w:eastAsia="Times New Roman" w:hAnsi="Times New Roman"/>
                <w:sz w:val="20"/>
                <w:szCs w:val="20"/>
                <w:color w:val="auto"/>
              </w:rPr>
              <w:t>Kyle R. Wargo</w:t>
            </w:r>
          </w:p>
        </w:tc>
        <w:tc>
          <w:tcPr>
            <w:tcW w:w="2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060" w:h="15667" w:orient="portrait"/>
          <w:cols w:equalWidth="0" w:num="1">
            <w:col w:w="9227"/>
          </w:cols>
          <w:pgMar w:left="1400" w:top="900" w:right="144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120</w:t>
      </w:r>
    </w:p>
    <w:p>
      <w:pPr>
        <w:sectPr>
          <w:pgSz w:w="12060" w:h="15667" w:orient="portrait"/>
          <w:cols w:equalWidth="0" w:num="1">
            <w:col w:w="9227"/>
          </w:cols>
          <w:pgMar w:left="1400" w:top="900" w:right="1440" w:bottom="204" w:gutter="0" w:footer="0" w:header="0"/>
          <w:type w:val="continuous"/>
        </w:sectPr>
      </w:pPr>
    </w:p>
    <w:bookmarkStart w:id="133" w:name="page134"/>
    <w:bookmarkEnd w:id="133"/>
    <w:p>
      <w:pPr>
        <w:jc w:val="right"/>
        <w:ind w:right="7"/>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Subsidiaries of South Plains Financial,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20"/>
        </w:trPr>
        <w:tc>
          <w:tcPr>
            <w:tcW w:w="4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r>
      <w:tr>
        <w:trPr>
          <w:trHeight w:val="286"/>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CB Provence, LLC</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CBT Brushy Creek, LLC</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CBT Properties, LLC</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City Bank</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Ruidoso Retail, Inc.</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III</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Delaware</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IV</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Delaware</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South Plains Financial Capital Trust V</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Delaware</w:t>
            </w:r>
          </w:p>
        </w:tc>
      </w:tr>
      <w:tr>
        <w:trPr>
          <w:trHeight w:val="251"/>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Windmark Insurance Agency, Inc.</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Texas</w:t>
            </w:r>
          </w:p>
        </w:tc>
      </w:tr>
    </w:tbl>
    <w:p>
      <w:pPr>
        <w:sectPr>
          <w:pgSz w:w="12060" w:h="15667" w:orient="portrait"/>
          <w:cols w:equalWidth="0" w:num="1">
            <w:col w:w="9227"/>
          </w:cols>
          <w:pgMar w:left="1400" w:top="900" w:right="1440" w:bottom="1440" w:gutter="0" w:footer="0" w:header="0"/>
        </w:sectPr>
      </w:pPr>
    </w:p>
    <w:bookmarkStart w:id="134" w:name="page135"/>
    <w:bookmarkEnd w:id="134"/>
    <w:p>
      <w:pPr>
        <w:ind w:left="8200"/>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27"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of South Plains Financial, Inc. on Form S-8 (No. 333-231667) and on Form S-4/A (No. 333-250021) of our report dated March 13, 2023, on our audit of the consolidated financial statements of South Plains Financial, Inc. as of December 31, 2022, and for the year ended December 31, 2022, which is included in this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FORVIS,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2023</w:t>
      </w:r>
    </w:p>
    <w:p>
      <w:pPr>
        <w:sectPr>
          <w:pgSz w:w="12060" w:h="15667" w:orient="portrait"/>
          <w:cols w:equalWidth="0" w:num="1">
            <w:col w:w="9227"/>
          </w:cols>
          <w:pgMar w:left="1400" w:top="904" w:right="1440" w:bottom="1440" w:gutter="0" w:footer="0" w:header="0"/>
        </w:sectPr>
      </w:pPr>
    </w:p>
    <w:bookmarkStart w:id="135" w:name="page136"/>
    <w:bookmarkEnd w:id="135"/>
    <w:p>
      <w:pPr>
        <w:ind w:left="8200"/>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35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Board of Directors and Audit Committee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 Plains Financial,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Lubbock, Texas</w:t>
      </w:r>
    </w:p>
    <w:p>
      <w:pPr>
        <w:spacing w:after="0" w:line="147" w:lineRule="exact"/>
        <w:rPr>
          <w:sz w:val="20"/>
          <w:szCs w:val="20"/>
          <w:color w:val="auto"/>
        </w:rPr>
      </w:pPr>
    </w:p>
    <w:p>
      <w:pPr>
        <w:jc w:val="both"/>
        <w:ind w:right="7" w:firstLine="394"/>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South Plains Financial, Inc.’s Registration Statement (No. 333-231667) on Form S-8 and the Registration Statement (No. 333-250021) on Form S-4/A of our report dated March 7, 2022 relating to the consolidated financial statements of South Plains Financial, Inc. appearing in this Annual Report on Form 10-K. We also consent to the reference to our firm under the caption ‘‘Experts’’ in the Form S-4/A.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Weaver and Tidwell,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13, 2023</w:t>
      </w:r>
    </w:p>
    <w:p>
      <w:pPr>
        <w:sectPr>
          <w:pgSz w:w="12060" w:h="15667" w:orient="portrait"/>
          <w:cols w:equalWidth="0" w:num="1">
            <w:col w:w="9227"/>
          </w:cols>
          <w:pgMar w:left="1400" w:top="904" w:right="1440" w:bottom="1440" w:gutter="0" w:footer="0" w:header="0"/>
        </w:sectPr>
      </w:pPr>
    </w:p>
    <w:bookmarkStart w:id="136" w:name="page137"/>
    <w:bookmarkEnd w:id="136"/>
    <w:p>
      <w:pPr>
        <w:ind w:left="8200"/>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 w:lineRule="exact"/>
        <w:rPr>
          <w:sz w:val="20"/>
          <w:szCs w:val="20"/>
          <w:color w:val="auto"/>
        </w:rPr>
      </w:pPr>
    </w:p>
    <w:p>
      <w:pPr>
        <w:jc w:val="center"/>
        <w:ind w:left="1420" w:right="600"/>
        <w:spacing w:after="0" w:line="256"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Curtis C. Griffith, certify that:</w:t>
      </w:r>
    </w:p>
    <w:p>
      <w:pPr>
        <w:spacing w:after="0" w:line="147" w:lineRule="exact"/>
        <w:rPr>
          <w:sz w:val="20"/>
          <w:szCs w:val="20"/>
          <w:color w:val="auto"/>
        </w:rPr>
      </w:pPr>
    </w:p>
    <w:p>
      <w:pPr>
        <w:ind w:left="800" w:right="7" w:hanging="400"/>
        <w:spacing w:after="0" w:line="244" w:lineRule="auto"/>
        <w:tabs>
          <w:tab w:leader="none" w:pos="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South Plains Financial, Inc. (the ‘‘registrant’’) for the year ended December 31, 2022 (this ‘‘report’’);</w:t>
      </w:r>
    </w:p>
    <w:p>
      <w:pPr>
        <w:spacing w:after="0" w:line="143"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20"/>
          <w:szCs w:val="20"/>
          <w:color w:val="auto"/>
        </w:rPr>
      </w:pPr>
    </w:p>
    <w:p>
      <w:pPr>
        <w:jc w:val="both"/>
        <w:ind w:left="800" w:right="7" w:hanging="400"/>
        <w:spacing w:after="0" w:line="252" w:lineRule="auto"/>
        <w:tabs>
          <w:tab w:leader="none" w:pos="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2"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2"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0"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20"/>
          <w:szCs w:val="20"/>
          <w:color w:val="auto"/>
        </w:rPr>
      </w:pPr>
    </w:p>
    <w:p>
      <w:pPr>
        <w:jc w:val="both"/>
        <w:ind w:left="1180" w:right="7" w:hanging="386"/>
        <w:spacing w:after="0" w:line="253"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20"/>
          <w:szCs w:val="20"/>
          <w:color w:val="auto"/>
        </w:rPr>
      </w:pPr>
    </w:p>
    <w:p>
      <w:pPr>
        <w:jc w:val="both"/>
        <w:ind w:left="1180" w:right="7" w:hanging="386"/>
        <w:spacing w:after="0" w:line="250"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20"/>
          <w:szCs w:val="20"/>
          <w:color w:val="auto"/>
        </w:rPr>
      </w:pPr>
    </w:p>
    <w:p>
      <w:pPr>
        <w:ind w:left="1180" w:right="7" w:hanging="386"/>
        <w:spacing w:after="0" w:line="244" w:lineRule="auto"/>
        <w:tabs>
          <w:tab w:leader="none" w:pos="11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spacing w:after="0"/>
        <w:tabs>
          <w:tab w:leader="none" w:pos="4480" w:val="left"/>
          <w:tab w:leader="none" w:pos="6260" w:val="left"/>
        </w:tabs>
        <w:rPr>
          <w:sz w:val="20"/>
          <w:szCs w:val="20"/>
          <w:color w:val="auto"/>
        </w:rPr>
      </w:pPr>
      <w:r>
        <w:rPr>
          <w:rFonts w:ascii="Times New Roman" w:cs="Times New Roman" w:eastAsia="Times New Roman" w:hAnsi="Times New Roman"/>
          <w:sz w:val="20"/>
          <w:szCs w:val="20"/>
          <w:color w:val="auto"/>
        </w:rPr>
        <w:t>Date: March 13,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Curtis C. Griffith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3156585</wp:posOffset>
                </wp:positionH>
                <wp:positionV relativeFrom="paragraph">
                  <wp:posOffset>1270</wp:posOffset>
                </wp:positionV>
                <wp:extent cx="270256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2560"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55pt,0.1pt" to="461.35pt,0.1pt" o:allowincell="f" strokecolor="#000000" strokeweight="0.493pt"/>
            </w:pict>
          </mc:Fallback>
        </mc:AlternateContent>
      </w:r>
    </w:p>
    <w:p>
      <w:pPr>
        <w:spacing w:after="0" w:line="5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Curtis C. Griffith</w:t>
      </w:r>
    </w:p>
    <w:p>
      <w:pPr>
        <w:spacing w:after="0" w:line="2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Chairman and Chief Executive Officer</w:t>
      </w:r>
    </w:p>
    <w:p>
      <w:pPr>
        <w:sectPr>
          <w:pgSz w:w="12060" w:h="15667" w:orient="portrait"/>
          <w:cols w:equalWidth="0" w:num="1">
            <w:col w:w="9227"/>
          </w:cols>
          <w:pgMar w:left="1400" w:top="904" w:right="1440" w:bottom="1440" w:gutter="0" w:footer="0" w:header="0"/>
        </w:sectPr>
      </w:pPr>
    </w:p>
    <w:bookmarkStart w:id="137" w:name="page138"/>
    <w:bookmarkEnd w:id="137"/>
    <w:p>
      <w:pPr>
        <w:ind w:left="82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 w:lineRule="exact"/>
        <w:rPr>
          <w:sz w:val="20"/>
          <w:szCs w:val="20"/>
          <w:color w:val="auto"/>
        </w:rPr>
      </w:pPr>
    </w:p>
    <w:p>
      <w:pPr>
        <w:jc w:val="center"/>
        <w:ind w:left="1420" w:right="600"/>
        <w:spacing w:after="0" w:line="256"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Steven B. Crockett, certify that:</w:t>
      </w:r>
    </w:p>
    <w:p>
      <w:pPr>
        <w:spacing w:after="0" w:line="147" w:lineRule="exact"/>
        <w:rPr>
          <w:sz w:val="20"/>
          <w:szCs w:val="20"/>
          <w:color w:val="auto"/>
        </w:rPr>
      </w:pPr>
    </w:p>
    <w:p>
      <w:pPr>
        <w:ind w:left="800" w:right="7" w:hanging="400"/>
        <w:spacing w:after="0" w:line="244"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South Plains Financial, Inc. (the ‘‘registrant’’) for the year ended December 31, 2022 (this ‘‘report’’);</w:t>
      </w:r>
    </w:p>
    <w:p>
      <w:pPr>
        <w:spacing w:after="0" w:line="143"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20"/>
          <w:szCs w:val="20"/>
          <w:color w:val="auto"/>
        </w:rPr>
      </w:pPr>
    </w:p>
    <w:p>
      <w:pPr>
        <w:jc w:val="both"/>
        <w:ind w:left="800" w:right="7" w:hanging="400"/>
        <w:spacing w:after="0" w:line="252"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2"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2"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20"/>
          <w:szCs w:val="20"/>
          <w:color w:val="auto"/>
        </w:rPr>
      </w:pPr>
    </w:p>
    <w:p>
      <w:pPr>
        <w:jc w:val="both"/>
        <w:ind w:left="1180" w:right="7" w:hanging="386"/>
        <w:spacing w:after="0" w:line="250"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20"/>
          <w:szCs w:val="20"/>
          <w:color w:val="auto"/>
        </w:rPr>
      </w:pPr>
    </w:p>
    <w:p>
      <w:pPr>
        <w:jc w:val="both"/>
        <w:ind w:left="1180" w:right="7" w:hanging="386"/>
        <w:spacing w:after="0" w:line="253"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20"/>
          <w:szCs w:val="20"/>
          <w:color w:val="auto"/>
        </w:rPr>
      </w:pPr>
    </w:p>
    <w:p>
      <w:pPr>
        <w:jc w:val="both"/>
        <w:ind w:left="800" w:right="7" w:hanging="400"/>
        <w:spacing w:after="0" w:line="250" w:lineRule="auto"/>
        <w:tabs>
          <w:tab w:leader="none" w:pos="8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20"/>
          <w:szCs w:val="20"/>
          <w:color w:val="auto"/>
        </w:rPr>
      </w:pPr>
    </w:p>
    <w:p>
      <w:pPr>
        <w:jc w:val="both"/>
        <w:ind w:left="1180" w:right="7" w:hanging="386"/>
        <w:spacing w:after="0" w:line="250"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20"/>
          <w:szCs w:val="20"/>
          <w:color w:val="auto"/>
        </w:rPr>
      </w:pPr>
    </w:p>
    <w:p>
      <w:pPr>
        <w:ind w:left="1180" w:right="7" w:hanging="386"/>
        <w:spacing w:after="0" w:line="244"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p>
      <w:pPr>
        <w:spacing w:after="0"/>
        <w:tabs>
          <w:tab w:leader="none" w:pos="4480" w:val="left"/>
          <w:tab w:leader="none" w:pos="6200" w:val="left"/>
        </w:tabs>
        <w:rPr>
          <w:sz w:val="20"/>
          <w:szCs w:val="20"/>
          <w:color w:val="auto"/>
        </w:rPr>
      </w:pPr>
      <w:r>
        <w:rPr>
          <w:rFonts w:ascii="Times New Roman" w:cs="Times New Roman" w:eastAsia="Times New Roman" w:hAnsi="Times New Roman"/>
          <w:sz w:val="20"/>
          <w:szCs w:val="20"/>
          <w:color w:val="auto"/>
        </w:rPr>
        <w:t>Date: March 13,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Steven B. Crockett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3156585</wp:posOffset>
                </wp:positionH>
                <wp:positionV relativeFrom="paragraph">
                  <wp:posOffset>1270</wp:posOffset>
                </wp:positionV>
                <wp:extent cx="270256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2560"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55pt,0.1pt" to="461.35pt,0.1pt" o:allowincell="f" strokecolor="#000000" strokeweight="0.493pt"/>
            </w:pict>
          </mc:Fallback>
        </mc:AlternateContent>
      </w:r>
    </w:p>
    <w:p>
      <w:pPr>
        <w:spacing w:after="0" w:line="5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Steven B. Crockett</w:t>
      </w:r>
    </w:p>
    <w:p>
      <w:pPr>
        <w:spacing w:after="0" w:line="21"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2060" w:h="15667" w:orient="portrait"/>
          <w:cols w:equalWidth="0" w:num="1">
            <w:col w:w="9227"/>
          </w:cols>
          <w:pgMar w:left="1400" w:top="904" w:right="1440" w:bottom="1440" w:gutter="0" w:footer="0" w:header="0"/>
        </w:sectPr>
      </w:pPr>
    </w:p>
    <w:bookmarkStart w:id="138" w:name="page139"/>
    <w:bookmarkEnd w:id="138"/>
    <w:p>
      <w:pPr>
        <w:ind w:left="820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jc w:val="center"/>
        <w:ind w:right="7"/>
        <w:spacing w:after="0" w:line="236" w:lineRule="auto"/>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jc w:val="center"/>
        <w:ind w:right="7"/>
        <w:spacing w:after="0" w:line="236" w:lineRule="auto"/>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2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In connection with the Annual Report on Form 10-K of South Plains Financial, Inc. (the ‘‘Company’’) for the year ended December 31, 2022 (the ‘‘Report’’), as filed with the Securities and Exchange Commission on the date hereof, I certify, pursuant to 18 U.S.C. § 1350, as adopted pursuant to § 906 of the Sarbanes-Oxley Act of 2002, that to the best of my knowledge:</w:t>
      </w:r>
    </w:p>
    <w:p>
      <w:pPr>
        <w:spacing w:after="0" w:line="138" w:lineRule="exact"/>
        <w:rPr>
          <w:sz w:val="20"/>
          <w:szCs w:val="20"/>
          <w:color w:val="auto"/>
        </w:rPr>
      </w:pPr>
    </w:p>
    <w:p>
      <w:pPr>
        <w:ind w:left="800" w:right="7" w:hanging="400"/>
        <w:spacing w:after="0" w:line="244" w:lineRule="auto"/>
        <w:tabs>
          <w:tab w:leader="none" w:pos="8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Section 15(d) of the Securities Exchange Act of 1934, as amended; and</w:t>
      </w:r>
    </w:p>
    <w:p>
      <w:pPr>
        <w:spacing w:after="0" w:line="143" w:lineRule="exact"/>
        <w:rPr>
          <w:rFonts w:ascii="Times New Roman" w:cs="Times New Roman" w:eastAsia="Times New Roman" w:hAnsi="Times New Roman"/>
          <w:sz w:val="20"/>
          <w:szCs w:val="20"/>
          <w:color w:val="auto"/>
        </w:rPr>
      </w:pPr>
    </w:p>
    <w:p>
      <w:pPr>
        <w:ind w:left="800" w:right="7" w:hanging="400"/>
        <w:spacing w:after="0" w:line="244" w:lineRule="auto"/>
        <w:tabs>
          <w:tab w:leader="none" w:pos="8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tabs>
          <w:tab w:leader="none" w:pos="4000" w:val="left"/>
          <w:tab w:leader="none" w:pos="6140" w:val="left"/>
        </w:tabs>
        <w:rPr>
          <w:sz w:val="20"/>
          <w:szCs w:val="20"/>
          <w:color w:val="auto"/>
        </w:rPr>
      </w:pPr>
      <w:r>
        <w:rPr>
          <w:rFonts w:ascii="Times New Roman" w:cs="Times New Roman" w:eastAsia="Times New Roman" w:hAnsi="Times New Roman"/>
          <w:sz w:val="20"/>
          <w:szCs w:val="20"/>
          <w:color w:val="auto"/>
        </w:rPr>
        <w:t>Date: March 13,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Curtis C. Griffith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3006090</wp:posOffset>
                </wp:positionH>
                <wp:positionV relativeFrom="paragraph">
                  <wp:posOffset>1270</wp:posOffset>
                </wp:positionV>
                <wp:extent cx="285305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305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7pt,0.1pt" to="461.35pt,0.1pt" o:allowincell="f" strokecolor="#000000" strokeweight="0.493pt"/>
            </w:pict>
          </mc:Fallback>
        </mc:AlternateContent>
      </w:r>
    </w:p>
    <w:p>
      <w:pPr>
        <w:spacing w:after="0" w:line="5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0"/>
          <w:szCs w:val="20"/>
          <w:color w:val="auto"/>
        </w:rPr>
        <w:t>Curtis C. Griffith</w:t>
      </w:r>
    </w:p>
    <w:p>
      <w:pPr>
        <w:spacing w:after="0" w:line="2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0"/>
          <w:szCs w:val="20"/>
          <w:color w:val="auto"/>
        </w:rPr>
        <w:t>Chairman and Chief Executive Officer</w:t>
      </w:r>
    </w:p>
    <w:p>
      <w:pPr>
        <w:sectPr>
          <w:pgSz w:w="12060" w:h="15667" w:orient="portrait"/>
          <w:cols w:equalWidth="0" w:num="1">
            <w:col w:w="9227"/>
          </w:cols>
          <w:pgMar w:left="1400" w:top="904" w:right="1440" w:bottom="1440" w:gutter="0" w:footer="0" w:header="0"/>
        </w:sectPr>
      </w:pPr>
    </w:p>
    <w:bookmarkStart w:id="139" w:name="page140"/>
    <w:bookmarkEnd w:id="139"/>
    <w:p>
      <w:pPr>
        <w:ind w:left="8200"/>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jc w:val="center"/>
        <w:ind w:right="7"/>
        <w:spacing w:after="0" w:line="236" w:lineRule="auto"/>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jc w:val="center"/>
        <w:ind w:right="7"/>
        <w:spacing w:after="0" w:line="236" w:lineRule="auto"/>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28" w:lineRule="exact"/>
        <w:rPr>
          <w:sz w:val="20"/>
          <w:szCs w:val="20"/>
          <w:color w:val="auto"/>
        </w:rPr>
      </w:pPr>
    </w:p>
    <w:p>
      <w:pPr>
        <w:jc w:val="both"/>
        <w:ind w:right="7" w:firstLine="394"/>
        <w:spacing w:after="0" w:line="252" w:lineRule="auto"/>
        <w:rPr>
          <w:sz w:val="20"/>
          <w:szCs w:val="20"/>
          <w:color w:val="auto"/>
        </w:rPr>
      </w:pPr>
      <w:r>
        <w:rPr>
          <w:rFonts w:ascii="Times New Roman" w:cs="Times New Roman" w:eastAsia="Times New Roman" w:hAnsi="Times New Roman"/>
          <w:sz w:val="20"/>
          <w:szCs w:val="20"/>
          <w:color w:val="auto"/>
        </w:rPr>
        <w:t>In connection with the Annual Report on Form 10-K of South Plains Financial, Inc. (the ‘‘Company’’) for the year ended December 31, 2022 (the ‘‘Report’’), as filed with the Securities and Exchange Commission on the date hereof, I certify, pursuant to 18 U.S.C. § 1350, as adopted pursuant to § 906 of the Sarbanes-Oxley Act of 2002, that to the best of my knowledge:</w:t>
      </w:r>
    </w:p>
    <w:p>
      <w:pPr>
        <w:spacing w:after="0" w:line="138" w:lineRule="exact"/>
        <w:rPr>
          <w:sz w:val="20"/>
          <w:szCs w:val="20"/>
          <w:color w:val="auto"/>
        </w:rPr>
      </w:pPr>
    </w:p>
    <w:p>
      <w:pPr>
        <w:ind w:left="800" w:right="7" w:hanging="400"/>
        <w:spacing w:after="0" w:line="244" w:lineRule="auto"/>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Section 15(d) of the Securities Exchange Act of 1934, as amended; and</w:t>
      </w:r>
    </w:p>
    <w:p>
      <w:pPr>
        <w:spacing w:after="0" w:line="143" w:lineRule="exact"/>
        <w:rPr>
          <w:rFonts w:ascii="Times New Roman" w:cs="Times New Roman" w:eastAsia="Times New Roman" w:hAnsi="Times New Roman"/>
          <w:sz w:val="20"/>
          <w:szCs w:val="20"/>
          <w:color w:val="auto"/>
        </w:rPr>
      </w:pPr>
    </w:p>
    <w:p>
      <w:pPr>
        <w:ind w:left="800" w:right="7" w:hanging="400"/>
        <w:spacing w:after="0" w:line="244" w:lineRule="auto"/>
        <w:tabs>
          <w:tab w:leader="none" w:pos="8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tabs>
          <w:tab w:leader="none" w:pos="4000" w:val="left"/>
          <w:tab w:leader="none" w:pos="6080" w:val="left"/>
        </w:tabs>
        <w:rPr>
          <w:sz w:val="20"/>
          <w:szCs w:val="20"/>
          <w:color w:val="auto"/>
        </w:rPr>
      </w:pPr>
      <w:r>
        <w:rPr>
          <w:rFonts w:ascii="Times New Roman" w:cs="Times New Roman" w:eastAsia="Times New Roman" w:hAnsi="Times New Roman"/>
          <w:sz w:val="20"/>
          <w:szCs w:val="20"/>
          <w:color w:val="auto"/>
        </w:rPr>
        <w:t>Date: March 13,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Steven B. Crockett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3006090</wp:posOffset>
                </wp:positionH>
                <wp:positionV relativeFrom="paragraph">
                  <wp:posOffset>1270</wp:posOffset>
                </wp:positionV>
                <wp:extent cx="28530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3055" cy="4763"/>
                        </a:xfrm>
                        <a:prstGeom prst="line">
                          <a:avLst/>
                        </a:prstGeom>
                        <a:solidFill>
                          <a:srgbClr val="FFFFFF"/>
                        </a:solidFill>
                        <a:ln w="6261">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7pt,0.1pt" to="461.35pt,0.1pt" o:allowincell="f" strokecolor="#000000" strokeweight="0.493pt"/>
            </w:pict>
          </mc:Fallback>
        </mc:AlternateContent>
      </w:r>
    </w:p>
    <w:p>
      <w:pPr>
        <w:spacing w:after="0" w:line="5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0"/>
          <w:szCs w:val="20"/>
          <w:color w:val="auto"/>
        </w:rPr>
        <w:t>Steven B. Crockett</w:t>
      </w:r>
    </w:p>
    <w:p>
      <w:pPr>
        <w:spacing w:after="0" w:line="21"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2060" w:h="15667" w:orient="portrait"/>
          <w:cols w:equalWidth="0" w:num="1">
            <w:col w:w="9227"/>
          </w:cols>
          <w:pgMar w:left="1400" w:top="904"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wp:posOffset>
            </wp:positionH>
            <wp:positionV relativeFrom="page">
              <wp:posOffset>276860</wp:posOffset>
            </wp:positionV>
            <wp:extent cx="7383780" cy="4194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9">
                      <a:extLst>
                        <a:ext uri="{28A0092B-C50C-407E-A947-70E740481C1C}"/>
                      </a:extLst>
                    </a:blip>
                    <a:srcRect/>
                    <a:stretch>
                      <a:fillRect/>
                    </a:stretch>
                  </pic:blipFill>
                  <pic:spPr bwMode="auto">
                    <a:xfrm>
                      <a:off x="0" y="0"/>
                      <a:ext cx="7383780" cy="419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60"/>
          <w:szCs w:val="60"/>
          <w:color w:val="FFFFFF"/>
        </w:rPr>
        <w:t>our</w:t>
      </w:r>
    </w:p>
    <w:p>
      <w:pPr>
        <w:ind w:left="7060"/>
        <w:spacing w:after="0"/>
        <w:rPr>
          <w:sz w:val="20"/>
          <w:szCs w:val="20"/>
          <w:color w:val="auto"/>
        </w:rPr>
      </w:pPr>
      <w:r>
        <w:rPr>
          <w:rFonts w:ascii="Times New Roman" w:cs="Times New Roman" w:eastAsia="Times New Roman" w:hAnsi="Times New Roman"/>
          <w:sz w:val="35"/>
          <w:szCs w:val="35"/>
          <w:color w:val="FFFFFF"/>
        </w:rPr>
        <w:t>management team</w:t>
      </w:r>
    </w:p>
    <w:p>
      <w:pPr>
        <w:spacing w:after="0" w:line="351" w:lineRule="exact"/>
        <w:rPr>
          <w:sz w:val="20"/>
          <w:szCs w:val="20"/>
          <w:color w:val="auto"/>
        </w:rPr>
      </w:pPr>
    </w:p>
    <w:p>
      <w:pPr>
        <w:ind w:left="7060" w:right="500"/>
        <w:spacing w:after="0" w:line="267" w:lineRule="auto"/>
        <w:rPr>
          <w:sz w:val="20"/>
          <w:szCs w:val="20"/>
          <w:color w:val="auto"/>
        </w:rPr>
      </w:pPr>
      <w:r>
        <w:rPr>
          <w:rFonts w:ascii="Arial" w:cs="Arial" w:eastAsia="Arial" w:hAnsi="Arial"/>
          <w:sz w:val="12"/>
          <w:szCs w:val="12"/>
          <w:b w:val="1"/>
          <w:bCs w:val="1"/>
          <w:color w:val="FFFFFF"/>
        </w:rPr>
        <w:t xml:space="preserve">Left to right: </w:t>
      </w:r>
      <w:r>
        <w:rPr>
          <w:rFonts w:ascii="Arial" w:cs="Arial" w:eastAsia="Arial" w:hAnsi="Arial"/>
          <w:sz w:val="12"/>
          <w:szCs w:val="12"/>
          <w:color w:val="FFFFFF"/>
        </w:rPr>
        <w:t>Cory T. Newsom, Mikella D. Newsom,</w:t>
      </w:r>
      <w:r>
        <w:rPr>
          <w:rFonts w:ascii="Arial" w:cs="Arial" w:eastAsia="Arial" w:hAnsi="Arial"/>
          <w:sz w:val="12"/>
          <w:szCs w:val="12"/>
          <w:b w:val="1"/>
          <w:bCs w:val="1"/>
          <w:color w:val="FFFFFF"/>
        </w:rPr>
        <w:t xml:space="preserve"> </w:t>
      </w:r>
      <w:r>
        <w:rPr>
          <w:rFonts w:ascii="Arial" w:cs="Arial" w:eastAsia="Arial" w:hAnsi="Arial"/>
          <w:sz w:val="12"/>
          <w:szCs w:val="12"/>
          <w:color w:val="FFFFFF"/>
        </w:rPr>
        <w:t>Steven B. Crockett, Curtis C. Griffith</w:t>
      </w:r>
    </w:p>
    <w:p>
      <w:pPr>
        <w:sectPr>
          <w:pgSz w:w="12060" w:h="15667" w:orient="portrait"/>
          <w:cols w:equalWidth="0" w:num="1">
            <w:col w:w="10180"/>
          </w:cols>
          <w:pgMar w:left="940" w:top="1440" w:right="947" w:bottom="1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EE0410"/>
        </w:rPr>
        <w:t>Management Team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Curtis C. Griffith</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Chairman and Chief Executive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Cory T. Newsom</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President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Steven B. Crockett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Chief Financial Officer and Treasurer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Mikella D. Newsom</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Chief Risk Officer and Secretary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EE0410"/>
        </w:rPr>
        <w:t>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Curtis C. Griffith</w:t>
      </w:r>
    </w:p>
    <w:p>
      <w:pPr>
        <w:spacing w:after="0" w:line="24" w:lineRule="exact"/>
        <w:rPr>
          <w:sz w:val="20"/>
          <w:szCs w:val="20"/>
          <w:color w:val="auto"/>
        </w:rPr>
      </w:pPr>
    </w:p>
    <w:p>
      <w:pPr>
        <w:ind w:right="300"/>
        <w:spacing w:after="0" w:line="230" w:lineRule="auto"/>
        <w:rPr>
          <w:sz w:val="20"/>
          <w:szCs w:val="20"/>
          <w:color w:val="auto"/>
        </w:rPr>
      </w:pPr>
      <w:r>
        <w:rPr>
          <w:rFonts w:ascii="Arial" w:cs="Arial" w:eastAsia="Arial" w:hAnsi="Arial"/>
          <w:sz w:val="16"/>
          <w:szCs w:val="16"/>
          <w:color w:val="0C0002"/>
        </w:rPr>
        <w:t>Chairman and Chief Executive Officer South Plains Financial,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Cory T. Newsom</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President</w:t>
      </w:r>
    </w:p>
    <w:p>
      <w:pPr>
        <w:spacing w:after="0" w:line="234" w:lineRule="auto"/>
        <w:rPr>
          <w:sz w:val="20"/>
          <w:szCs w:val="20"/>
          <w:color w:val="auto"/>
        </w:rPr>
      </w:pPr>
      <w:r>
        <w:rPr>
          <w:rFonts w:ascii="Arial" w:cs="Arial" w:eastAsia="Arial" w:hAnsi="Arial"/>
          <w:sz w:val="16"/>
          <w:szCs w:val="16"/>
          <w:color w:val="0C0002"/>
        </w:rPr>
        <w:t>South Plains Financial, Inc.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Richard D. Campbell</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Co-Manager</w:t>
      </w:r>
    </w:p>
    <w:p>
      <w:pPr>
        <w:spacing w:after="0" w:line="234" w:lineRule="auto"/>
        <w:rPr>
          <w:sz w:val="20"/>
          <w:szCs w:val="20"/>
          <w:color w:val="auto"/>
        </w:rPr>
      </w:pPr>
      <w:r>
        <w:rPr>
          <w:rFonts w:ascii="Arial" w:cs="Arial" w:eastAsia="Arial" w:hAnsi="Arial"/>
          <w:sz w:val="16"/>
          <w:szCs w:val="16"/>
          <w:color w:val="0C0002"/>
        </w:rPr>
        <w:t>Henry Resources 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Cynthia B. Keith</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Retired</w:t>
      </w:r>
    </w:p>
    <w:p>
      <w:pPr>
        <w:spacing w:after="0" w:line="234" w:lineRule="auto"/>
        <w:rPr>
          <w:sz w:val="20"/>
          <w:szCs w:val="20"/>
          <w:color w:val="auto"/>
        </w:rPr>
      </w:pPr>
      <w:r>
        <w:rPr>
          <w:rFonts w:ascii="Arial" w:cs="Arial" w:eastAsia="Arial" w:hAnsi="Arial"/>
          <w:sz w:val="16"/>
          <w:szCs w:val="16"/>
          <w:color w:val="0C0002"/>
        </w:rPr>
        <w:t>PricewaterhouseCoopers LLC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Noe G. Valles</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5"/>
          <w:szCs w:val="15"/>
          <w:color w:val="0C0002"/>
        </w:rPr>
        <w:t>Attorney, Pre-Litigation Managing Partner Glasheen, Valles and Inderman, LLP</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0C0002"/>
        </w:rPr>
        <w:t>Kyle R. Wargo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0C0002"/>
        </w:rPr>
        <w:t>Executive Director</w:t>
      </w:r>
    </w:p>
    <w:p>
      <w:pPr>
        <w:spacing w:after="0" w:line="234" w:lineRule="auto"/>
        <w:rPr>
          <w:sz w:val="20"/>
          <w:szCs w:val="20"/>
          <w:color w:val="auto"/>
        </w:rPr>
      </w:pPr>
      <w:r>
        <w:rPr>
          <w:rFonts w:ascii="Arial" w:cs="Arial" w:eastAsia="Arial" w:hAnsi="Arial"/>
          <w:sz w:val="16"/>
          <w:szCs w:val="16"/>
          <w:color w:val="0C0002"/>
        </w:rPr>
        <w:t>Region 17 Education Service Center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EE0410"/>
        </w:rPr>
        <w:t>Corporate Headquarters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0002"/>
        </w:rPr>
        <w:t>5219 City Bank Pkwy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C0002"/>
        </w:rPr>
        <w:t>Lubbock, TX 79408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C0002"/>
        </w:rPr>
        <w:t>(800) 687-2265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Investor Relations</w:t>
      </w:r>
    </w:p>
    <w:p>
      <w:pPr>
        <w:spacing w:after="0" w:line="104" w:lineRule="exact"/>
        <w:rPr>
          <w:sz w:val="20"/>
          <w:szCs w:val="20"/>
          <w:color w:val="auto"/>
        </w:rPr>
      </w:pPr>
    </w:p>
    <w:p>
      <w:pPr>
        <w:ind w:left="4" w:right="1700" w:hanging="4"/>
        <w:spacing w:after="0" w:line="347" w:lineRule="auto"/>
        <w:tabs>
          <w:tab w:leader="none" w:pos="490" w:val="left"/>
        </w:tabs>
        <w:numPr>
          <w:ilvl w:val="0"/>
          <w:numId w:val="49"/>
        </w:numPr>
        <w:rPr>
          <w:rFonts w:ascii="Arial" w:cs="Arial" w:eastAsia="Arial" w:hAnsi="Arial"/>
          <w:sz w:val="16"/>
          <w:szCs w:val="16"/>
          <w:color w:val="0C0002"/>
        </w:rPr>
      </w:pPr>
      <w:r>
        <w:rPr>
          <w:rFonts w:ascii="Arial" w:cs="Arial" w:eastAsia="Arial" w:hAnsi="Arial"/>
          <w:sz w:val="16"/>
          <w:szCs w:val="16"/>
          <w:color w:val="0C0002"/>
        </w:rPr>
        <w:t>771-3347 investors@city.bank</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Transfer Agent</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0C0002"/>
        </w:rPr>
        <w:t>Broadridge Corporate Issuer Solutions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P.O. Box 1342</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Brentwood, NY 11717</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(877) 830-4936</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Stock Information</w:t>
      </w:r>
    </w:p>
    <w:p>
      <w:pPr>
        <w:spacing w:after="0" w:line="104" w:lineRule="exact"/>
        <w:rPr>
          <w:sz w:val="20"/>
          <w:szCs w:val="20"/>
          <w:color w:val="auto"/>
        </w:rPr>
      </w:pPr>
    </w:p>
    <w:p>
      <w:pPr>
        <w:jc w:val="both"/>
        <w:ind w:left="4" w:right="20"/>
        <w:spacing w:after="0" w:line="346" w:lineRule="auto"/>
        <w:rPr>
          <w:sz w:val="20"/>
          <w:szCs w:val="20"/>
          <w:color w:val="auto"/>
        </w:rPr>
      </w:pPr>
      <w:r>
        <w:rPr>
          <w:rFonts w:ascii="Arial" w:cs="Arial" w:eastAsia="Arial" w:hAnsi="Arial"/>
          <w:sz w:val="15"/>
          <w:szCs w:val="15"/>
          <w:color w:val="0C0002"/>
        </w:rPr>
        <w:t>The common stock of South Plains Financial, Inc. is traded on the NASDAQ Global Select Market under the symbol “SPFI.”</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Independent Auditors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0C0002"/>
        </w:rPr>
        <w:t>FORVIS, LLP</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Annual Meeting</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0C0002"/>
        </w:rPr>
        <w:t>For information on the 2023 Annual</w:t>
      </w:r>
    </w:p>
    <w:p>
      <w:pPr>
        <w:spacing w:after="0" w:line="23" w:lineRule="exact"/>
        <w:rPr>
          <w:sz w:val="20"/>
          <w:szCs w:val="20"/>
          <w:color w:val="auto"/>
        </w:rPr>
      </w:pPr>
    </w:p>
    <w:p>
      <w:pPr>
        <w:jc w:val="both"/>
        <w:ind w:left="4" w:right="620"/>
        <w:spacing w:after="0" w:line="286" w:lineRule="auto"/>
        <w:rPr>
          <w:sz w:val="20"/>
          <w:szCs w:val="20"/>
          <w:color w:val="auto"/>
        </w:rPr>
      </w:pPr>
      <w:r>
        <w:rPr>
          <w:rFonts w:ascii="Arial" w:cs="Arial" w:eastAsia="Arial" w:hAnsi="Arial"/>
          <w:sz w:val="17"/>
          <w:szCs w:val="17"/>
          <w:color w:val="0C0002"/>
        </w:rPr>
        <w:t xml:space="preserve">Shareholder Meeting, please visit: </w:t>
      </w:r>
      <w:r>
        <w:rPr>
          <w:rFonts w:ascii="Arial" w:cs="Arial" w:eastAsia="Arial" w:hAnsi="Arial"/>
          <w:sz w:val="17"/>
          <w:szCs w:val="17"/>
          <w:b w:val="1"/>
          <w:bCs w:val="1"/>
          <w:color w:val="0C0002"/>
        </w:rPr>
        <w:t>https://www.spfi.bank/investor-resources/annual-meeting</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EE0410"/>
        </w:rPr>
        <w:t>Form 10-K</w:t>
      </w:r>
    </w:p>
    <w:p>
      <w:pPr>
        <w:spacing w:after="0" w:line="104"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0C0002"/>
        </w:rPr>
        <w:t>The 2022 Annual Report on Form 10-K filed with the Securities and Exchange</w:t>
      </w:r>
    </w:p>
    <w:p>
      <w:pPr>
        <w:spacing w:after="0" w:line="2"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0C0002"/>
        </w:rPr>
        <w:t xml:space="preserve">Commission is available on our website at </w:t>
      </w:r>
      <w:r>
        <w:rPr>
          <w:rFonts w:ascii="Arial" w:cs="Arial" w:eastAsia="Arial" w:hAnsi="Arial"/>
          <w:sz w:val="16"/>
          <w:szCs w:val="16"/>
          <w:b w:val="1"/>
          <w:bCs w:val="1"/>
          <w:color w:val="0C0002"/>
        </w:rPr>
        <w:t>https://www.spfi.bank/financials-filings/annual-reports</w:t>
      </w:r>
      <w:r>
        <w:rPr>
          <w:rFonts w:ascii="Arial" w:cs="Arial" w:eastAsia="Arial" w:hAnsi="Arial"/>
          <w:sz w:val="16"/>
          <w:szCs w:val="16"/>
          <w:color w:val="0C0002"/>
        </w:rPr>
        <w:t>. In addition, we will</w:t>
      </w:r>
    </w:p>
    <w:p>
      <w:pPr>
        <w:spacing w:after="0" w:line="2"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0C0002"/>
        </w:rPr>
        <w:t>provide without charge a copy of the 2022 Annual Report on Form 10-K, including financial statements and schedules, upon the written request of a shareholder to:</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8"/>
          <w:szCs w:val="18"/>
          <w:color w:val="0C0002"/>
        </w:rPr>
        <w:t>Mikella D. Newsom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Secretary</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South Plains Financial, Inc.</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5219 City Bank Pkwy</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0C0002"/>
        </w:rPr>
        <w:t>Lubbock, TX 79408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EE0410"/>
        </w:rPr>
        <w:t>Forward-Looking Statements</w:t>
      </w:r>
    </w:p>
    <w:p>
      <w:pPr>
        <w:spacing w:after="0" w:line="106" w:lineRule="exact"/>
        <w:rPr>
          <w:sz w:val="20"/>
          <w:szCs w:val="20"/>
          <w:color w:val="auto"/>
        </w:rPr>
      </w:pPr>
    </w:p>
    <w:p>
      <w:pPr>
        <w:spacing w:after="0" w:line="302" w:lineRule="auto"/>
        <w:rPr>
          <w:sz w:val="20"/>
          <w:szCs w:val="20"/>
          <w:color w:val="auto"/>
        </w:rPr>
      </w:pPr>
      <w:r>
        <w:rPr>
          <w:rFonts w:ascii="Arial" w:cs="Arial" w:eastAsia="Arial" w:hAnsi="Arial"/>
          <w:sz w:val="14"/>
          <w:szCs w:val="14"/>
          <w:color w:val="0C0002"/>
        </w:rPr>
        <w:t>Certain statements herein may constitute forward-looking statements, which involve a number of risks and uncertainties. We caution readers that any forward-looking statements are based largely on our expectations and are subject to a number of known and unknown risks and uncertainties that are subject to change based on factors which are, in many instances, beyond our control. Additional information regarding these risks and uncertainties to which our business and future financial performance are subject is contained in our most recent Annual Report on Form 10-K and Quarterly Reports on Form 10-Q on file with the Securities and Exchange Commission (SEC), and other documents we file with the SEC from</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4"/>
          <w:szCs w:val="14"/>
          <w:color w:val="0C0002"/>
        </w:rPr>
        <w:t>time to time. South Plains urges readers of this annual report to review the “</w:t>
      </w:r>
      <w:r>
        <w:rPr>
          <w:rFonts w:ascii="Arial" w:cs="Arial" w:eastAsia="Arial" w:hAnsi="Arial"/>
          <w:sz w:val="14"/>
          <w:szCs w:val="14"/>
          <w:i w:val="1"/>
          <w:iCs w:val="1"/>
          <w:color w:val="0C0002"/>
        </w:rPr>
        <w:t>Risk Factors</w:t>
      </w:r>
      <w:r>
        <w:rPr>
          <w:rFonts w:ascii="Arial" w:cs="Arial" w:eastAsia="Arial" w:hAnsi="Arial"/>
          <w:sz w:val="14"/>
          <w:szCs w:val="14"/>
          <w:color w:val="0C0002"/>
        </w:rPr>
        <w:t>” section</w:t>
      </w:r>
    </w:p>
    <w:p>
      <w:pPr>
        <w:spacing w:after="0" w:line="278" w:lineRule="auto"/>
        <w:rPr>
          <w:sz w:val="20"/>
          <w:szCs w:val="20"/>
          <w:color w:val="auto"/>
        </w:rPr>
      </w:pPr>
      <w:r>
        <w:rPr>
          <w:rFonts w:ascii="Arial" w:cs="Arial" w:eastAsia="Arial" w:hAnsi="Arial"/>
          <w:sz w:val="15"/>
          <w:szCs w:val="15"/>
          <w:color w:val="0C0002"/>
        </w:rPr>
        <w:t>of our most recent Annual Report on Form 10-K, as well as the “</w:t>
      </w:r>
      <w:r>
        <w:rPr>
          <w:rFonts w:ascii="Arial" w:cs="Arial" w:eastAsia="Arial" w:hAnsi="Arial"/>
          <w:sz w:val="15"/>
          <w:szCs w:val="15"/>
          <w:i w:val="1"/>
          <w:iCs w:val="1"/>
          <w:color w:val="0C0002"/>
        </w:rPr>
        <w:t>Risk Factors</w:t>
      </w:r>
      <w:r>
        <w:rPr>
          <w:rFonts w:ascii="Arial" w:cs="Arial" w:eastAsia="Arial" w:hAnsi="Arial"/>
          <w:sz w:val="15"/>
          <w:szCs w:val="15"/>
          <w:color w:val="0C0002"/>
        </w:rPr>
        <w:t>” section of other</w:t>
      </w:r>
    </w:p>
    <w:p>
      <w:pPr>
        <w:spacing w:after="0" w:line="280" w:lineRule="auto"/>
        <w:rPr>
          <w:sz w:val="20"/>
          <w:szCs w:val="20"/>
          <w:color w:val="auto"/>
        </w:rPr>
      </w:pPr>
      <w:r>
        <w:rPr>
          <w:rFonts w:ascii="Arial" w:cs="Arial" w:eastAsia="Arial" w:hAnsi="Arial"/>
          <w:sz w:val="15"/>
          <w:szCs w:val="15"/>
          <w:color w:val="0C0002"/>
        </w:rPr>
        <w:t>documents South Plains files or furnishes with the SEC from time to time, which are available on the SEC’s website, www.sec.gov. Due to these and other possible uncertainties and risks, the Company can give no assurance that the results contemplated in the forward-looking statements will be realized and readers are cautioned not to place undue reliance on the forward-looking statements contained in this annual report. Any forward-looking statements presented herein are made only as of the date of this annual report, and we do not undertake any obligation to update or revise any forward-looking statements to reflect changes in assumptions, new information, the occurrence of unanticipated events, or otherwise, except as required by law. All forward-looking statements, express or implied, included in this annual report are qualified in their entirety by this cautionary statement.</w:t>
      </w:r>
    </w:p>
    <w:p>
      <w:pPr>
        <w:sectPr>
          <w:pgSz w:w="12060" w:h="15667" w:orient="portrait"/>
          <w:cols w:equalWidth="0" w:num="3">
            <w:col w:w="2840" w:space="636"/>
            <w:col w:w="3224" w:space="260"/>
            <w:col w:w="3220"/>
          </w:cols>
          <w:pgMar w:left="940" w:top="1440" w:right="947" w:bottom="126" w:gutter="0" w:footer="0" w:header="0"/>
          <w:type w:val="continuous"/>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684530</wp:posOffset>
            </wp:positionV>
            <wp:extent cx="7662545" cy="8249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0">
                      <a:extLst>
                        <a:ext uri="{28A0092B-C50C-407E-A947-70E740481C1C}"/>
                      </a:extLst>
                    </a:blip>
                    <a:srcRect/>
                    <a:stretch>
                      <a:fillRect/>
                    </a:stretch>
                  </pic:blipFill>
                  <pic:spPr bwMode="auto">
                    <a:xfrm>
                      <a:off x="0" y="0"/>
                      <a:ext cx="7662545" cy="824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40"/>
        <w:spacing w:after="0"/>
        <w:rPr>
          <w:sz w:val="20"/>
          <w:szCs w:val="20"/>
          <w:color w:val="auto"/>
        </w:rPr>
      </w:pPr>
      <w:r>
        <w:rPr>
          <w:rFonts w:ascii="Arial" w:cs="Arial" w:eastAsia="Arial" w:hAnsi="Arial"/>
          <w:sz w:val="14"/>
          <w:szCs w:val="14"/>
          <w:color w:val="0C0002"/>
        </w:rPr>
        <w:t>5219 City Bank Pkwy</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16"/>
          <w:szCs w:val="16"/>
          <w:color w:val="0C0002"/>
        </w:rPr>
        <w:t>Lubbock, TX 79408</w:t>
      </w:r>
    </w:p>
    <w:p>
      <w:pPr>
        <w:spacing w:after="0" w:line="36" w:lineRule="exact"/>
        <w:rPr>
          <w:sz w:val="20"/>
          <w:szCs w:val="20"/>
          <w:color w:val="auto"/>
        </w:rPr>
      </w:pPr>
    </w:p>
    <w:p>
      <w:pPr>
        <w:ind w:left="940"/>
        <w:spacing w:after="0"/>
        <w:rPr>
          <w:sz w:val="20"/>
          <w:szCs w:val="20"/>
          <w:color w:val="auto"/>
        </w:rPr>
      </w:pPr>
      <w:r>
        <w:rPr>
          <w:rFonts w:ascii="Arial" w:cs="Arial" w:eastAsia="Arial" w:hAnsi="Arial"/>
          <w:sz w:val="16"/>
          <w:szCs w:val="16"/>
          <w:color w:val="0C0002"/>
        </w:rPr>
        <w:t>(800) 687-2265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2771140</wp:posOffset>
            </wp:positionV>
            <wp:extent cx="647065" cy="114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1">
                      <a:extLst>
                        <a:ext uri="{28A0092B-C50C-407E-A947-70E740481C1C}"/>
                      </a:extLst>
                    </a:blip>
                    <a:srcRect/>
                    <a:stretch>
                      <a:fillRect/>
                    </a:stretch>
                  </pic:blipFill>
                  <pic:spPr bwMode="auto">
                    <a:xfrm>
                      <a:off x="0" y="0"/>
                      <a:ext cx="647065" cy="1149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2522220</wp:posOffset>
            </wp:positionV>
            <wp:extent cx="1403985" cy="138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2">
                      <a:extLst>
                        <a:ext uri="{28A0092B-C50C-407E-A947-70E740481C1C}"/>
                      </a:extLst>
                    </a:blip>
                    <a:srcRect/>
                    <a:stretch>
                      <a:fillRect/>
                    </a:stretch>
                  </pic:blipFill>
                  <pic:spPr bwMode="auto">
                    <a:xfrm>
                      <a:off x="0" y="0"/>
                      <a:ext cx="1403985" cy="13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4C4C4C"/>
        </w:rPr>
        <w:t>©2023 City Bank.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-78740</wp:posOffset>
            </wp:positionV>
            <wp:extent cx="295275" cy="81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3">
                      <a:extLst>
                        <a:ext uri="{28A0092B-C50C-407E-A947-70E740481C1C}"/>
                      </a:extLst>
                    </a:blip>
                    <a:srcRect/>
                    <a:stretch>
                      <a:fillRect/>
                    </a:stretch>
                  </pic:blipFill>
                  <pic:spPr bwMode="auto">
                    <a:xfrm>
                      <a:off x="0" y="0"/>
                      <a:ext cx="295275" cy="8128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-83185</wp:posOffset>
            </wp:positionV>
            <wp:extent cx="514350" cy="95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extLst>
                        <a:ext uri="{28A0092B-C50C-407E-A947-70E740481C1C}"/>
                      </a:extLst>
                    </a:blip>
                    <a:srcRect/>
                    <a:stretch>
                      <a:fillRect/>
                    </a:stretch>
                  </pic:blipFill>
                  <pic:spPr bwMode="auto">
                    <a:xfrm>
                      <a:off x="0" y="0"/>
                      <a:ext cx="514350" cy="95250"/>
                    </a:xfrm>
                    <a:prstGeom prst="rect">
                      <a:avLst/>
                    </a:prstGeom>
                    <a:noFill/>
                  </pic:spPr>
                </pic:pic>
              </a:graphicData>
            </a:graphic>
          </wp:anchor>
        </w:drawing>
      </w:r>
    </w:p>
    <w:sectPr>
      <w:pgSz w:w="12060" w:h="15667" w:orient="portrait"/>
      <w:cols w:equalWidth="0" w:num="1">
        <w:col w:w="9687"/>
      </w:cols>
      <w:pgMar w:left="940" w:top="1440" w:right="1440" w:bottom="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upperLetter"/>
      <w:start w:val="61"/>
    </w:lvl>
  </w:abstractNum>
  <w:abstractNum w:abstractNumId="9">
    <w:nsid w:val="3A95F874"/>
    <w:multiLevelType w:val="hybridMultilevel"/>
    <w:lvl w:ilvl="0">
      <w:lvlJc w:val="left"/>
      <w:lvlText w:val="(%1)"/>
      <w:numFmt w:val="lowerRoman"/>
      <w:start w:val="2"/>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4"/>
    </w:lvl>
  </w:abstractNum>
  <w:abstractNum w:abstractNumId="14">
    <w:nsid w:val="6CEAF087"/>
    <w:multiLevelType w:val="hybridMultilevel"/>
    <w:lvl w:ilvl="0">
      <w:lvlJc w:val="left"/>
      <w:lvlText w:val="(%1)"/>
      <w:numFmt w:val="lowerRoman"/>
      <w:start w:val="6"/>
    </w:lvl>
  </w:abstractNum>
  <w:abstractNum w:abstractNumId="15">
    <w:nsid w:val="22221A70"/>
    <w:multiLevelType w:val="hybridMultilevel"/>
    <w:lvl w:ilvl="0">
      <w:lvlJc w:val="left"/>
      <w:lvlText w:val="(%1)"/>
      <w:numFmt w:val="lowerRoman"/>
      <w:start w:val="8"/>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lowerRoman"/>
      <w:start w:val="3"/>
    </w:lvl>
  </w:abstractNum>
  <w:abstractNum w:abstractNumId="20">
    <w:nsid w:val="5577F8E1"/>
    <w:multiLevelType w:val="hybridMultilevel"/>
    <w:lvl w:ilvl="0">
      <w:lvlJc w:val="left"/>
      <w:lvlText w:val="(%1)"/>
      <w:numFmt w:val="lowerRoman"/>
      <w:start w:val="3"/>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2"/>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1."/>
      <w:numFmt w:val="decimal"/>
      <w:start w:val="4"/>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6"/>
    </w:lvl>
  </w:abstractNum>
  <w:abstractNum w:abstractNumId="32">
    <w:nsid w:val="153EA438"/>
    <w:multiLevelType w:val="hybridMultilevel"/>
    <w:lvl w:ilvl="0">
      <w:lvlJc w:val="left"/>
      <w:lvlText w:val="%1."/>
      <w:numFmt w:val="decimal"/>
      <w:start w:val="7"/>
    </w:lvl>
  </w:abstractNum>
  <w:abstractNum w:abstractNumId="33">
    <w:nsid w:val="3855585C"/>
    <w:multiLevelType w:val="hybridMultilevel"/>
    <w:lvl w:ilvl="0">
      <w:lvlJc w:val="left"/>
      <w:lvlText w:val="%1."/>
      <w:numFmt w:val="decimal"/>
      <w:start w:val="8"/>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3"/>
    </w:lvl>
  </w:abstractNum>
  <w:abstractNum w:abstractNumId="36">
    <w:nsid w:val="2A487CB0"/>
    <w:multiLevelType w:val="hybridMultilevel"/>
    <w:lvl w:ilvl="0">
      <w:lvlJc w:val="left"/>
      <w:lvlText w:val="%1."/>
      <w:numFmt w:val="decimal"/>
      <w:start w:val="16"/>
    </w:lvl>
  </w:abstractNum>
  <w:abstractNum w:abstractNumId="37">
    <w:nsid w:val="1D4ED43B"/>
    <w:multiLevelType w:val="hybridMultilevel"/>
    <w:lvl w:ilvl="0">
      <w:lvlJc w:val="left"/>
      <w:lvlText w:val="%1."/>
      <w:numFmt w:val="decimal"/>
      <w:start w:val="19"/>
    </w:lvl>
  </w:abstractNum>
  <w:abstractNum w:abstractNumId="38">
    <w:nsid w:val="725A06FB"/>
    <w:multiLevelType w:val="hybridMultilevel"/>
    <w:lvl w:ilvl="0">
      <w:lvlJc w:val="left"/>
      <w:lvlText w:val="%1."/>
      <w:numFmt w:val="decimal"/>
      <w:start w:val="2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2023-04-07T05:15:49Z</dcterms:created>
  <dcterms:modified xsi:type="dcterms:W3CDTF">2023-04-07T05:15:49Z</dcterms:modified>
</cp:coreProperties>
</file>