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7674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7674610"/>
                    </a:xfrm>
                    <a:prstGeom prst="rect">
                      <a:avLst/>
                    </a:prstGeom>
                    <a:noFill/>
                  </pic:spPr>
                </pic:pic>
              </a:graphicData>
            </a:graphic>
          </wp:anchor>
        </w:drawing>
      </w:r>
    </w:p>
    <w:p>
      <w:pPr>
        <w:spacing w:after="0" w:line="113" w:lineRule="exact"/>
        <w:rPr>
          <w:sz w:val="24"/>
          <w:szCs w:val="24"/>
          <w:color w:val="auto"/>
        </w:rPr>
      </w:pPr>
    </w:p>
    <w:p>
      <w:pPr>
        <w:sectPr>
          <w:pgSz w:w="11900" w:h="16894"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Griffith Curtis C</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200"/>
              <w:spacing w:after="0"/>
              <w:rPr>
                <w:sz w:val="20"/>
                <w:szCs w:val="20"/>
                <w:color w:val="auto"/>
              </w:rPr>
            </w:pPr>
            <w:r>
              <w:rPr>
                <w:rFonts w:ascii="Arial" w:cs="Arial" w:eastAsia="Arial" w:hAnsi="Arial"/>
                <w:sz w:val="13"/>
                <w:szCs w:val="13"/>
                <w:color w:val="auto"/>
              </w:rPr>
              <w:t>(First)</w:t>
            </w:r>
          </w:p>
        </w:tc>
        <w:tc>
          <w:tcPr>
            <w:tcW w:w="132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5219 CITY BANK PARKWAY</w:t>
            </w:r>
          </w:p>
        </w:tc>
        <w:tc>
          <w:tcPr>
            <w:tcW w:w="13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LUBBOCK</w:t>
            </w:r>
          </w:p>
        </w:tc>
        <w:tc>
          <w:tcPr>
            <w:tcW w:w="13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3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79407-3544</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ind w:left="200"/>
              <w:spacing w:after="0"/>
              <w:rPr>
                <w:sz w:val="20"/>
                <w:szCs w:val="20"/>
                <w:color w:val="auto"/>
              </w:rPr>
            </w:pPr>
            <w:r>
              <w:rPr>
                <w:rFonts w:ascii="Arial" w:cs="Arial" w:eastAsia="Arial" w:hAnsi="Arial"/>
                <w:sz w:val="13"/>
                <w:szCs w:val="13"/>
                <w:color w:val="auto"/>
              </w:rPr>
              <w:t>(State)</w:t>
            </w:r>
          </w:p>
        </w:tc>
        <w:tc>
          <w:tcPr>
            <w:tcW w:w="132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SOUTH PLAINS FINANCIAL,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240" w:type="dxa"/>
            <w:vAlign w:val="bottom"/>
            <w:tcBorders>
              <w:bottom w:val="single" w:sz="8" w:color="0000EE"/>
            </w:tcBorders>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SPFI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8"/>
        </w:trPr>
        <w:tc>
          <w:tcPr>
            <w:tcW w:w="80" w:type="dxa"/>
            <w:vAlign w:val="bottom"/>
            <w:tcBorders>
              <w:bottom w:val="single" w:sz="8" w:color="2C2C2C"/>
            </w:tcBorders>
          </w:tcPr>
          <w:p>
            <w:pPr>
              <w:spacing w:after="0"/>
              <w:rPr>
                <w:sz w:val="7"/>
                <w:szCs w:val="7"/>
                <w:color w:val="auto"/>
              </w:rPr>
            </w:pPr>
          </w:p>
        </w:tc>
        <w:tc>
          <w:tcPr>
            <w:tcW w:w="3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37"/>
        </w:trPr>
        <w:tc>
          <w:tcPr>
            <w:tcW w:w="80" w:type="dxa"/>
            <w:vAlign w:val="bottom"/>
          </w:tcPr>
          <w:p>
            <w:pPr>
              <w:spacing w:after="0"/>
              <w:rPr>
                <w:sz w:val="3"/>
                <w:szCs w:val="3"/>
                <w:color w:val="auto"/>
              </w:rPr>
            </w:pPr>
          </w:p>
        </w:tc>
        <w:tc>
          <w:tcPr>
            <w:tcW w:w="3740" w:type="dxa"/>
            <w:vAlign w:val="bottom"/>
            <w:gridSpan w:val="2"/>
            <w:vMerge w:val="continue"/>
          </w:tcPr>
          <w:p>
            <w:pPr>
              <w:spacing w:after="0"/>
              <w:rPr>
                <w:sz w:val="3"/>
                <w:szCs w:val="3"/>
                <w:color w:val="auto"/>
              </w:rPr>
            </w:pPr>
          </w:p>
        </w:tc>
        <w:tc>
          <w:tcPr>
            <w:tcW w:w="3300" w:type="dxa"/>
            <w:vAlign w:val="bottom"/>
            <w:gridSpan w:val="2"/>
            <w:vMerge w:val="restart"/>
          </w:tcPr>
          <w:p>
            <w:pPr>
              <w:ind w:left="980"/>
              <w:spacing w:after="0"/>
              <w:rPr>
                <w:sz w:val="20"/>
                <w:szCs w:val="20"/>
                <w:color w:val="auto"/>
              </w:rPr>
            </w:pPr>
            <w:r>
              <w:rPr>
                <w:rFonts w:ascii="Times New Roman" w:cs="Times New Roman" w:eastAsia="Times New Roman" w:hAnsi="Times New Roman"/>
                <w:sz w:val="17"/>
                <w:szCs w:val="17"/>
                <w:color w:val="0000FF"/>
              </w:rPr>
              <w:t>Chairman and CEO</w:t>
            </w:r>
          </w:p>
        </w:tc>
        <w:tc>
          <w:tcPr>
            <w:tcW w:w="0" w:type="dxa"/>
            <w:vAlign w:val="bottom"/>
          </w:tcPr>
          <w:p>
            <w:pPr>
              <w:spacing w:after="0" w:line="20" w:lineRule="exact"/>
              <w:rPr>
                <w:sz w:val="1"/>
                <w:szCs w:val="1"/>
                <w:color w:val="auto"/>
              </w:rPr>
            </w:pPr>
          </w:p>
        </w:tc>
      </w:tr>
      <w:tr>
        <w:trPr>
          <w:trHeight w:val="226"/>
        </w:trPr>
        <w:tc>
          <w:tcPr>
            <w:tcW w:w="3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08/15/2024</w:t>
            </w:r>
          </w:p>
        </w:tc>
        <w:tc>
          <w:tcPr>
            <w:tcW w:w="500" w:type="dxa"/>
            <w:vAlign w:val="bottom"/>
          </w:tcPr>
          <w:p>
            <w:pPr>
              <w:spacing w:after="0"/>
              <w:rPr>
                <w:sz w:val="19"/>
                <w:szCs w:val="19"/>
                <w:color w:val="auto"/>
              </w:rPr>
            </w:pPr>
          </w:p>
        </w:tc>
        <w:tc>
          <w:tcPr>
            <w:tcW w:w="33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80" w:type="dxa"/>
            <w:vAlign w:val="bottom"/>
            <w:tcBorders>
              <w:bottom w:val="single" w:sz="8" w:color="2C2C2C"/>
            </w:tcBorders>
          </w:tcPr>
          <w:p>
            <w:pPr>
              <w:spacing w:after="0"/>
              <w:rPr>
                <w:sz w:val="7"/>
                <w:szCs w:val="7"/>
                <w:color w:val="auto"/>
              </w:rPr>
            </w:pPr>
          </w:p>
        </w:tc>
        <w:tc>
          <w:tcPr>
            <w:tcW w:w="3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300" w:type="dxa"/>
            <w:vAlign w:val="bottom"/>
            <w:tcBorders>
              <w:bottom w:val="single" w:sz="8" w:color="2C2C2C"/>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94"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40" w:type="dxa"/>
            <w:vAlign w:val="bottom"/>
            <w:gridSpan w:val="3"/>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08/15/2024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50,000</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gridSpan w:val="3"/>
          </w:tcPr>
          <w:p>
            <w:pPr>
              <w:jc w:val="right"/>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915,967</w:t>
            </w:r>
            <w:r>
              <w:rPr>
                <w:rFonts w:ascii="Times New Roman" w:cs="Times New Roman" w:eastAsia="Times New Roman" w:hAnsi="Times New Roman"/>
                <w:sz w:val="22"/>
                <w:szCs w:val="22"/>
                <w:color w:val="008000"/>
                <w:w w:val="93"/>
                <w:vertAlign w:val="superscript"/>
              </w:rPr>
              <w:t>(2)</w:t>
            </w:r>
          </w:p>
        </w:tc>
        <w:tc>
          <w:tcPr>
            <w:tcW w:w="920" w:type="dxa"/>
            <w:vAlign w:val="bottom"/>
            <w:tcBorders>
              <w:bottom w:val="single" w:sz="8" w:color="2C2C2C"/>
            </w:tcBorders>
          </w:tcPr>
          <w:p>
            <w:pPr>
              <w:jc w:val="center"/>
              <w:ind w:right="50"/>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45,360</w:t>
            </w:r>
          </w:p>
        </w:tc>
        <w:tc>
          <w:tcPr>
            <w:tcW w:w="920" w:type="dxa"/>
            <w:vAlign w:val="bottom"/>
            <w:vMerge w:val="restart"/>
          </w:tcPr>
          <w:p>
            <w:pPr>
              <w:jc w:val="center"/>
              <w:ind w:right="50"/>
              <w:spacing w:after="0"/>
              <w:rPr>
                <w:sz w:val="20"/>
                <w:szCs w:val="20"/>
                <w:color w:val="auto"/>
              </w:rPr>
            </w:pPr>
            <w:r>
              <w:rPr>
                <w:rFonts w:ascii="Times New Roman" w:cs="Times New Roman" w:eastAsia="Times New Roman" w:hAnsi="Times New Roman"/>
                <w:sz w:val="16"/>
                <w:szCs w:val="16"/>
                <w:color w:val="0000FF"/>
                <w:w w:val="74"/>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Spouse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435,000</w:t>
            </w:r>
          </w:p>
        </w:tc>
        <w:tc>
          <w:tcPr>
            <w:tcW w:w="920" w:type="dxa"/>
            <w:vAlign w:val="bottom"/>
            <w:vMerge w:val="restart"/>
          </w:tcPr>
          <w:p>
            <w:pPr>
              <w:jc w:val="center"/>
              <w:ind w:right="50"/>
              <w:spacing w:after="0"/>
              <w:rPr>
                <w:sz w:val="20"/>
                <w:szCs w:val="20"/>
                <w:color w:val="auto"/>
              </w:rPr>
            </w:pPr>
            <w:r>
              <w:rPr>
                <w:rFonts w:ascii="Times New Roman" w:cs="Times New Roman" w:eastAsia="Times New Roman" w:hAnsi="Times New Roman"/>
                <w:sz w:val="16"/>
                <w:szCs w:val="16"/>
                <w:color w:val="0000FF"/>
                <w:w w:val="74"/>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CCG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64,000</w:t>
            </w:r>
          </w:p>
        </w:tc>
        <w:tc>
          <w:tcPr>
            <w:tcW w:w="920" w:type="dxa"/>
            <w:vAlign w:val="bottom"/>
            <w:vMerge w:val="restart"/>
          </w:tcPr>
          <w:p>
            <w:pPr>
              <w:jc w:val="center"/>
              <w:ind w:right="50"/>
              <w:spacing w:after="0"/>
              <w:rPr>
                <w:sz w:val="20"/>
                <w:szCs w:val="20"/>
                <w:color w:val="auto"/>
              </w:rPr>
            </w:pPr>
            <w:r>
              <w:rPr>
                <w:rFonts w:ascii="Times New Roman" w:cs="Times New Roman" w:eastAsia="Times New Roman" w:hAnsi="Times New Roman"/>
                <w:sz w:val="16"/>
                <w:szCs w:val="16"/>
                <w:color w:val="0000FF"/>
                <w:w w:val="74"/>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RTW</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87,000</w:t>
            </w:r>
          </w:p>
        </w:tc>
        <w:tc>
          <w:tcPr>
            <w:tcW w:w="920" w:type="dxa"/>
            <w:vAlign w:val="bottom"/>
            <w:vMerge w:val="restart"/>
          </w:tcPr>
          <w:p>
            <w:pPr>
              <w:jc w:val="center"/>
              <w:ind w:right="50"/>
              <w:spacing w:after="0"/>
              <w:rPr>
                <w:sz w:val="20"/>
                <w:szCs w:val="20"/>
                <w:color w:val="auto"/>
              </w:rPr>
            </w:pPr>
            <w:r>
              <w:rPr>
                <w:rFonts w:ascii="Times New Roman" w:cs="Times New Roman" w:eastAsia="Times New Roman" w:hAnsi="Times New Roman"/>
                <w:sz w:val="16"/>
                <w:szCs w:val="16"/>
                <w:color w:val="0000FF"/>
                <w:w w:val="74"/>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BLW</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(6)</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87,000</w:t>
            </w:r>
          </w:p>
        </w:tc>
        <w:tc>
          <w:tcPr>
            <w:tcW w:w="920" w:type="dxa"/>
            <w:vAlign w:val="bottom"/>
          </w:tcPr>
          <w:p>
            <w:pPr>
              <w:jc w:val="center"/>
              <w:ind w:right="50"/>
              <w:spacing w:after="0"/>
              <w:rPr>
                <w:sz w:val="20"/>
                <w:szCs w:val="20"/>
                <w:color w:val="auto"/>
              </w:rPr>
            </w:pPr>
            <w:r>
              <w:rPr>
                <w:rFonts w:ascii="Times New Roman" w:cs="Times New Roman" w:eastAsia="Times New Roman" w:hAnsi="Times New Roman"/>
                <w:sz w:val="16"/>
                <w:szCs w:val="16"/>
                <w:color w:val="0000FF"/>
                <w:w w:val="74"/>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WHW</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(7)</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87,000</w:t>
            </w:r>
          </w:p>
        </w:tc>
        <w:tc>
          <w:tcPr>
            <w:tcW w:w="920" w:type="dxa"/>
            <w:vAlign w:val="bottom"/>
            <w:vMerge w:val="restart"/>
          </w:tcPr>
          <w:p>
            <w:pPr>
              <w:jc w:val="center"/>
              <w:ind w:right="50"/>
              <w:spacing w:after="0"/>
              <w:rPr>
                <w:sz w:val="20"/>
                <w:szCs w:val="20"/>
                <w:color w:val="auto"/>
              </w:rPr>
            </w:pPr>
            <w:r>
              <w:rPr>
                <w:rFonts w:ascii="Times New Roman" w:cs="Times New Roman" w:eastAsia="Times New Roman" w:hAnsi="Times New Roman"/>
                <w:sz w:val="16"/>
                <w:szCs w:val="16"/>
                <w:color w:val="0000FF"/>
                <w:w w:val="74"/>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SSG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(8)</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87,000</w:t>
            </w:r>
          </w:p>
        </w:tc>
        <w:tc>
          <w:tcPr>
            <w:tcW w:w="920" w:type="dxa"/>
            <w:vAlign w:val="bottom"/>
            <w:vMerge w:val="restart"/>
          </w:tcPr>
          <w:p>
            <w:pPr>
              <w:jc w:val="center"/>
              <w:ind w:right="50"/>
              <w:spacing w:after="0"/>
              <w:rPr>
                <w:sz w:val="20"/>
                <w:szCs w:val="20"/>
                <w:color w:val="auto"/>
              </w:rPr>
            </w:pPr>
            <w:r>
              <w:rPr>
                <w:rFonts w:ascii="Times New Roman" w:cs="Times New Roman" w:eastAsia="Times New Roman" w:hAnsi="Times New Roman"/>
                <w:sz w:val="16"/>
                <w:szCs w:val="16"/>
                <w:color w:val="0000FF"/>
                <w:w w:val="74"/>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JBG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to Noe G. Valles, a director of the Issuer, in a private transaction.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include restricted stock units that may be settled only by delivery of an equal number of shares of common stock and which are subject to vesting and forfeiture conditions.</w:t>
      </w:r>
    </w:p>
    <w:p>
      <w:pPr>
        <w:spacing w:after="0" w:line="5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owned by the Reporting Person's spouse. The Reporting Person disclaims beneficial ownership of these shares except to the extent of his pecuniary interest, and the filing of this report is not an admission that the Reporting Person is the beneficial owner of these shares for purposes of Section 16 or for any other purpose.</w:t>
      </w:r>
    </w:p>
    <w:p>
      <w:pPr>
        <w:spacing w:after="0" w:line="7"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Curtis C. Griffith 2021 Irrevocable Trust ("CCG Trust"), over which the Reporting Person's spouse, who shares the Reporting Person's household, serves as trustee. The members of the Reporting Person's immediate family are the beneficiaries of this trust. The Reporting Person disclaims beneficial ownership of these shares except to the extent of his pecuniary interest, and the filing of this report is not an admission that the Reporting Person is the beneficial owner of these shares for purposes of Section 16 or for any other purpose.</w:t>
      </w:r>
    </w:p>
    <w:p>
      <w:pPr>
        <w:spacing w:after="0" w:line="2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Richard Thomas White 2021 Trust ("RTW Trust"), over which the Reporting Person serves as trustee. A member of the Reporting Person's immediate family is the beneficiary of this trust.</w:t>
      </w:r>
    </w:p>
    <w:p>
      <w:pPr>
        <w:spacing w:after="0" w:line="7"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Birdie Lucille White 2021 Trust ("BLW Trust"), over which the Reporting Person serves as trustee. A member of the Reporting Person's immediate family is the beneficiary of this trust.</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William Hogan White 2021 Trust ("WHW Trust"), over which the Reporting Person serves as trustee. A member of the Reporting Person's immediate family is the beneficiary of this trust.</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Sydney Suzanne Griffith 2021 Trust ("SSG Trust"), over which the Reporting Person serves as trustee. A member of the Reporting Person's immediate family is the beneficiary of this</w:t>
      </w:r>
    </w:p>
    <w:p>
      <w:pPr>
        <w:sectPr>
          <w:pgSz w:w="11900" w:h="16894"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trust.</w:t>
      </w:r>
    </w:p>
    <w:p>
      <w:pPr>
        <w:spacing w:after="0" w:line="50" w:lineRule="exact"/>
        <w:rPr>
          <w:sz w:val="20"/>
          <w:szCs w:val="20"/>
          <w:color w:val="auto"/>
        </w:rPr>
      </w:pPr>
    </w:p>
    <w:p>
      <w:pPr>
        <w:ind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Johnathan Brockway Griffith 2021 Trust ("JBG Trust"), over which the Reporting Person serves as trustee. A member of the Reporting Person's immediate family is the beneficiary of this trust.</w:t>
      </w:r>
    </w:p>
    <w:p>
      <w:pPr>
        <w:spacing w:after="0" w:line="3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By Mikella D. Newsom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017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Curtis C.  08/16/2024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340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34010"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9"/>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5195" TargetMode="External"/><Relationship Id="rId13"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2024-08-16T16:29:19Z</dcterms:created>
  <dcterms:modified xsi:type="dcterms:W3CDTF">2024-08-16T16:29:19Z</dcterms:modified>
</cp:coreProperties>
</file>