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8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confidentially submitted to the Securities and Exchange Commission on January 16, 2019.</w:t>
      </w:r>
    </w:p>
    <w:p>
      <w:pPr>
        <w:ind w:left="8260" w:right="160" w:hanging="7855"/>
        <w:spacing w:after="0" w:line="297" w:lineRule="auto"/>
        <w:rPr>
          <w:sz w:val="20"/>
          <w:szCs w:val="20"/>
          <w:color w:val="auto"/>
        </w:rPr>
      </w:pPr>
      <w:r>
        <w:rPr>
          <w:rFonts w:ascii="Arial" w:cs="Arial" w:eastAsia="Arial" w:hAnsi="Arial"/>
          <w:sz w:val="10"/>
          <w:szCs w:val="10"/>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606933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93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6069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16"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jc w:val="center"/>
        <w:spacing w:after="0" w:line="219" w:lineRule="auto"/>
        <w:rPr>
          <w:sz w:val="20"/>
          <w:szCs w:val="20"/>
          <w:color w:val="auto"/>
        </w:rPr>
      </w:pPr>
      <w:r>
        <w:rPr>
          <w:rFonts w:ascii="Arial" w:cs="Arial" w:eastAsia="Arial" w:hAnsi="Arial"/>
          <w:sz w:val="18"/>
          <w:szCs w:val="18"/>
          <w:b w:val="1"/>
          <w:bCs w:val="1"/>
          <w:i w:val="1"/>
          <w:iCs w:val="1"/>
          <w:color w:val="auto"/>
        </w:rPr>
        <w:t>UNDER</w:t>
      </w:r>
    </w:p>
    <w:p>
      <w:pPr>
        <w:jc w:val="center"/>
        <w:spacing w:after="0" w:line="233" w:lineRule="auto"/>
        <w:rPr>
          <w:sz w:val="20"/>
          <w:szCs w:val="20"/>
          <w:color w:val="auto"/>
        </w:rPr>
      </w:pPr>
      <w:r>
        <w:rPr>
          <w:rFonts w:ascii="Arial" w:cs="Arial" w:eastAsia="Arial" w:hAnsi="Arial"/>
          <w:sz w:val="18"/>
          <w:szCs w:val="18"/>
          <w:b w:val="1"/>
          <w:bCs w:val="1"/>
          <w:i w:val="1"/>
          <w:iCs w:val="1"/>
          <w:color w:val="auto"/>
        </w:rPr>
        <w:t>THE SECURITIES ACT OF 1933</w:t>
      </w:r>
    </w:p>
    <w:p>
      <w:pPr>
        <w:jc w:val="center"/>
        <w:spacing w:after="0" w:line="197" w:lineRule="auto"/>
        <w:rPr>
          <w:sz w:val="20"/>
          <w:szCs w:val="20"/>
          <w:color w:val="auto"/>
        </w:rPr>
      </w:pPr>
      <w:r>
        <w:rPr>
          <w:rFonts w:ascii="Arial" w:cs="Arial" w:eastAsia="Arial" w:hAnsi="Arial"/>
          <w:sz w:val="29"/>
          <w:szCs w:val="29"/>
          <w:b w:val="1"/>
          <w:bCs w:val="1"/>
          <w:color w:val="auto"/>
        </w:rPr>
        <w:t>South Plains Financial,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9560"/>
          </w:cols>
          <w:pgMar w:left="1160" w:top="238" w:right="1179" w:bottom="1440" w:gutter="0" w:footer="0" w:header="0"/>
        </w:sectPr>
      </w:pPr>
    </w:p>
    <w:p>
      <w:pPr>
        <w:spacing w:after="0" w:line="68" w:lineRule="exact"/>
        <w:rPr>
          <w:sz w:val="24"/>
          <w:szCs w:val="24"/>
          <w:color w:val="auto"/>
        </w:rPr>
      </w:pPr>
    </w:p>
    <w:p>
      <w:pPr>
        <w:ind w:left="128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6022</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75-2453320</w:t>
      </w:r>
    </w:p>
    <w:p>
      <w:pPr>
        <w:spacing w:after="0" w:line="73" w:lineRule="exact"/>
        <w:rPr>
          <w:sz w:val="24"/>
          <w:szCs w:val="24"/>
          <w:color w:val="auto"/>
        </w:rPr>
      </w:pPr>
    </w:p>
    <w:p>
      <w:pPr>
        <w:sectPr>
          <w:pgSz w:w="11900" w:h="16838" w:orient="portrait"/>
          <w:cols w:equalWidth="0" w:num="3">
            <w:col w:w="3820" w:space="720"/>
            <w:col w:w="2340" w:space="720"/>
            <w:col w:w="1960"/>
          </w:cols>
          <w:pgMar w:left="1160" w:top="238" w:right="1179" w:bottom="1440" w:gutter="0" w:footer="0" w:header="0"/>
          <w:type w:val="continuous"/>
        </w:sectPr>
      </w:pPr>
    </w:p>
    <w:p>
      <w:pPr>
        <w:ind w:left="500" w:right="820" w:firstLine="34"/>
        <w:spacing w:after="0" w:line="287" w:lineRule="auto"/>
        <w:rPr>
          <w:sz w:val="20"/>
          <w:szCs w:val="20"/>
          <w:color w:val="auto"/>
        </w:rPr>
      </w:pPr>
      <w:r>
        <w:rPr>
          <w:rFonts w:ascii="Arial" w:cs="Arial" w:eastAsia="Arial" w:hAnsi="Arial"/>
          <w:sz w:val="16"/>
          <w:szCs w:val="16"/>
          <w:color w:val="auto"/>
        </w:rPr>
        <w:t>(State or other jurisdiction of (Primary Standard Industrial (I.R.S. Employer incorporation or organization) Classification Code Number) Identification Number) (Address, including zip code, and telephone number, including area code, of registrant’s principal executive offices)</w:t>
      </w:r>
    </w:p>
    <w:p>
      <w:pPr>
        <w:spacing w:after="0" w:line="20" w:lineRule="exact"/>
        <w:rPr>
          <w:sz w:val="24"/>
          <w:szCs w:val="24"/>
          <w:color w:val="auto"/>
        </w:rPr>
      </w:pPr>
    </w:p>
    <w:p>
      <w:pPr>
        <w:ind w:left="4180"/>
        <w:spacing w:after="0"/>
        <w:rPr>
          <w:sz w:val="20"/>
          <w:szCs w:val="20"/>
          <w:color w:val="auto"/>
        </w:rPr>
      </w:pPr>
      <w:r>
        <w:rPr>
          <w:rFonts w:ascii="Arial" w:cs="Arial" w:eastAsia="Arial" w:hAnsi="Arial"/>
          <w:sz w:val="16"/>
          <w:szCs w:val="16"/>
          <w:b w:val="1"/>
          <w:bCs w:val="1"/>
          <w:color w:val="auto"/>
        </w:rPr>
        <w:t>Curtis C. Griffith</w:t>
      </w:r>
    </w:p>
    <w:p>
      <w:pPr>
        <w:ind w:left="3440"/>
        <w:spacing w:after="0" w:line="211" w:lineRule="auto"/>
        <w:rPr>
          <w:sz w:val="20"/>
          <w:szCs w:val="20"/>
          <w:color w:val="auto"/>
        </w:rPr>
      </w:pPr>
      <w:r>
        <w:rPr>
          <w:rFonts w:ascii="Arial" w:cs="Arial" w:eastAsia="Arial" w:hAnsi="Arial"/>
          <w:sz w:val="16"/>
          <w:szCs w:val="16"/>
          <w:b w:val="1"/>
          <w:bCs w:val="1"/>
          <w:color w:val="auto"/>
        </w:rPr>
        <w:t>Chairman and Chief Executive Officer</w:t>
      </w:r>
    </w:p>
    <w:p>
      <w:pPr>
        <w:ind w:left="3920"/>
        <w:spacing w:after="0" w:line="211" w:lineRule="auto"/>
        <w:rPr>
          <w:sz w:val="20"/>
          <w:szCs w:val="20"/>
          <w:color w:val="auto"/>
        </w:rPr>
      </w:pPr>
      <w:r>
        <w:rPr>
          <w:rFonts w:ascii="Arial" w:cs="Arial" w:eastAsia="Arial" w:hAnsi="Arial"/>
          <w:sz w:val="16"/>
          <w:szCs w:val="16"/>
          <w:b w:val="1"/>
          <w:bCs w:val="1"/>
          <w:color w:val="auto"/>
        </w:rPr>
        <w:t>5219 City Bank Parkway</w:t>
      </w:r>
    </w:p>
    <w:p>
      <w:pPr>
        <w:ind w:left="4020"/>
        <w:spacing w:after="0" w:line="211" w:lineRule="auto"/>
        <w:rPr>
          <w:sz w:val="20"/>
          <w:szCs w:val="20"/>
          <w:color w:val="auto"/>
        </w:rPr>
      </w:pPr>
      <w:r>
        <w:rPr>
          <w:rFonts w:ascii="Arial" w:cs="Arial" w:eastAsia="Arial" w:hAnsi="Arial"/>
          <w:sz w:val="16"/>
          <w:szCs w:val="16"/>
          <w:b w:val="1"/>
          <w:bCs w:val="1"/>
          <w:color w:val="auto"/>
        </w:rPr>
        <w:t>Lubbock, Texas 79407</w:t>
      </w:r>
    </w:p>
    <w:p>
      <w:pPr>
        <w:ind w:left="4280"/>
        <w:spacing w:after="0" w:line="212" w:lineRule="auto"/>
        <w:rPr>
          <w:sz w:val="20"/>
          <w:szCs w:val="20"/>
          <w:color w:val="auto"/>
        </w:rPr>
      </w:pPr>
      <w:r>
        <w:rPr>
          <w:rFonts w:ascii="Arial" w:cs="Arial" w:eastAsia="Arial" w:hAnsi="Arial"/>
          <w:sz w:val="16"/>
          <w:szCs w:val="16"/>
          <w:b w:val="1"/>
          <w:bCs w:val="1"/>
          <w:color w:val="auto"/>
        </w:rPr>
        <w:t>(806) 792-7101</w:t>
      </w:r>
    </w:p>
    <w:p>
      <w:pPr>
        <w:ind w:left="1520"/>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ectPr>
          <w:pgSz w:w="11900" w:h="16838" w:orient="portrait"/>
          <w:cols w:equalWidth="0" w:num="1">
            <w:col w:w="9560"/>
          </w:cols>
          <w:pgMar w:left="1160" w:top="238" w:right="1179" w:bottom="1440" w:gutter="0" w:footer="0" w:header="0"/>
          <w:type w:val="continuous"/>
        </w:sectPr>
      </w:pPr>
    </w:p>
    <w:p>
      <w:pPr>
        <w:spacing w:after="0" w:line="69"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Peter G. Weinstock</w:t>
      </w:r>
    </w:p>
    <w:p>
      <w:pPr>
        <w:spacing w:after="0" w:line="26"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Heather A. Eastep</w:t>
      </w:r>
    </w:p>
    <w:p>
      <w:pPr>
        <w:spacing w:after="0" w:line="19" w:lineRule="exact"/>
        <w:rPr>
          <w:sz w:val="24"/>
          <w:szCs w:val="24"/>
          <w:color w:val="auto"/>
        </w:rPr>
      </w:pPr>
    </w:p>
    <w:p>
      <w:pPr>
        <w:jc w:val="center"/>
        <w:ind w:right="520"/>
        <w:spacing w:after="0"/>
        <w:rPr>
          <w:sz w:val="20"/>
          <w:szCs w:val="20"/>
          <w:color w:val="auto"/>
        </w:rPr>
      </w:pPr>
      <w:r>
        <w:rPr>
          <w:rFonts w:ascii="Arial" w:cs="Arial" w:eastAsia="Arial" w:hAnsi="Arial"/>
          <w:sz w:val="15"/>
          <w:szCs w:val="15"/>
          <w:b w:val="1"/>
          <w:bCs w:val="1"/>
          <w:color w:val="auto"/>
        </w:rPr>
        <w:t>Hunton Andrews Kurth LLP</w:t>
      </w:r>
    </w:p>
    <w:p>
      <w:pPr>
        <w:spacing w:after="0" w:line="30" w:lineRule="exact"/>
        <w:rPr>
          <w:sz w:val="24"/>
          <w:szCs w:val="24"/>
          <w:color w:val="auto"/>
        </w:rPr>
      </w:pPr>
    </w:p>
    <w:p>
      <w:pPr>
        <w:jc w:val="center"/>
        <w:ind w:right="520"/>
        <w:spacing w:after="0"/>
        <w:rPr>
          <w:sz w:val="20"/>
          <w:szCs w:val="20"/>
          <w:color w:val="auto"/>
        </w:rPr>
      </w:pPr>
      <w:r>
        <w:rPr>
          <w:rFonts w:ascii="Arial" w:cs="Arial" w:eastAsia="Arial" w:hAnsi="Arial"/>
          <w:sz w:val="14"/>
          <w:szCs w:val="14"/>
          <w:b w:val="1"/>
          <w:bCs w:val="1"/>
          <w:color w:val="auto"/>
        </w:rPr>
        <w:t>1445 Ross Avenue, Suite 3700</w:t>
      </w:r>
    </w:p>
    <w:p>
      <w:pPr>
        <w:spacing w:after="0" w:line="42"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Dallas, Texas 75202</w:t>
      </w:r>
    </w:p>
    <w:p>
      <w:pPr>
        <w:spacing w:after="0" w:line="19"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(214) 979-3000</w:t>
      </w:r>
    </w:p>
    <w:p>
      <w:pPr>
        <w:spacing w:after="0" w:line="19"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(214) 880-0011 (facsimile)</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Chet A. Fenimore</w:t>
      </w:r>
    </w:p>
    <w:p>
      <w:pPr>
        <w:spacing w:after="0" w:line="26"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Derek W. McGee</w:t>
      </w:r>
    </w:p>
    <w:p>
      <w:pPr>
        <w:spacing w:after="0" w:line="19"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Fenimore, Kay, Harrison &amp; Ford, LLP</w:t>
      </w:r>
    </w:p>
    <w:p>
      <w:pPr>
        <w:spacing w:after="0" w:line="30"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812 San Antonio Street, Suite 600</w:t>
      </w:r>
    </w:p>
    <w:p>
      <w:pPr>
        <w:spacing w:after="0" w:line="1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Austin, Texas 78701</w:t>
      </w:r>
    </w:p>
    <w:p>
      <w:pPr>
        <w:spacing w:after="0" w:line="1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(512) 583-5900</w:t>
      </w:r>
    </w:p>
    <w:p>
      <w:pPr>
        <w:spacing w:after="0" w:line="1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(512) 583-5940 (facsimile)</w:t>
      </w:r>
    </w:p>
    <w:p>
      <w:pPr>
        <w:spacing w:after="0" w:line="47" w:lineRule="exact"/>
        <w:rPr>
          <w:sz w:val="24"/>
          <w:szCs w:val="24"/>
          <w:color w:val="auto"/>
        </w:rPr>
      </w:pPr>
    </w:p>
    <w:p>
      <w:pPr>
        <w:sectPr>
          <w:pgSz w:w="11900" w:h="16838" w:orient="portrait"/>
          <w:cols w:equalWidth="0" w:num="2">
            <w:col w:w="5120" w:space="720"/>
            <w:col w:w="3720"/>
          </w:cols>
          <w:pgMar w:left="1160" w:top="238" w:right="11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w:t>
      </w:r>
    </w:p>
    <w:p>
      <w:pPr>
        <w:jc w:val="center"/>
        <w:spacing w:after="0"/>
        <w:rPr>
          <w:sz w:val="20"/>
          <w:szCs w:val="20"/>
          <w:color w:val="auto"/>
        </w:rPr>
      </w:pPr>
      <w:r>
        <w:rPr>
          <w:rFonts w:ascii="Arial" w:cs="Arial" w:eastAsia="Arial" w:hAnsi="Arial"/>
          <w:sz w:val="16"/>
          <w:szCs w:val="16"/>
          <w:b w:val="1"/>
          <w:bCs w:val="1"/>
          <w:color w:val="auto"/>
        </w:rPr>
        <w:t>As soon as practicable after the effective date of this registration statement.</w:t>
      </w:r>
    </w:p>
    <w:p>
      <w:pPr>
        <w:spacing w:after="0" w:line="72" w:lineRule="exact"/>
        <w:rPr>
          <w:sz w:val="24"/>
          <w:szCs w:val="24"/>
          <w:color w:val="auto"/>
        </w:rPr>
      </w:pPr>
    </w:p>
    <w:p>
      <w:pPr>
        <w:ind w:right="500" w:firstLine="360"/>
        <w:spacing w:after="0"/>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118" w:lineRule="exact"/>
        <w:rPr>
          <w:sz w:val="24"/>
          <w:szCs w:val="24"/>
          <w:color w:val="auto"/>
        </w:rPr>
      </w:pPr>
    </w:p>
    <w:p>
      <w:pPr>
        <w:ind w:right="80" w:firstLine="360"/>
        <w:spacing w:after="0" w:line="272"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95" w:lineRule="exact"/>
        <w:rPr>
          <w:sz w:val="24"/>
          <w:szCs w:val="24"/>
          <w:color w:val="auto"/>
        </w:rPr>
      </w:pPr>
    </w:p>
    <w:p>
      <w:pPr>
        <w:ind w:right="520" w:firstLine="3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18" w:lineRule="exact"/>
        <w:rPr>
          <w:sz w:val="24"/>
          <w:szCs w:val="24"/>
          <w:color w:val="auto"/>
        </w:rPr>
      </w:pPr>
    </w:p>
    <w:p>
      <w:pPr>
        <w:ind w:right="500" w:firstLine="360"/>
        <w:spacing w:after="0"/>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18" w:lineRule="exact"/>
        <w:rPr>
          <w:sz w:val="24"/>
          <w:szCs w:val="24"/>
          <w:color w:val="auto"/>
        </w:rPr>
      </w:pPr>
    </w:p>
    <w:p>
      <w:pPr>
        <w:ind w:right="280" w:firstLine="3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ind w:left="2340" w:right="240" w:hanging="4070"/>
        <w:spacing w:after="0" w:line="233" w:lineRule="exact"/>
        <w:tabs>
          <w:tab w:leader="none" w:pos="232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 xml:space="preserve">Accelerated filer o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o (Do not check if a smaller reporting company)</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0" w:lineRule="exact"/>
        <w:rPr>
          <w:sz w:val="24"/>
          <w:szCs w:val="24"/>
          <w:color w:val="auto"/>
        </w:rPr>
      </w:pPr>
    </w:p>
    <w:p>
      <w:pPr>
        <w:ind w:right="140" w:firstLine="3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1060" w:type="dxa"/>
            <w:vAlign w:val="bottom"/>
            <w:tcBorders>
              <w:top w:val="single" w:sz="8" w:color="auto"/>
              <w:bottom w:val="single" w:sz="8" w:color="auto"/>
            </w:tcBorders>
          </w:tcPr>
          <w:p>
            <w:pPr>
              <w:spacing w:after="0"/>
              <w:rPr>
                <w:sz w:val="3"/>
                <w:szCs w:val="3"/>
                <w:color w:val="auto"/>
              </w:rPr>
            </w:pPr>
          </w:p>
        </w:tc>
        <w:tc>
          <w:tcPr>
            <w:tcW w:w="53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19"/>
        </w:trPr>
        <w:tc>
          <w:tcPr>
            <w:tcW w:w="1060" w:type="dxa"/>
            <w:vAlign w:val="bottom"/>
          </w:tcPr>
          <w:p>
            <w:pPr>
              <w:spacing w:after="0"/>
              <w:rPr>
                <w:sz w:val="10"/>
                <w:szCs w:val="10"/>
                <w:color w:val="auto"/>
              </w:rPr>
            </w:pPr>
          </w:p>
        </w:tc>
        <w:tc>
          <w:tcPr>
            <w:tcW w:w="53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540" w:type="dxa"/>
            <w:vAlign w:val="bottom"/>
          </w:tcPr>
          <w:p>
            <w:pPr>
              <w:spacing w:after="0"/>
              <w:rPr>
                <w:sz w:val="10"/>
                <w:szCs w:val="10"/>
                <w:color w:val="auto"/>
              </w:rPr>
            </w:pPr>
          </w:p>
        </w:tc>
      </w:tr>
      <w:tr>
        <w:trPr>
          <w:trHeight w:val="145"/>
        </w:trPr>
        <w:tc>
          <w:tcPr>
            <w:tcW w:w="1060" w:type="dxa"/>
            <w:vAlign w:val="bottom"/>
          </w:tcPr>
          <w:p>
            <w:pPr>
              <w:spacing w:after="0"/>
              <w:rPr>
                <w:sz w:val="12"/>
                <w:szCs w:val="12"/>
                <w:color w:val="auto"/>
              </w:rPr>
            </w:pPr>
          </w:p>
        </w:tc>
        <w:tc>
          <w:tcPr>
            <w:tcW w:w="5340" w:type="dxa"/>
            <w:vAlign w:val="bottom"/>
            <w:tcBorders>
              <w:right w:val="single" w:sz="8" w:color="auto"/>
            </w:tcBorders>
          </w:tcPr>
          <w:p>
            <w:pPr>
              <w:jc w:val="center"/>
              <w:ind w:right="1048"/>
              <w:spacing w:after="0" w:line="145" w:lineRule="exact"/>
              <w:rPr>
                <w:sz w:val="20"/>
                <w:szCs w:val="20"/>
                <w:color w:val="auto"/>
              </w:rPr>
            </w:pPr>
            <w:r>
              <w:rPr>
                <w:rFonts w:ascii="Arial" w:cs="Arial" w:eastAsia="Arial" w:hAnsi="Arial"/>
                <w:sz w:val="14"/>
                <w:szCs w:val="14"/>
                <w:b w:val="1"/>
                <w:bCs w:val="1"/>
                <w:color w:val="auto"/>
                <w:w w:val="91"/>
              </w:rPr>
              <w:t>Title of Each Class of</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Aggregate</w:t>
            </w: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1060" w:type="dxa"/>
            <w:vAlign w:val="bottom"/>
            <w:tcBorders>
              <w:bottom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jc w:val="center"/>
              <w:ind w:right="1068"/>
              <w:spacing w:after="0"/>
              <w:rPr>
                <w:sz w:val="20"/>
                <w:szCs w:val="20"/>
                <w:color w:val="auto"/>
              </w:rPr>
            </w:pPr>
            <w:r>
              <w:rPr>
                <w:rFonts w:ascii="Arial" w:cs="Arial" w:eastAsia="Arial" w:hAnsi="Arial"/>
                <w:sz w:val="14"/>
                <w:szCs w:val="14"/>
                <w:b w:val="1"/>
                <w:bCs w:val="1"/>
                <w:color w:val="auto"/>
                <w:w w:val="90"/>
              </w:rPr>
              <w:t>Securities to Be Registered</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Offering Price</w:t>
            </w:r>
            <w:r>
              <w:rPr>
                <w:rFonts w:ascii="Arial" w:cs="Arial" w:eastAsia="Arial" w:hAnsi="Arial"/>
                <w:sz w:val="23"/>
                <w:szCs w:val="23"/>
                <w:b w:val="1"/>
                <w:bCs w:val="1"/>
                <w:color w:val="auto"/>
                <w:w w:val="89"/>
                <w:vertAlign w:val="superscript"/>
              </w:rPr>
              <w:t>(1)(2)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r>
      <w:tr>
        <w:trPr>
          <w:trHeight w:val="216"/>
        </w:trPr>
        <w:tc>
          <w:tcPr>
            <w:tcW w:w="6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Common Stock, par value $1.00 per share</w:t>
            </w:r>
          </w:p>
        </w:tc>
        <w:tc>
          <w:tcPr>
            <w:tcW w:w="1620" w:type="dxa"/>
            <w:vAlign w:val="bottom"/>
            <w:tcBorders>
              <w:bottom w:val="single" w:sz="8" w:color="auto"/>
              <w:right w:val="single" w:sz="8" w:color="auto"/>
            </w:tcBorders>
          </w:tcPr>
          <w:p>
            <w:pPr>
              <w:jc w:val="right"/>
              <w:ind w:right="1388"/>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305"/>
              <w:spacing w:after="0"/>
              <w:rPr>
                <w:sz w:val="20"/>
                <w:szCs w:val="20"/>
                <w:color w:val="auto"/>
              </w:rPr>
            </w:pPr>
            <w:r>
              <w:rPr>
                <w:rFonts w:ascii="Arial" w:cs="Arial" w:eastAsia="Arial" w:hAnsi="Arial"/>
                <w:sz w:val="16"/>
                <w:szCs w:val="16"/>
                <w:color w:val="auto"/>
              </w:rPr>
              <w:t>$</w:t>
            </w:r>
          </w:p>
        </w:tc>
      </w:tr>
      <w:tr>
        <w:trPr>
          <w:trHeight w:val="68"/>
        </w:trPr>
        <w:tc>
          <w:tcPr>
            <w:tcW w:w="1060" w:type="dxa"/>
            <w:vAlign w:val="bottom"/>
            <w:tcBorders>
              <w:bottom w:val="single" w:sz="8" w:color="auto"/>
            </w:tcBorders>
          </w:tcPr>
          <w:p>
            <w:pPr>
              <w:spacing w:after="0"/>
              <w:rPr>
                <w:sz w:val="5"/>
                <w:szCs w:val="5"/>
                <w:color w:val="auto"/>
              </w:rPr>
            </w:pPr>
          </w:p>
        </w:tc>
        <w:tc>
          <w:tcPr>
            <w:tcW w:w="8500" w:type="dxa"/>
            <w:vAlign w:val="bottom"/>
            <w:tcBorders>
              <w:bottom w:val="single" w:sz="8" w:color="auto"/>
            </w:tcBorders>
            <w:gridSpan w:val="3"/>
          </w:tcPr>
          <w:p>
            <w:pPr>
              <w:spacing w:after="0"/>
              <w:rPr>
                <w:sz w:val="5"/>
                <w:szCs w:val="5"/>
                <w:color w:val="auto"/>
              </w:rPr>
            </w:pPr>
          </w:p>
        </w:tc>
      </w:tr>
      <w:tr>
        <w:trPr>
          <w:trHeight w:val="353"/>
        </w:trPr>
        <w:tc>
          <w:tcPr>
            <w:tcW w:w="1060" w:type="dxa"/>
            <w:vAlign w:val="bottom"/>
          </w:tcPr>
          <w:p>
            <w:pPr>
              <w:spacing w:after="0"/>
              <w:rPr>
                <w:sz w:val="20"/>
                <w:szCs w:val="20"/>
                <w:color w:val="auto"/>
              </w:rPr>
            </w:pPr>
            <w:r>
              <w:rPr>
                <w:rFonts w:ascii="Arial" w:cs="Arial" w:eastAsia="Arial" w:hAnsi="Arial"/>
                <w:sz w:val="14"/>
                <w:szCs w:val="14"/>
                <w:color w:val="auto"/>
              </w:rPr>
              <w:t>(1)   Includes</w:t>
            </w:r>
          </w:p>
        </w:tc>
        <w:tc>
          <w:tcPr>
            <w:tcW w:w="8500" w:type="dxa"/>
            <w:vAlign w:val="bottom"/>
            <w:gridSpan w:val="3"/>
          </w:tcPr>
          <w:p>
            <w:pPr>
              <w:jc w:val="right"/>
              <w:ind w:right="505"/>
              <w:spacing w:after="0"/>
              <w:rPr>
                <w:sz w:val="20"/>
                <w:szCs w:val="20"/>
                <w:color w:val="auto"/>
              </w:rPr>
            </w:pPr>
            <w:r>
              <w:rPr>
                <w:rFonts w:ascii="Arial" w:cs="Arial" w:eastAsia="Arial" w:hAnsi="Arial"/>
                <w:sz w:val="14"/>
                <w:szCs w:val="14"/>
                <w:color w:val="auto"/>
                <w:w w:val="94"/>
              </w:rPr>
              <w:t>shares of common stock issuable upon the exercise of the underwriters’ option to purchase additional shares of common stock from the</w:t>
            </w:r>
          </w:p>
        </w:tc>
      </w:tr>
      <w:tr>
        <w:trPr>
          <w:trHeight w:val="182"/>
        </w:trPr>
        <w:tc>
          <w:tcPr>
            <w:tcW w:w="1060" w:type="dxa"/>
            <w:vAlign w:val="bottom"/>
          </w:tcPr>
          <w:p>
            <w:pPr>
              <w:ind w:left="360"/>
              <w:spacing w:after="0"/>
              <w:rPr>
                <w:sz w:val="20"/>
                <w:szCs w:val="20"/>
                <w:color w:val="auto"/>
              </w:rPr>
            </w:pPr>
            <w:r>
              <w:rPr>
                <w:rFonts w:ascii="Arial" w:cs="Arial" w:eastAsia="Arial" w:hAnsi="Arial"/>
                <w:sz w:val="14"/>
                <w:szCs w:val="14"/>
                <w:color w:val="auto"/>
              </w:rPr>
              <w:t>registrant.</w:t>
            </w:r>
          </w:p>
        </w:tc>
        <w:tc>
          <w:tcPr>
            <w:tcW w:w="5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88" w:lineRule="exact"/>
        <w:rPr>
          <w:sz w:val="24"/>
          <w:szCs w:val="24"/>
          <w:color w:val="auto"/>
        </w:rPr>
      </w:pPr>
    </w:p>
    <w:p>
      <w:pPr>
        <w:ind w:left="360" w:right="160" w:hanging="355"/>
        <w:spacing w:after="0" w:line="27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457(o) under the Securities Act of 1933, as amended, based upon an estimate of the maximum aggregate offering price.</w:t>
      </w:r>
    </w:p>
    <w:p>
      <w:pPr>
        <w:spacing w:after="0" w:line="44" w:lineRule="exact"/>
        <w:rPr>
          <w:sz w:val="24"/>
          <w:szCs w:val="24"/>
          <w:color w:val="auto"/>
        </w:rPr>
      </w:pPr>
    </w:p>
    <w:p>
      <w:pPr>
        <w:jc w:val="both"/>
        <w:ind w:right="120" w:firstLine="360"/>
        <w:spacing w:after="0" w:line="24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6069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wp:posOffset>
            </wp:positionV>
            <wp:extent cx="606933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933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60693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38" w:right="11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and the selling shareholders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4"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FC0014"/>
        </w:rPr>
        <w:t>SUBJECT TO COMPLETION, DATED</w:t>
      </w:r>
      <w:r>
        <w:rPr>
          <w:sz w:val="20"/>
          <w:szCs w:val="20"/>
          <w:color w:val="auto"/>
        </w:rPr>
        <w:tab/>
      </w:r>
      <w:r>
        <w:rPr>
          <w:rFonts w:ascii="Arial" w:cs="Arial" w:eastAsia="Arial" w:hAnsi="Arial"/>
          <w:sz w:val="15"/>
          <w:szCs w:val="15"/>
          <w:b w:val="1"/>
          <w:bCs w:val="1"/>
          <w:color w:val="FC0014"/>
        </w:rPr>
        <w:t>,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214630</wp:posOffset>
            </wp:positionV>
            <wp:extent cx="343725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29"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This is the initial public offering of South Plains Financial, Inc. We are offering shares of our common stock and the selling shareholders are offering shares of our common stock. We will not receive any proceeds from the sale of shares by the selling shareholders.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this offering, there has been no established public market for our common stock. We anticipate that the public offering</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price of our common stock will be between $ and $ . We have applied to list our common stock on the NASDAQ Global Select Market under the symbol “SPFI.”</w:t>
      </w:r>
    </w:p>
    <w:p>
      <w:pPr>
        <w:spacing w:after="0" w:line="262" w:lineRule="exact"/>
        <w:rPr>
          <w:sz w:val="20"/>
          <w:szCs w:val="20"/>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 See “Risk Factors” beginning on page </w:t>
      </w:r>
      <w:hyperlink w:anchor="page20">
        <w:r>
          <w:rPr>
            <w:rFonts w:ascii="Arial" w:cs="Arial" w:eastAsia="Arial" w:hAnsi="Arial"/>
            <w:sz w:val="18"/>
            <w:szCs w:val="18"/>
            <w:b w:val="1"/>
            <w:bCs w:val="1"/>
            <w:u w:val="single" w:color="auto"/>
            <w:color w:val="0000EE"/>
          </w:rPr>
          <w:t>13</w:t>
        </w:r>
      </w:hyperlink>
      <w:r>
        <w:rPr>
          <w:rFonts w:ascii="Arial" w:cs="Arial" w:eastAsia="Arial" w:hAnsi="Arial"/>
          <w:sz w:val="18"/>
          <w:szCs w:val="18"/>
          <w:b w:val="1"/>
          <w:bCs w:val="1"/>
          <w:color w:val="auto"/>
        </w:rPr>
        <w:t>.</w:t>
      </w:r>
    </w:p>
    <w:p>
      <w:pPr>
        <w:spacing w:after="0" w:line="320"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We are an “emerging growth company” under the federal securities laws and will be subject to reduced public company reporting requirements.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20" w:type="dxa"/>
            <w:vAlign w:val="bottom"/>
          </w:tcPr>
          <w:p>
            <w:pPr>
              <w:spacing w:after="0"/>
              <w:rPr>
                <w:sz w:val="15"/>
                <w:szCs w:val="15"/>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7620" w:type="dxa"/>
            <w:vAlign w:val="bottom"/>
          </w:tcPr>
          <w:p>
            <w:pPr>
              <w:spacing w:after="0" w:line="243" w:lineRule="exact"/>
              <w:rPr>
                <w:sz w:val="20"/>
                <w:szCs w:val="20"/>
                <w:color w:val="auto"/>
              </w:rPr>
            </w:pPr>
            <w:r>
              <w:rPr>
                <w:rFonts w:ascii="Arial" w:cs="Arial" w:eastAsia="Arial" w:hAnsi="Arial"/>
                <w:sz w:val="17"/>
                <w:szCs w:val="17"/>
                <w:color w:val="auto"/>
              </w:rPr>
              <w:t>Underwriting discounts</w:t>
            </w:r>
            <w:r>
              <w:rPr>
                <w:rFonts w:ascii="Arial" w:cs="Arial" w:eastAsia="Arial" w:hAnsi="Arial"/>
                <w:sz w:val="28"/>
                <w:szCs w:val="28"/>
                <w:color w:val="auto"/>
                <w:vertAlign w:val="superscript"/>
              </w:rPr>
              <w:t>(1)</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Proceeds to the selling shareholders, before expenses</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968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98" w:lineRule="exact"/>
        <w:rPr>
          <w:sz w:val="20"/>
          <w:szCs w:val="20"/>
          <w:color w:val="auto"/>
        </w:rPr>
      </w:pPr>
    </w:p>
    <w:p>
      <w:pPr>
        <w:ind w:left="360" w:hanging="355"/>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ectPr>
          <w:pgSz w:w="11900" w:h="16838" w:orient="portrait"/>
          <w:cols w:equalWidth="0" w:num="1">
            <w:col w:w="9560"/>
          </w:cols>
          <w:pgMar w:left="1160" w:top="279" w:right="1179" w:bottom="1440" w:gutter="0" w:footer="0" w:header="0"/>
        </w:sectPr>
      </w:pPr>
    </w:p>
    <w:p>
      <w:pPr>
        <w:spacing w:after="0" w:line="289"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underwriters have an option to purchase up to an additional underwriting discount, within 30 days from the date of this prospectus.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shares from us at the public offering price, less the</w:t>
      </w:r>
    </w:p>
    <w:p>
      <w:pPr>
        <w:spacing w:after="0" w:line="540" w:lineRule="exact"/>
        <w:rPr>
          <w:sz w:val="20"/>
          <w:szCs w:val="20"/>
          <w:color w:val="auto"/>
        </w:rPr>
      </w:pPr>
    </w:p>
    <w:p>
      <w:pPr>
        <w:sectPr>
          <w:pgSz w:w="11900" w:h="16838" w:orient="portrait"/>
          <w:cols w:equalWidth="0" w:num="2">
            <w:col w:w="5100" w:space="320"/>
            <w:col w:w="4140"/>
          </w:cols>
          <w:pgMar w:left="1160" w:top="279" w:right="1179" w:bottom="1440" w:gutter="0" w:footer="0" w:header="0"/>
          <w:type w:val="continuous"/>
        </w:sectPr>
      </w:pPr>
    </w:p>
    <w:p>
      <w:pPr>
        <w:spacing w:after="0" w:line="14" w:lineRule="exact"/>
        <w:rPr>
          <w:sz w:val="20"/>
          <w:szCs w:val="20"/>
          <w:color w:val="auto"/>
        </w:rPr>
      </w:pPr>
    </w:p>
    <w:p>
      <w:pPr>
        <w:ind w:right="12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70" w:lineRule="exact"/>
        <w:rPr>
          <w:sz w:val="20"/>
          <w:szCs w:val="20"/>
          <w:color w:val="auto"/>
        </w:rPr>
      </w:pPr>
    </w:p>
    <w:p>
      <w:pPr>
        <w:ind w:right="400" w:firstLine="360"/>
        <w:spacing w:after="0" w:line="282" w:lineRule="auto"/>
        <w:rPr>
          <w:sz w:val="20"/>
          <w:szCs w:val="20"/>
          <w:color w:val="auto"/>
        </w:rPr>
      </w:pPr>
      <w:r>
        <w:rPr>
          <w:rFonts w:ascii="Arial" w:cs="Arial" w:eastAsia="Arial" w:hAnsi="Arial"/>
          <w:sz w:val="18"/>
          <w:szCs w:val="18"/>
          <w:b w:val="1"/>
          <w:bCs w:val="1"/>
          <w:color w:val="auto"/>
        </w:rPr>
        <w:t>Shares of our common stock are not savings accounts or deposits and are not insured or guaranteed by the Federal Deposit Insurance Corporation or any other government agency.</w:t>
      </w:r>
    </w:p>
    <w:p>
      <w:pPr>
        <w:spacing w:after="0" w:line="24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w w:val="95"/>
              </w:rPr>
              <w:t>The shares of common stock will be ready for delivery on or about</w:t>
            </w:r>
          </w:p>
        </w:tc>
        <w:tc>
          <w:tcPr>
            <w:tcW w:w="72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3100" w:type="dxa"/>
            <w:vAlign w:val="bottom"/>
          </w:tcPr>
          <w:p>
            <w:pPr>
              <w:jc w:val="right"/>
              <w:spacing w:after="0"/>
              <w:rPr>
                <w:sz w:val="20"/>
                <w:szCs w:val="20"/>
                <w:color w:val="auto"/>
              </w:rPr>
            </w:pPr>
            <w:r>
              <w:rPr>
                <w:rFonts w:ascii="Arial" w:cs="Arial" w:eastAsia="Arial" w:hAnsi="Arial"/>
                <w:sz w:val="25"/>
                <w:szCs w:val="25"/>
                <w:b w:val="1"/>
                <w:bCs w:val="1"/>
                <w:color w:val="auto"/>
              </w:rPr>
              <w:t>Keefe, Bruyette &amp; Woods</w:t>
            </w:r>
          </w:p>
        </w:tc>
        <w:tc>
          <w:tcPr>
            <w:tcW w:w="6460" w:type="dxa"/>
            <w:vAlign w:val="bottom"/>
            <w:gridSpan w:val="2"/>
          </w:tcPr>
          <w:p>
            <w:pPr>
              <w:jc w:val="right"/>
              <w:ind w:right="1570"/>
              <w:spacing w:after="0"/>
              <w:rPr>
                <w:sz w:val="20"/>
                <w:szCs w:val="20"/>
                <w:color w:val="auto"/>
              </w:rPr>
            </w:pPr>
            <w:r>
              <w:rPr>
                <w:rFonts w:ascii="Arial" w:cs="Arial" w:eastAsia="Arial" w:hAnsi="Arial"/>
                <w:sz w:val="25"/>
                <w:szCs w:val="25"/>
                <w:b w:val="1"/>
                <w:bCs w:val="1"/>
                <w:color w:val="auto"/>
              </w:rPr>
              <w:t>Sandler O’Neill + Partners, L.P.</w:t>
            </w:r>
          </w:p>
        </w:tc>
      </w:tr>
      <w:tr>
        <w:trPr>
          <w:trHeight w:val="274"/>
        </w:trPr>
        <w:tc>
          <w:tcPr>
            <w:tcW w:w="3100" w:type="dxa"/>
            <w:vAlign w:val="bottom"/>
          </w:tcPr>
          <w:p>
            <w:pPr>
              <w:jc w:val="right"/>
              <w:spacing w:after="0"/>
              <w:rPr>
                <w:sz w:val="20"/>
                <w:szCs w:val="20"/>
                <w:color w:val="auto"/>
              </w:rPr>
            </w:pPr>
            <w:r>
              <w:rPr>
                <w:rFonts w:ascii="Arial" w:cs="Arial" w:eastAsia="Arial" w:hAnsi="Arial"/>
                <w:sz w:val="22"/>
                <w:szCs w:val="22"/>
                <w:i w:val="1"/>
                <w:iCs w:val="1"/>
                <w:color w:val="auto"/>
              </w:rPr>
              <w:t>A Stifel Company</w:t>
            </w:r>
          </w:p>
        </w:tc>
        <w:tc>
          <w:tcPr>
            <w:tcW w:w="2560" w:type="dxa"/>
            <w:vAlign w:val="bottom"/>
          </w:tcPr>
          <w:p>
            <w:pPr>
              <w:spacing w:after="0"/>
              <w:rPr>
                <w:sz w:val="23"/>
                <w:szCs w:val="23"/>
                <w:color w:val="auto"/>
              </w:rPr>
            </w:pPr>
          </w:p>
        </w:tc>
        <w:tc>
          <w:tcPr>
            <w:tcW w:w="3900" w:type="dxa"/>
            <w:vAlign w:val="bottom"/>
          </w:tcPr>
          <w:p>
            <w:pPr>
              <w:spacing w:after="0"/>
              <w:rPr>
                <w:sz w:val="23"/>
                <w:szCs w:val="23"/>
                <w:color w:val="auto"/>
              </w:rPr>
            </w:pPr>
          </w:p>
        </w:tc>
      </w:tr>
      <w:tr>
        <w:trPr>
          <w:trHeight w:val="651"/>
        </w:trPr>
        <w:tc>
          <w:tcPr>
            <w:tcW w:w="3100" w:type="dxa"/>
            <w:vAlign w:val="bottom"/>
          </w:tcPr>
          <w:p>
            <w:pPr>
              <w:spacing w:after="0"/>
              <w:rPr>
                <w:sz w:val="24"/>
                <w:szCs w:val="24"/>
                <w:color w:val="auto"/>
              </w:rPr>
            </w:pPr>
          </w:p>
        </w:tc>
        <w:tc>
          <w:tcPr>
            <w:tcW w:w="2560" w:type="dxa"/>
            <w:vAlign w:val="bottom"/>
          </w:tcPr>
          <w:p>
            <w:pPr>
              <w:ind w:left="100"/>
              <w:spacing w:after="0"/>
              <w:rPr>
                <w:sz w:val="20"/>
                <w:szCs w:val="20"/>
                <w:color w:val="auto"/>
              </w:rPr>
            </w:pPr>
            <w:r>
              <w:rPr>
                <w:rFonts w:ascii="Arial" w:cs="Arial" w:eastAsia="Arial" w:hAnsi="Arial"/>
                <w:sz w:val="18"/>
                <w:szCs w:val="18"/>
                <w:b w:val="1"/>
                <w:bCs w:val="1"/>
                <w:color w:val="auto"/>
                <w:w w:val="95"/>
              </w:rPr>
              <w:t>The date of this prospectus is</w:t>
            </w:r>
          </w:p>
        </w:tc>
        <w:tc>
          <w:tcPr>
            <w:tcW w:w="3900" w:type="dxa"/>
            <w:vAlign w:val="bottom"/>
          </w:tcPr>
          <w:p>
            <w:pPr>
              <w:jc w:val="right"/>
              <w:ind w:right="3090"/>
              <w:spacing w:after="0"/>
              <w:rPr>
                <w:sz w:val="20"/>
                <w:szCs w:val="20"/>
                <w:color w:val="auto"/>
              </w:rPr>
            </w:pPr>
            <w:r>
              <w:rPr>
                <w:rFonts w:ascii="Arial" w:cs="Arial" w:eastAsia="Arial" w:hAnsi="Arial"/>
                <w:sz w:val="18"/>
                <w:szCs w:val="18"/>
                <w:b w:val="1"/>
                <w:bCs w:val="1"/>
                <w:color w:val="auto"/>
              </w:rPr>
              <w:t>, 2019.</w:t>
            </w:r>
          </w:p>
        </w:tc>
      </w:tr>
      <w:tr>
        <w:trPr>
          <w:trHeight w:val="459"/>
        </w:trPr>
        <w:tc>
          <w:tcPr>
            <w:tcW w:w="3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68"/>
        </w:trPr>
        <w:tc>
          <w:tcPr>
            <w:tcW w:w="3100" w:type="dxa"/>
            <w:vAlign w:val="bottom"/>
            <w:shd w:val="clear" w:color="auto" w:fill="000000"/>
          </w:tcPr>
          <w:p>
            <w:pPr>
              <w:spacing w:after="0"/>
              <w:rPr>
                <w:sz w:val="5"/>
                <w:szCs w:val="5"/>
                <w:color w:val="auto"/>
              </w:rPr>
            </w:pPr>
          </w:p>
        </w:tc>
        <w:tc>
          <w:tcPr>
            <w:tcW w:w="256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643370" cy="906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9069705"/>
                    </a:xfrm>
                    <a:prstGeom prst="rect">
                      <a:avLst/>
                    </a:prstGeom>
                    <a:noFill/>
                  </pic:spPr>
                </pic:pic>
              </a:graphicData>
            </a:graphic>
          </wp:anchor>
        </w:drawing>
      </w:r>
    </w:p>
    <w:p>
      <w:pPr>
        <w:sectPr>
          <w:pgSz w:w="11900" w:h="16838" w:orient="portrait"/>
          <w:cols w:equalWidth="0" w:num="1">
            <w:col w:w="9299"/>
          </w:cols>
          <w:pgMar w:left="1160" w:top="279"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5"/>
                <w:szCs w:val="15"/>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10"/>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THE OFFERING</w:t>
              </w:r>
            </w:hyperlink>
          </w:p>
        </w:tc>
        <w:tc>
          <w:tcPr>
            <w:tcW w:w="6820" w:type="dxa"/>
            <w:vAlign w:val="bottom"/>
            <w:gridSpan w:val="14"/>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9</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SELECTED HISTORICAL CONSOLIDATED FINANCIAL AND OPERATING INFORMATION</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7200" w:type="dxa"/>
            <w:vAlign w:val="bottom"/>
            <w:gridSpan w:val="22"/>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700" w:type="dxa"/>
            <w:vAlign w:val="bottom"/>
            <w:gridSpan w:val="2"/>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13</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CAUTIONARY NOTE REGARDING FORWARD-LOOKING STATEMENTS</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42</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5780" w:type="dxa"/>
            <w:vAlign w:val="bottom"/>
            <w:gridSpan w:val="20"/>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3120" w:type="dxa"/>
            <w:vAlign w:val="bottom"/>
            <w:gridSpan w:val="4"/>
          </w:tcPr>
          <w:p>
            <w:pPr>
              <w:spacing w:after="0"/>
              <w:rPr>
                <w:sz w:val="16"/>
                <w:szCs w:val="16"/>
                <w:color w:val="auto"/>
              </w:rPr>
            </w:pPr>
          </w:p>
        </w:tc>
        <w:tc>
          <w:tcPr>
            <w:tcW w:w="400" w:type="dxa"/>
            <w:vAlign w:val="bottom"/>
            <w:gridSpan w:val="2"/>
          </w:tcPr>
          <w:p>
            <w:pPr>
              <w:spacing w:after="0"/>
              <w:rPr>
                <w:sz w:val="16"/>
                <w:szCs w:val="16"/>
                <w:color w:val="auto"/>
              </w:rPr>
            </w:pPr>
          </w:p>
        </w:tc>
        <w:tc>
          <w:tcPr>
            <w:tcW w:w="260" w:type="dxa"/>
            <w:vAlign w:val="bottom"/>
            <w:gridSpan w:val="3"/>
          </w:tcPr>
          <w:p>
            <w:pPr>
              <w:jc w:val="right"/>
              <w:ind w:right="100"/>
              <w:spacing w:after="0" w:line="189" w:lineRule="exact"/>
              <w:rPr>
                <w:rFonts w:ascii="Arial" w:cs="Arial" w:eastAsia="Arial" w:hAnsi="Arial"/>
                <w:sz w:val="17"/>
                <w:szCs w:val="17"/>
                <w:color w:val="0000EE"/>
                <w:w w:val="73"/>
              </w:rPr>
            </w:pPr>
            <w:hyperlink w:anchor="page51">
              <w:r>
                <w:rPr>
                  <w:rFonts w:ascii="Arial" w:cs="Arial" w:eastAsia="Arial" w:hAnsi="Arial"/>
                  <w:sz w:val="17"/>
                  <w:szCs w:val="17"/>
                  <w:color w:val="0000EE"/>
                  <w:w w:val="73"/>
                </w:rPr>
                <w:t>44</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460" w:type="dxa"/>
            <w:vAlign w:val="bottom"/>
            <w:gridSpan w:val="8"/>
            <w:shd w:val="clear" w:color="auto" w:fill="CCEEFF"/>
          </w:tcPr>
          <w:p>
            <w:pPr>
              <w:spacing w:after="0" w:line="189"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CAPITALIZATION</w:t>
              </w:r>
            </w:hyperlink>
          </w:p>
        </w:tc>
        <w:tc>
          <w:tcPr>
            <w:tcW w:w="7440" w:type="dxa"/>
            <w:vAlign w:val="bottom"/>
            <w:gridSpan w:val="16"/>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16"/>
                <w:szCs w:val="16"/>
                <w:color w:val="auto"/>
              </w:rPr>
            </w:pPr>
          </w:p>
        </w:tc>
        <w:tc>
          <w:tcPr>
            <w:tcW w:w="260" w:type="dxa"/>
            <w:vAlign w:val="bottom"/>
            <w:gridSpan w:val="3"/>
            <w:shd w:val="clear" w:color="auto" w:fill="CCEEFF"/>
          </w:tcPr>
          <w:p>
            <w:pPr>
              <w:jc w:val="right"/>
              <w:ind w:right="100"/>
              <w:spacing w:after="0" w:line="189" w:lineRule="exact"/>
              <w:rPr>
                <w:rFonts w:ascii="Arial" w:cs="Arial" w:eastAsia="Arial" w:hAnsi="Arial"/>
                <w:sz w:val="17"/>
                <w:szCs w:val="17"/>
                <w:color w:val="0000EE"/>
                <w:w w:val="73"/>
              </w:rPr>
            </w:pPr>
            <w:hyperlink w:anchor="page52">
              <w:r>
                <w:rPr>
                  <w:rFonts w:ascii="Arial" w:cs="Arial" w:eastAsia="Arial" w:hAnsi="Arial"/>
                  <w:sz w:val="17"/>
                  <w:szCs w:val="17"/>
                  <w:color w:val="0000EE"/>
                  <w:w w:val="73"/>
                </w:rPr>
                <w:t>45</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DILUTION</w:t>
              </w:r>
            </w:hyperlink>
          </w:p>
        </w:tc>
        <w:tc>
          <w:tcPr>
            <w:tcW w:w="7440" w:type="dxa"/>
            <w:vAlign w:val="bottom"/>
            <w:gridSpan w:val="16"/>
          </w:tcPr>
          <w:p>
            <w:pPr>
              <w:spacing w:after="0"/>
              <w:rPr>
                <w:sz w:val="16"/>
                <w:szCs w:val="16"/>
                <w:color w:val="auto"/>
              </w:rPr>
            </w:pPr>
          </w:p>
        </w:tc>
        <w:tc>
          <w:tcPr>
            <w:tcW w:w="400" w:type="dxa"/>
            <w:vAlign w:val="bottom"/>
            <w:gridSpan w:val="2"/>
          </w:tcPr>
          <w:p>
            <w:pPr>
              <w:spacing w:after="0"/>
              <w:rPr>
                <w:sz w:val="16"/>
                <w:szCs w:val="16"/>
                <w:color w:val="auto"/>
              </w:rPr>
            </w:pPr>
          </w:p>
        </w:tc>
        <w:tc>
          <w:tcPr>
            <w:tcW w:w="260" w:type="dxa"/>
            <w:vAlign w:val="bottom"/>
            <w:gridSpan w:val="3"/>
          </w:tcPr>
          <w:p>
            <w:pPr>
              <w:jc w:val="right"/>
              <w:ind w:right="100"/>
              <w:spacing w:after="0" w:line="189" w:lineRule="exact"/>
              <w:rPr>
                <w:rFonts w:ascii="Arial" w:cs="Arial" w:eastAsia="Arial" w:hAnsi="Arial"/>
                <w:sz w:val="17"/>
                <w:szCs w:val="17"/>
                <w:color w:val="0000EE"/>
                <w:w w:val="73"/>
              </w:rPr>
            </w:pPr>
            <w:hyperlink w:anchor="page54">
              <w:r>
                <w:rPr>
                  <w:rFonts w:ascii="Arial" w:cs="Arial" w:eastAsia="Arial" w:hAnsi="Arial"/>
                  <w:sz w:val="17"/>
                  <w:szCs w:val="17"/>
                  <w:color w:val="0000EE"/>
                  <w:w w:val="73"/>
                </w:rPr>
                <w:t>47</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PRICE RANGE OF OUR COMMON STOCK</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48</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7780" w:type="dxa"/>
            <w:vAlign w:val="bottom"/>
            <w:tcBorders>
              <w:bottom w:val="single" w:sz="8" w:color="0000EE"/>
            </w:tcBorders>
            <w:gridSpan w:val="23"/>
          </w:tcPr>
          <w:p>
            <w:pPr>
              <w:spacing w:after="0" w:line="189"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MANAGEMENT’S DISCUSSION AND ANALYSIS OF FINANCIAL CONDITION AND RESULTS OF</w:t>
              </w:r>
            </w:hyperlink>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872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OPERATIONS</w:t>
              </w:r>
            </w:hyperlink>
          </w:p>
        </w:tc>
        <w:tc>
          <w:tcPr>
            <w:tcW w:w="660" w:type="dxa"/>
            <w:vAlign w:val="bottom"/>
            <w:gridSpan w:val="5"/>
          </w:tcPr>
          <w:p>
            <w:pPr>
              <w:jc w:val="right"/>
              <w:ind w:right="10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49</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60" w:type="dxa"/>
            <w:vAlign w:val="bottom"/>
            <w:gridSpan w:val="3"/>
            <w:shd w:val="clear" w:color="auto" w:fill="CCEEFF"/>
          </w:tcPr>
          <w:p>
            <w:pPr>
              <w:spacing w:after="0" w:line="189"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BUSINESS</w:t>
              </w:r>
            </w:hyperlink>
          </w:p>
        </w:tc>
        <w:tc>
          <w:tcPr>
            <w:tcW w:w="8040" w:type="dxa"/>
            <w:vAlign w:val="bottom"/>
            <w:gridSpan w:val="21"/>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16"/>
                <w:szCs w:val="16"/>
                <w:color w:val="auto"/>
              </w:rPr>
            </w:pPr>
          </w:p>
        </w:tc>
        <w:tc>
          <w:tcPr>
            <w:tcW w:w="260" w:type="dxa"/>
            <w:vAlign w:val="bottom"/>
            <w:gridSpan w:val="3"/>
            <w:shd w:val="clear" w:color="auto" w:fill="CCEEFF"/>
          </w:tcPr>
          <w:p>
            <w:pPr>
              <w:jc w:val="right"/>
              <w:ind w:right="100"/>
              <w:spacing w:after="0" w:line="189" w:lineRule="exact"/>
              <w:rPr>
                <w:rFonts w:ascii="Arial" w:cs="Arial" w:eastAsia="Arial" w:hAnsi="Arial"/>
                <w:sz w:val="17"/>
                <w:szCs w:val="17"/>
                <w:color w:val="0000EE"/>
                <w:w w:val="73"/>
              </w:rPr>
            </w:pPr>
            <w:hyperlink w:anchor="page83">
              <w:r>
                <w:rPr>
                  <w:rFonts w:ascii="Arial" w:cs="Arial" w:eastAsia="Arial" w:hAnsi="Arial"/>
                  <w:sz w:val="17"/>
                  <w:szCs w:val="17"/>
                  <w:color w:val="0000EE"/>
                  <w:w w:val="73"/>
                </w:rPr>
                <w:t>76</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4"/>
          </w:tcPr>
          <w:p>
            <w:pPr>
              <w:spacing w:after="0" w:line="189" w:lineRule="exact"/>
              <w:rPr>
                <w:rFonts w:ascii="Arial" w:cs="Arial" w:eastAsia="Arial" w:hAnsi="Arial"/>
                <w:sz w:val="18"/>
                <w:szCs w:val="18"/>
                <w:color w:val="0000EE"/>
              </w:rPr>
            </w:pPr>
            <w:hyperlink w:anchor="page99">
              <w:r>
                <w:rPr>
                  <w:rFonts w:ascii="Arial" w:cs="Arial" w:eastAsia="Arial" w:hAnsi="Arial"/>
                  <w:sz w:val="18"/>
                  <w:szCs w:val="18"/>
                  <w:color w:val="0000EE"/>
                </w:rPr>
                <w:t>SUPERVISION AND REGULATION</w:t>
              </w:r>
            </w:hyperlink>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99">
              <w:r>
                <w:rPr>
                  <w:rFonts w:ascii="Arial" w:cs="Arial" w:eastAsia="Arial" w:hAnsi="Arial"/>
                  <w:sz w:val="18"/>
                  <w:szCs w:val="18"/>
                  <w:color w:val="0000EE"/>
                </w:rPr>
                <w:t>92</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114">
              <w:r>
                <w:rPr>
                  <w:rFonts w:ascii="Arial" w:cs="Arial" w:eastAsia="Arial" w:hAnsi="Arial"/>
                  <w:sz w:val="18"/>
                  <w:szCs w:val="18"/>
                  <w:color w:val="0000EE"/>
                </w:rPr>
                <w:t>MANAGEMENT</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14">
              <w:r>
                <w:rPr>
                  <w:rFonts w:ascii="Arial" w:cs="Arial" w:eastAsia="Arial" w:hAnsi="Arial"/>
                  <w:sz w:val="18"/>
                  <w:szCs w:val="18"/>
                  <w:color w:val="0000EE"/>
                </w:rPr>
                <w:t>107</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4"/>
          </w:tcPr>
          <w:p>
            <w:pPr>
              <w:spacing w:after="0" w:line="189" w:lineRule="exact"/>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21">
              <w:r>
                <w:rPr>
                  <w:rFonts w:ascii="Arial" w:cs="Arial" w:eastAsia="Arial" w:hAnsi="Arial"/>
                  <w:sz w:val="18"/>
                  <w:szCs w:val="18"/>
                  <w:color w:val="0000EE"/>
                </w:rPr>
                <w:t>114</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5480" w:type="dxa"/>
            <w:vAlign w:val="bottom"/>
            <w:gridSpan w:val="19"/>
            <w:shd w:val="clear" w:color="auto" w:fill="CCEEFF"/>
          </w:tcPr>
          <w:p>
            <w:pPr>
              <w:spacing w:after="0" w:line="189"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CERTAIN RELATIONSHIPS AND RELATED PARTY TRANSACTIONS</w:t>
              </w:r>
            </w:hyperlink>
          </w:p>
        </w:tc>
        <w:tc>
          <w:tcPr>
            <w:tcW w:w="3420" w:type="dxa"/>
            <w:vAlign w:val="bottom"/>
            <w:gridSpan w:val="5"/>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gridSpan w:val="4"/>
            <w:shd w:val="clear" w:color="auto" w:fill="CCEEFF"/>
          </w:tcPr>
          <w:p>
            <w:pPr>
              <w:jc w:val="right"/>
              <w:ind w:right="100"/>
              <w:spacing w:after="0" w:line="189" w:lineRule="exact"/>
              <w:rPr>
                <w:rFonts w:ascii="Arial" w:cs="Arial" w:eastAsia="Arial" w:hAnsi="Arial"/>
                <w:sz w:val="18"/>
                <w:szCs w:val="18"/>
                <w:color w:val="0000EE"/>
                <w:w w:val="79"/>
              </w:rPr>
            </w:pPr>
            <w:hyperlink w:anchor="page126">
              <w:r>
                <w:rPr>
                  <w:rFonts w:ascii="Arial" w:cs="Arial" w:eastAsia="Arial" w:hAnsi="Arial"/>
                  <w:sz w:val="18"/>
                  <w:szCs w:val="18"/>
                  <w:color w:val="0000EE"/>
                  <w:w w:val="79"/>
                </w:rPr>
                <w:t>119</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5480" w:type="dxa"/>
            <w:vAlign w:val="bottom"/>
            <w:gridSpan w:val="19"/>
          </w:tcPr>
          <w:p>
            <w:pPr>
              <w:spacing w:after="0" w:line="189" w:lineRule="exact"/>
              <w:rPr>
                <w:rFonts w:ascii="Arial" w:cs="Arial" w:eastAsia="Arial" w:hAnsi="Arial"/>
                <w:sz w:val="18"/>
                <w:szCs w:val="18"/>
                <w:color w:val="0000EE"/>
              </w:rPr>
            </w:pPr>
            <w:hyperlink w:anchor="page128">
              <w:r>
                <w:rPr>
                  <w:rFonts w:ascii="Arial" w:cs="Arial" w:eastAsia="Arial" w:hAnsi="Arial"/>
                  <w:sz w:val="18"/>
                  <w:szCs w:val="18"/>
                  <w:color w:val="0000EE"/>
                </w:rPr>
                <w:t>PRINCIPAL AND SELLING SHAREHOLDERS</w:t>
              </w:r>
            </w:hyperlink>
          </w:p>
        </w:tc>
        <w:tc>
          <w:tcPr>
            <w:tcW w:w="3420" w:type="dxa"/>
            <w:vAlign w:val="bottom"/>
            <w:gridSpan w:val="5"/>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28">
              <w:r>
                <w:rPr>
                  <w:rFonts w:ascii="Arial" w:cs="Arial" w:eastAsia="Arial" w:hAnsi="Arial"/>
                  <w:sz w:val="18"/>
                  <w:szCs w:val="18"/>
                  <w:color w:val="0000EE"/>
                </w:rPr>
                <w:t>121</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880" w:type="dxa"/>
            <w:vAlign w:val="bottom"/>
            <w:gridSpan w:val="13"/>
            <w:shd w:val="clear" w:color="auto" w:fill="CCEEFF"/>
          </w:tcPr>
          <w:p>
            <w:pPr>
              <w:spacing w:after="0" w:line="189"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DESCRIPTION OF CAPITAL STOCK</w:t>
              </w:r>
            </w:hyperlink>
          </w:p>
        </w:tc>
        <w:tc>
          <w:tcPr>
            <w:tcW w:w="6020" w:type="dxa"/>
            <w:vAlign w:val="bottom"/>
            <w:gridSpan w:val="11"/>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30">
              <w:r>
                <w:rPr>
                  <w:rFonts w:ascii="Arial" w:cs="Arial" w:eastAsia="Arial" w:hAnsi="Arial"/>
                  <w:sz w:val="18"/>
                  <w:szCs w:val="18"/>
                  <w:color w:val="0000EE"/>
                </w:rPr>
                <w:t>123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4"/>
          </w:tcPr>
          <w:p>
            <w:pPr>
              <w:spacing w:after="0" w:line="189" w:lineRule="exact"/>
              <w:rPr>
                <w:rFonts w:ascii="Arial" w:cs="Arial" w:eastAsia="Arial" w:hAnsi="Arial"/>
                <w:sz w:val="18"/>
                <w:szCs w:val="18"/>
                <w:color w:val="0000EE"/>
              </w:rPr>
            </w:pPr>
            <w:hyperlink w:anchor="page134">
              <w:r>
                <w:rPr>
                  <w:rFonts w:ascii="Arial" w:cs="Arial" w:eastAsia="Arial" w:hAnsi="Arial"/>
                  <w:sz w:val="18"/>
                  <w:szCs w:val="18"/>
                  <w:color w:val="0000EE"/>
                </w:rPr>
                <w:t>SHARES ELIGIBLE FOR FUTURE SALE</w:t>
              </w:r>
            </w:hyperlink>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34">
              <w:r>
                <w:rPr>
                  <w:rFonts w:ascii="Arial" w:cs="Arial" w:eastAsia="Arial" w:hAnsi="Arial"/>
                  <w:sz w:val="18"/>
                  <w:szCs w:val="18"/>
                  <w:color w:val="0000EE"/>
                </w:rPr>
                <w:t>127</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5900" w:type="dxa"/>
            <w:vAlign w:val="bottom"/>
            <w:gridSpan w:val="21"/>
            <w:shd w:val="clear" w:color="auto" w:fill="CCEEFF"/>
          </w:tcPr>
          <w:p>
            <w:pPr>
              <w:spacing w:after="0" w:line="189" w:lineRule="exact"/>
              <w:rPr>
                <w:rFonts w:ascii="Arial" w:cs="Arial" w:eastAsia="Arial" w:hAnsi="Arial"/>
                <w:sz w:val="18"/>
                <w:szCs w:val="18"/>
                <w:color w:val="0000EE"/>
                <w:w w:val="96"/>
              </w:rPr>
            </w:pPr>
            <w:hyperlink w:anchor="page136">
              <w:r>
                <w:rPr>
                  <w:rFonts w:ascii="Arial" w:cs="Arial" w:eastAsia="Arial" w:hAnsi="Arial"/>
                  <w:sz w:val="18"/>
                  <w:szCs w:val="18"/>
                  <w:color w:val="0000EE"/>
                  <w:w w:val="96"/>
                </w:rPr>
                <w:t>MATERIAL UNITED STATES FEDERAL INCOME TAX CONSIDERATIONS</w:t>
              </w:r>
            </w:hyperlink>
          </w:p>
        </w:tc>
        <w:tc>
          <w:tcPr>
            <w:tcW w:w="3000" w:type="dxa"/>
            <w:vAlign w:val="bottom"/>
            <w:gridSpan w:val="3"/>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5900" w:type="dxa"/>
            <w:vAlign w:val="bottom"/>
            <w:gridSpan w:val="21"/>
          </w:tcPr>
          <w:p>
            <w:pPr>
              <w:spacing w:after="0" w:line="189" w:lineRule="exact"/>
              <w:rPr>
                <w:rFonts w:ascii="Arial" w:cs="Arial" w:eastAsia="Arial" w:hAnsi="Arial"/>
                <w:sz w:val="18"/>
                <w:szCs w:val="18"/>
                <w:color w:val="0000EE"/>
              </w:rPr>
            </w:pPr>
            <w:hyperlink w:anchor="page141">
              <w:r>
                <w:rPr>
                  <w:rFonts w:ascii="Arial" w:cs="Arial" w:eastAsia="Arial" w:hAnsi="Arial"/>
                  <w:sz w:val="18"/>
                  <w:szCs w:val="18"/>
                  <w:color w:val="0000EE"/>
                </w:rPr>
                <w:t>UNDERWRITING</w:t>
              </w:r>
            </w:hyperlink>
          </w:p>
        </w:tc>
        <w:tc>
          <w:tcPr>
            <w:tcW w:w="3000" w:type="dxa"/>
            <w:vAlign w:val="bottom"/>
            <w:gridSpan w:val="3"/>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41">
              <w:r>
                <w:rPr>
                  <w:rFonts w:ascii="Arial" w:cs="Arial" w:eastAsia="Arial" w:hAnsi="Arial"/>
                  <w:sz w:val="18"/>
                  <w:szCs w:val="18"/>
                  <w:color w:val="0000EE"/>
                </w:rPr>
                <w:t>134</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460" w:type="dxa"/>
            <w:vAlign w:val="bottom"/>
            <w:gridSpan w:val="8"/>
            <w:shd w:val="clear" w:color="auto" w:fill="CCEEFF"/>
          </w:tcPr>
          <w:p>
            <w:pPr>
              <w:spacing w:after="0" w:line="189" w:lineRule="exact"/>
              <w:rPr>
                <w:rFonts w:ascii="Arial" w:cs="Arial" w:eastAsia="Arial" w:hAnsi="Arial"/>
                <w:sz w:val="18"/>
                <w:szCs w:val="18"/>
                <w:color w:val="0000EE"/>
                <w:w w:val="96"/>
              </w:rPr>
            </w:pPr>
            <w:hyperlink w:anchor="page145">
              <w:r>
                <w:rPr>
                  <w:rFonts w:ascii="Arial" w:cs="Arial" w:eastAsia="Arial" w:hAnsi="Arial"/>
                  <w:sz w:val="18"/>
                  <w:szCs w:val="18"/>
                  <w:color w:val="0000EE"/>
                  <w:w w:val="96"/>
                </w:rPr>
                <w:t>LEGAL MATTERS</w:t>
              </w:r>
            </w:hyperlink>
          </w:p>
        </w:tc>
        <w:tc>
          <w:tcPr>
            <w:tcW w:w="7440" w:type="dxa"/>
            <w:vAlign w:val="bottom"/>
            <w:gridSpan w:val="16"/>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EXPERTS</w:t>
              </w:r>
            </w:hyperlink>
          </w:p>
        </w:tc>
        <w:tc>
          <w:tcPr>
            <w:tcW w:w="7440" w:type="dxa"/>
            <w:vAlign w:val="bottom"/>
            <w:gridSpan w:val="16"/>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3820" w:type="dxa"/>
            <w:vAlign w:val="bottom"/>
            <w:gridSpan w:val="17"/>
            <w:shd w:val="clear" w:color="auto" w:fill="CCEEFF"/>
          </w:tcPr>
          <w:p>
            <w:pPr>
              <w:spacing w:after="0" w:line="189"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WHERE YOU CAN FIND MORE INFORMATION</w:t>
              </w:r>
            </w:hyperlink>
          </w:p>
        </w:tc>
        <w:tc>
          <w:tcPr>
            <w:tcW w:w="5080" w:type="dxa"/>
            <w:vAlign w:val="bottom"/>
            <w:gridSpan w:val="7"/>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4460" w:type="dxa"/>
            <w:vAlign w:val="bottom"/>
            <w:gridSpan w:val="18"/>
          </w:tcPr>
          <w:p>
            <w:pPr>
              <w:spacing w:after="0" w:line="189" w:lineRule="exact"/>
              <w:rPr>
                <w:rFonts w:ascii="Arial" w:cs="Arial" w:eastAsia="Arial" w:hAnsi="Arial"/>
                <w:sz w:val="18"/>
                <w:szCs w:val="18"/>
                <w:color w:val="0000EE"/>
                <w:w w:val="97"/>
              </w:rPr>
            </w:pPr>
            <w:hyperlink w:anchor="page146">
              <w:r>
                <w:rPr>
                  <w:rFonts w:ascii="Arial" w:cs="Arial" w:eastAsia="Arial" w:hAnsi="Arial"/>
                  <w:sz w:val="18"/>
                  <w:szCs w:val="18"/>
                  <w:color w:val="0000EE"/>
                  <w:w w:val="97"/>
                </w:rPr>
                <w:t>INDEX TO CONSOLIDATED FINANCIAL STATEMENTS</w:t>
              </w:r>
            </w:hyperlink>
          </w:p>
        </w:tc>
        <w:tc>
          <w:tcPr>
            <w:tcW w:w="4440" w:type="dxa"/>
            <w:vAlign w:val="bottom"/>
            <w:gridSpan w:val="6"/>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3"/>
          </w:tcPr>
          <w:p>
            <w:pPr>
              <w:jc w:val="right"/>
              <w:ind w:right="100"/>
              <w:spacing w:after="0"/>
              <w:rPr>
                <w:rFonts w:ascii="Arial" w:cs="Arial" w:eastAsia="Arial" w:hAnsi="Arial"/>
                <w:sz w:val="13"/>
                <w:szCs w:val="13"/>
                <w:color w:val="0000EE"/>
                <w:w w:val="71"/>
              </w:rPr>
            </w:pPr>
            <w:hyperlink w:anchor="page146">
              <w:r>
                <w:rPr>
                  <w:rFonts w:ascii="Arial" w:cs="Arial" w:eastAsia="Arial" w:hAnsi="Arial"/>
                  <w:sz w:val="13"/>
                  <w:szCs w:val="13"/>
                  <w:color w:val="0000EE"/>
                  <w:w w:val="71"/>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We, the selling shareholders and the underwriters have not authorized anyone to provide you with different or additional information. We, the selling shareholders and the underwriters are not making an offer of these securities in any jurisdiction where the offer is not permitted.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8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Unless we state otherwise or the context otherwise requires, references in this prospectus to “we,” “our,” “us,” “ourselves,” “our company,” and the “Company” refer to South Plains Financial, Inc., a Texas corporation, and its consolidated subsidiaries. References in this prospectus to “City Bank” and the “Bank” refer to City Bank, a Texas banking association and our wholly-owned consolidated subsidiary.</w:t>
      </w:r>
    </w:p>
    <w:p>
      <w:pPr>
        <w:spacing w:after="0" w:line="79"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This prospectus describes the specific details regarding this offering and the terms and conditions of our common stock being offered hereby and the risks of investing in our common stock. For additional information, please see the section entitled “Where You Can Find More Information.”</w:t>
      </w:r>
    </w:p>
    <w:p>
      <w:pPr>
        <w:spacing w:after="0" w:line="76"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You should not interpret the contents of this prospectus to be legal, business, investment or tax advice. You should consult with your own advisors for that type of advice and consult with them about the legal, tax, business, financial and other issues that you should consider before investing in our common stock.</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stated, all information in this prospectus gives effect to a 29-for-1 stock dividend, whereby each holder of our</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common stock received 29 additional shares of common stock for each share owned as of the record date of , 2019, which was distributed on , 2019. The effect of the stock dividend on outstanding shares and per share figures has been retroactively applied to all periods presented in this prospectus.</w:t>
      </w:r>
    </w:p>
    <w:p>
      <w:pPr>
        <w:spacing w:after="0" w:line="82"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Unless otherwise stated, all information in this prospectus assumes that the underwriters have not exercised their option to purchase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108585</wp:posOffset>
            </wp:positionV>
            <wp:extent cx="1148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Within this prospectus, we reference certain market, industry and demographic data, forecasts and other statistical information. We have obtained this data, forecasts and information from various independent, third party industry sources and publications. Nothing in the data, forecasts or information used or derived from third party sources should be construed as advice. Some data and other information are also based on our good faith estimates, which are derived from our review of industry publications and surveys and independent sources. We believe that these sources and estimates are reliable, but have not independently verified them. Statements as to our market position are based on market data currently available to us. Although we are not aware of any misstatements regarding the economic, employment, industry and other market data presented herein, these estimates involve inherent risks and uncertainties and are based on assumptions that are subject to change.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79" w:lineRule="exact"/>
        <w:rPr>
          <w:sz w:val="20"/>
          <w:szCs w:val="20"/>
          <w:color w:val="auto"/>
        </w:rPr>
      </w:pPr>
    </w:p>
    <w:p>
      <w:pPr>
        <w:ind w:left="700" w:right="180" w:hanging="344"/>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present as few as two years of audited financial statements and two years of related management discussion and analysis of financial condition and results of operations;</w:t>
      </w:r>
    </w:p>
    <w:p>
      <w:pPr>
        <w:spacing w:after="0" w:line="62" w:lineRule="exact"/>
        <w:rPr>
          <w:rFonts w:ascii="Arial" w:cs="Arial" w:eastAsia="Arial" w:hAnsi="Arial"/>
          <w:sz w:val="18"/>
          <w:szCs w:val="18"/>
          <w:color w:val="auto"/>
        </w:rPr>
      </w:pPr>
    </w:p>
    <w:p>
      <w:pPr>
        <w:ind w:left="700" w:right="100" w:hanging="344"/>
        <w:spacing w:after="0" w:line="34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exempt from the requirement to obtain an attestation and report from our auditors on management’s assessment of our internal control over financial reporting under the Sarbanes-Oxley Act of 2002, or the Sarbanes-Oxley Act;</w:t>
      </w:r>
    </w:p>
    <w:p>
      <w:pPr>
        <w:spacing w:after="0" w:line="15" w:lineRule="exact"/>
        <w:rPr>
          <w:rFonts w:ascii="Arial" w:cs="Arial" w:eastAsia="Arial" w:hAnsi="Arial"/>
          <w:sz w:val="16"/>
          <w:szCs w:val="16"/>
          <w:color w:val="auto"/>
        </w:rPr>
      </w:pPr>
    </w:p>
    <w:p>
      <w:pPr>
        <w:ind w:left="700" w:hanging="34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17" w:lineRule="exact"/>
        <w:rPr>
          <w:rFonts w:ascii="Arial" w:cs="Arial" w:eastAsia="Arial" w:hAnsi="Arial"/>
          <w:sz w:val="18"/>
          <w:szCs w:val="18"/>
          <w:color w:val="auto"/>
        </w:rPr>
      </w:pPr>
    </w:p>
    <w:p>
      <w:pPr>
        <w:ind w:left="700" w:right="160" w:hanging="344"/>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give our shareholders non-binding advisory votes on executive compensation or golden parachute arrangements.</w:t>
      </w:r>
    </w:p>
    <w:p>
      <w:pPr>
        <w:spacing w:after="0" w:line="62"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this prospectus we have elected to take advantage of the reduced disclosure requirements relating to the presentation and discussion of our audited financial statements and executive compensation, and in the future we may take advantage of any or all of these exemptions for so long as we remain an emerging growth company. We will remain an emerging growth company until the earliest of (i) the end of the fiscal year during which we have total annual gross revenues of $1.07 billion or more, (ii) the last day of the fiscal year following the fifth anniversary of the completion of this offering,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spacing w:after="0" w:line="58"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addition to the relief described above, 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S Corporation Status</w:t>
      </w:r>
    </w:p>
    <w:p>
      <w:pPr>
        <w:spacing w:after="0" w:line="121"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Beginning January 1, 1998, the Company elected to be taxed for U.S. federal income tax purposes as an “S corporation,” or S Corporation or S Corp, under the provisions of Sections 1361 to 1379 of the Internal Revenue Code of 1986, as amended, or the Code. As a result, our net income had not been subject to, and we had not paid, U.S. federal income tax, and no provision or liability for U.S. federal income tax had been included in our consolidated financial statements. Instead, for U.S. federal income tax purposes our taxable income was “passed through” to our shareholders.</w:t>
      </w:r>
    </w:p>
    <w:p>
      <w:pPr>
        <w:spacing w:after="0" w:line="68"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Effective May 31, 2018, our status as an S Corporation terminated and we became taxed as a C Corporation under the provisions of Sections 301 to 385 of the Code, and we established a deferred tax asset to reflect the S Corporation revocation. Thus, our net income is now subject to U.S. federal income tax and we bear the liability for those taxes.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8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Company calculates its pro forma C Corporation net income, return on average assets, return on average shareholders’ equity and earnings per share using a statutory tax rate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 For our comparative C Corporation and S Corporation financial information, see “Selected Historical Consolidated Financial and Operating Information.”</w:t>
      </w:r>
    </w:p>
    <w:p>
      <w:pPr>
        <w:spacing w:after="0" w:line="84" w:lineRule="exact"/>
        <w:rPr>
          <w:sz w:val="20"/>
          <w:szCs w:val="20"/>
          <w:color w:val="auto"/>
        </w:rPr>
      </w:pPr>
    </w:p>
    <w:p>
      <w:pPr>
        <w:jc w:val="both"/>
        <w:ind w:right="40" w:firstLine="360"/>
        <w:spacing w:after="0" w:line="263"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ESOP Repurchase Right Termination</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 accordance with applicable provisions of the Internal Revenue Code, the terms of the South Plains Financial, Inc. Employee Stock Ownership Plan and 401(k) Plan, or ESOP, currently provide that ESOP participants have the right, for a specified period of time, to require us to repurchase shares of our common stock that are distributed to them by the ESOP. The shares of common stock held by the ESOP are reflected in our consolidated balance sheet as of December 31, 2018 as a line item called “Employee Stock Ownership Plan (ESOP) owned shares” appearing between total liabilities and shareholders’ equity. As a result, the ESOP-owned shares are deducted from shareholders’ equity in our consolidated balance sheet. This repurchase right will terminate upon the closing of this offering and the listing of our common stock on the NASDAQ Global Select Market, which we sometimes refer to as the ESOP Repurchase Right Termination, whereupon our repurchase liability will be extinguished and thereafter the ESOP-owned shares will not be deducted from shareholders’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333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9175" cy="7333615"/>
                    </a:xfrm>
                    <a:prstGeom prst="rect">
                      <a:avLst/>
                    </a:prstGeom>
                    <a:noFill/>
                  </pic:spPr>
                </pic:pic>
              </a:graphicData>
            </a:graphic>
          </wp:anchor>
        </w:drawing>
      </w: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20" w:right="20" w:firstLine="36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in making your investment decision. You should read the following summary together with the entire prospectus, including the matters discussed in the “Risk Factors” and “Management’s Discussion and Analysis of Financial Condition and Results of Operations” sections and the historical financial statements and the accompanying notes before deciding to invest in our common stock. Some of the statements in this prospectus constitute forward-looking statements. See “Forward-Looking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80" w:firstLine="360"/>
        <w:spacing w:after="0" w:line="273" w:lineRule="auto"/>
        <w:rPr>
          <w:sz w:val="20"/>
          <w:szCs w:val="20"/>
          <w:color w:val="auto"/>
        </w:rPr>
      </w:pPr>
      <w:r>
        <w:rPr>
          <w:rFonts w:ascii="Arial" w:cs="Arial" w:eastAsia="Arial" w:hAnsi="Arial"/>
          <w:sz w:val="17"/>
          <w:szCs w:val="17"/>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70" w:lineRule="exact"/>
        <w:rPr>
          <w:sz w:val="20"/>
          <w:szCs w:val="20"/>
          <w:color w:val="auto"/>
        </w:rPr>
      </w:pPr>
    </w:p>
    <w:p>
      <w:pPr>
        <w:ind w:left="120" w:right="280" w:firstLine="360"/>
        <w:spacing w:after="0" w:line="277" w:lineRule="auto"/>
        <w:rPr>
          <w:sz w:val="20"/>
          <w:szCs w:val="20"/>
          <w:color w:val="auto"/>
        </w:rPr>
      </w:pPr>
      <w:r>
        <w:rPr>
          <w:rFonts w:ascii="Arial" w:cs="Arial" w:eastAsia="Arial" w:hAnsi="Arial"/>
          <w:sz w:val="18"/>
          <w:szCs w:val="18"/>
          <w:color w:val="auto"/>
        </w:rPr>
        <w:t>We had total assets of $2.6 billion, gross loans held for investment of $1.8 billion, total deposits of $2.2 billion, and total shareholders’ equity of $215.3 million as of December 31, 2017.</w:t>
      </w:r>
    </w:p>
    <w:p>
      <w:pPr>
        <w:spacing w:after="0" w:line="62" w:lineRule="exact"/>
        <w:rPr>
          <w:sz w:val="20"/>
          <w:szCs w:val="20"/>
          <w:color w:val="auto"/>
        </w:rPr>
      </w:pPr>
    </w:p>
    <w:p>
      <w:pPr>
        <w:ind w:left="120" w:firstLine="360"/>
        <w:spacing w:after="0" w:line="285" w:lineRule="auto"/>
        <w:rPr>
          <w:sz w:val="20"/>
          <w:szCs w:val="20"/>
          <w:color w:val="auto"/>
        </w:rPr>
      </w:pPr>
      <w:r>
        <w:rPr>
          <w:rFonts w:ascii="Arial" w:cs="Arial" w:eastAsia="Arial" w:hAnsi="Arial"/>
          <w:sz w:val="16"/>
          <w:szCs w:val="16"/>
          <w:color w:val="auto"/>
        </w:rPr>
        <w:t>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 In addition, unless otherwise stated, all information in this prospectus gives effect to a 29-for-1 stock dividend, whereby each holder of our common stock received 29 additional shares of common stock for</w:t>
      </w:r>
    </w:p>
    <w:p>
      <w:pPr>
        <w:spacing w:after="0" w:line="2" w:lineRule="exact"/>
        <w:rPr>
          <w:sz w:val="20"/>
          <w:szCs w:val="20"/>
          <w:color w:val="auto"/>
        </w:rPr>
      </w:pPr>
    </w:p>
    <w:p>
      <w:pPr>
        <w:ind w:left="120" w:right="460"/>
        <w:spacing w:after="0" w:line="290" w:lineRule="auto"/>
        <w:rPr>
          <w:sz w:val="20"/>
          <w:szCs w:val="20"/>
          <w:color w:val="auto"/>
        </w:rPr>
      </w:pPr>
      <w:r>
        <w:rPr>
          <w:rFonts w:ascii="Arial" w:cs="Arial" w:eastAsia="Arial" w:hAnsi="Arial"/>
          <w:sz w:val="17"/>
          <w:szCs w:val="17"/>
          <w:color w:val="auto"/>
        </w:rPr>
        <w:t>each share owned as of the record date of , 2019, which was distributed on , 2019. The effect of the stock dividend on outstanding shares and per share figures has been retroactively applied to all periods presented in this prospectus.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left="120" w:firstLine="360"/>
        <w:spacing w:after="0" w:line="288" w:lineRule="auto"/>
        <w:rPr>
          <w:sz w:val="20"/>
          <w:szCs w:val="20"/>
          <w:color w:val="auto"/>
        </w:rPr>
      </w:pPr>
      <w:r>
        <w:rPr>
          <w:rFonts w:ascii="Arial" w:cs="Arial" w:eastAsia="Arial" w:hAnsi="Arial"/>
          <w:sz w:val="16"/>
          <w:szCs w:val="16"/>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60" w:lineRule="exact"/>
        <w:rPr>
          <w:sz w:val="20"/>
          <w:szCs w:val="20"/>
          <w:color w:val="auto"/>
        </w:rPr>
      </w:pPr>
    </w:p>
    <w:p>
      <w:pPr>
        <w:ind w:left="120" w:right="8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6" w:lineRule="exact"/>
        <w:rPr>
          <w:sz w:val="20"/>
          <w:szCs w:val="20"/>
          <w:color w:val="auto"/>
        </w:rPr>
      </w:pPr>
    </w:p>
    <w:p>
      <w:pPr>
        <w:ind w:left="120" w:right="20" w:firstLine="360"/>
        <w:spacing w:after="0" w:line="263"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6" w:lineRule="exact"/>
        <w:rPr>
          <w:sz w:val="20"/>
          <w:szCs w:val="20"/>
          <w:color w:val="auto"/>
        </w:rPr>
      </w:pPr>
    </w:p>
    <w:p>
      <w:pPr>
        <w:ind w:left="820" w:right="400" w:hanging="351"/>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growth, with a compound annual growth rate, or CAGR, of 11.7% in net income for the five years ended December 31, 2017;</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136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9175" cy="7136130"/>
                    </a:xfrm>
                    <a:prstGeom prst="rect">
                      <a:avLst/>
                    </a:prstGeom>
                    <a:noFill/>
                  </pic:spPr>
                </pic:pic>
              </a:graphicData>
            </a:graphic>
          </wp:anchor>
        </w:drawing>
      </w:r>
    </w:p>
    <w:p>
      <w:pPr>
        <w:spacing w:after="0" w:line="246" w:lineRule="exact"/>
        <w:rPr>
          <w:sz w:val="20"/>
          <w:szCs w:val="20"/>
          <w:color w:val="auto"/>
        </w:rPr>
      </w:pPr>
    </w:p>
    <w:p>
      <w:pPr>
        <w:ind w:left="820" w:hanging="35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growth, with a CAGR of 5.9% for the period December 31, 2012 to December 31, 2017;</w:t>
      </w:r>
    </w:p>
    <w:p>
      <w:pPr>
        <w:spacing w:after="0" w:line="117" w:lineRule="exact"/>
        <w:rPr>
          <w:rFonts w:ascii="Arial" w:cs="Arial" w:eastAsia="Arial" w:hAnsi="Arial"/>
          <w:sz w:val="18"/>
          <w:szCs w:val="18"/>
          <w:color w:val="auto"/>
        </w:rPr>
      </w:pPr>
    </w:p>
    <w:p>
      <w:pPr>
        <w:ind w:left="820" w:right="20" w:hanging="351"/>
        <w:spacing w:after="0" w:line="34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Strong asset quality metrics, with a net charge-offs to average loans ratio of 0.21% for the year ended December 31, 2017 and our nonperforming assets representing less than 0.91% of our loans and OREO as of December 31, 2017; and</w:t>
      </w:r>
    </w:p>
    <w:p>
      <w:pPr>
        <w:spacing w:after="0" w:line="15" w:lineRule="exact"/>
        <w:rPr>
          <w:rFonts w:ascii="Arial" w:cs="Arial" w:eastAsia="Arial" w:hAnsi="Arial"/>
          <w:sz w:val="16"/>
          <w:szCs w:val="16"/>
          <w:color w:val="auto"/>
        </w:rPr>
      </w:pPr>
    </w:p>
    <w:p>
      <w:pPr>
        <w:ind w:left="820" w:right="220" w:hanging="351"/>
        <w:spacing w:after="0" w:line="311"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88.4% of total deposits as of December 31, 2017, and our cost of total deposits, which was 0.58% for the year ended December 31, 2017.</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60" w:firstLine="360"/>
        <w:spacing w:after="0" w:line="263"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6" w:lineRule="exact"/>
        <w:rPr>
          <w:sz w:val="20"/>
          <w:szCs w:val="20"/>
          <w:color w:val="auto"/>
        </w:rPr>
      </w:pPr>
    </w:p>
    <w:p>
      <w:pPr>
        <w:ind w:left="820" w:right="40" w:hanging="351"/>
        <w:spacing w:after="0" w:line="255"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w:t>
      </w:r>
      <w:r>
        <w:rPr>
          <w:rFonts w:ascii="Arial" w:cs="Arial" w:eastAsia="Arial" w:hAnsi="Arial"/>
          <w:sz w:val="18"/>
          <w:szCs w:val="18"/>
          <w:color w:val="auto"/>
        </w:rPr>
        <w:t>. 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 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2017, which we believe illustrates this strategy.</w:t>
      </w:r>
    </w:p>
    <w:p>
      <w:pPr>
        <w:spacing w:after="0" w:line="39"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Deposits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Loans/</w:t>
            </w: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Overall %</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8"/>
                <w:szCs w:val="28"/>
                <w:color w:val="auto"/>
                <w:vertAlign w:val="superscript"/>
              </w:rPr>
              <w:t>(1)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361,471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518,718</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r>
      <w:tr>
        <w:trPr>
          <w:trHeight w:val="390"/>
        </w:trPr>
        <w:tc>
          <w:tcPr>
            <w:tcW w:w="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1,792,610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1,319,437</w:t>
            </w:r>
          </w:p>
        </w:tc>
        <w:tc>
          <w:tcPr>
            <w:tcW w:w="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r>
    </w:tbl>
    <w:p>
      <w:pPr>
        <w:spacing w:after="0" w:line="9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 Dollar amounts in thousands.</w:t>
      </w:r>
    </w:p>
    <w:p>
      <w:pPr>
        <w:spacing w:after="0" w:line="109" w:lineRule="exact"/>
        <w:rPr>
          <w:sz w:val="20"/>
          <w:szCs w:val="20"/>
          <w:color w:val="auto"/>
        </w:rPr>
      </w:pPr>
    </w:p>
    <w:p>
      <w:pPr>
        <w:ind w:left="1180" w:hanging="346"/>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180" w:right="180" w:hanging="346"/>
        <w:spacing w:after="0" w:line="273"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84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820" w:right="100" w:hanging="351"/>
        <w:spacing w:after="0" w:line="270"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Growth Through Acquisitions</w:t>
      </w:r>
      <w:r>
        <w:rPr>
          <w:rFonts w:ascii="Arial" w:cs="Arial" w:eastAsia="Arial" w:hAnsi="Arial"/>
          <w:sz w:val="17"/>
          <w:szCs w:val="17"/>
          <w:color w:val="auto"/>
        </w:rPr>
        <w:t>. We intend to take advantage of strategic acquisition opportunities, including using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as public currency to become a logical consolidator in our market areas. As of September 30, 2018, there were more than 140 banks in Texas and New Mexico with between $250 million and $1.0 billion in total assets, which provides us with ample opportunities to make acquisitions that increase shareholder value both in our existing markets and in attractive new markets in those states.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w:t>
      </w:r>
    </w:p>
    <w:p>
      <w:pPr>
        <w:spacing w:after="0" w:line="72" w:lineRule="exact"/>
        <w:rPr>
          <w:rFonts w:ascii="Arial" w:cs="Arial" w:eastAsia="Arial" w:hAnsi="Arial"/>
          <w:sz w:val="17"/>
          <w:szCs w:val="17"/>
          <w:color w:val="auto"/>
        </w:rPr>
      </w:pPr>
    </w:p>
    <w:p>
      <w:pPr>
        <w:ind w:left="820" w:hanging="351"/>
        <w:spacing w:after="0" w:line="293"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Operational Improvements Through Enterprise Risk Management</w:t>
      </w:r>
      <w:r>
        <w:rPr>
          <w:rFonts w:ascii="Arial" w:cs="Arial" w:eastAsia="Arial" w:hAnsi="Arial"/>
          <w:sz w:val="16"/>
          <w:szCs w:val="16"/>
          <w:color w:val="auto"/>
        </w:rPr>
        <w:t>. We implemented a rigorous enterprise risk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or ERM, system in the aftermath of the financial crisis, and view this development as a defining event for our institution. This system delivers a systematic approach to risk 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059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9175" cy="7059295"/>
                    </a:xfrm>
                    <a:prstGeom prst="rect">
                      <a:avLst/>
                    </a:prstGeom>
                    <a:noFill/>
                  </pic:spPr>
                </pic:pic>
              </a:graphicData>
            </a:graphic>
          </wp:anchor>
        </w:drawing>
      </w:r>
    </w:p>
    <w:p>
      <w:pPr>
        <w:spacing w:after="0" w:line="138" w:lineRule="exact"/>
        <w:rPr>
          <w:sz w:val="20"/>
          <w:szCs w:val="20"/>
          <w:color w:val="auto"/>
        </w:rPr>
      </w:pPr>
    </w:p>
    <w:p>
      <w:pPr>
        <w:ind w:left="840" w:right="60"/>
        <w:spacing w:after="0" w:line="255" w:lineRule="auto"/>
        <w:rPr>
          <w:sz w:val="20"/>
          <w:szCs w:val="20"/>
          <w:color w:val="auto"/>
        </w:rPr>
      </w:pPr>
      <w:r>
        <w:rPr>
          <w:rFonts w:ascii="Arial" w:cs="Arial" w:eastAsia="Arial" w:hAnsi="Arial"/>
          <w:sz w:val="18"/>
          <w:szCs w:val="18"/>
          <w:color w:val="auto"/>
        </w:rPr>
        <w:t>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84" w:lineRule="exact"/>
        <w:rPr>
          <w:sz w:val="20"/>
          <w:szCs w:val="20"/>
          <w:color w:val="auto"/>
        </w:rPr>
      </w:pPr>
    </w:p>
    <w:p>
      <w:pPr>
        <w:ind w:left="820" w:right="140" w:hanging="351"/>
        <w:spacing w:after="0" w:line="271"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Efficiency and Profitability</w:t>
      </w:r>
      <w:r>
        <w:rPr>
          <w:rFonts w:ascii="Arial" w:cs="Arial" w:eastAsia="Arial" w:hAnsi="Arial"/>
          <w:sz w:val="17"/>
          <w:szCs w:val="17"/>
          <w:color w:val="auto"/>
        </w:rPr>
        <w:t>. We have invested in a number of systems and processes that we believe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 account tools, and technologies that facilitate more efficient item processing. We believe these investments will allow us to scale our business without commensurate additional expenses and help us further reduce our efficiency ratio over time.</w:t>
      </w:r>
    </w:p>
    <w:p>
      <w:pPr>
        <w:spacing w:after="0" w:line="70" w:lineRule="exact"/>
        <w:rPr>
          <w:rFonts w:ascii="Arial" w:cs="Arial" w:eastAsia="Arial" w:hAnsi="Arial"/>
          <w:sz w:val="17"/>
          <w:szCs w:val="17"/>
          <w:color w:val="auto"/>
        </w:rPr>
      </w:pPr>
    </w:p>
    <w:p>
      <w:pPr>
        <w:ind w:left="820" w:hanging="351"/>
        <w:spacing w:after="0" w:line="289"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Emphasize Community Banking</w:t>
      </w:r>
      <w:r>
        <w:rPr>
          <w:rFonts w:ascii="Arial" w:cs="Arial" w:eastAsia="Arial" w:hAnsi="Arial"/>
          <w:sz w:val="16"/>
          <w:szCs w:val="16"/>
          <w:color w:val="auto"/>
        </w:rPr>
        <w:t>. We intend to continue operating our subsidiary bank as a community banking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right="120" w:hanging="351"/>
        <w:spacing w:after="0" w:line="25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Management Depth and Experience. </w:t>
      </w:r>
      <w:r>
        <w:rPr>
          <w:rFonts w:ascii="Arial" w:cs="Arial" w:eastAsia="Arial" w:hAnsi="Arial"/>
          <w:sz w:val="18"/>
          <w:szCs w:val="18"/>
          <w:color w:val="auto"/>
        </w:rPr>
        <w:t>Our executive management team has an average of 31 years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pacing w:after="0" w:line="86" w:lineRule="exact"/>
        <w:rPr>
          <w:rFonts w:ascii="Arial" w:cs="Arial" w:eastAsia="Arial" w:hAnsi="Arial"/>
          <w:sz w:val="18"/>
          <w:szCs w:val="18"/>
          <w:color w:val="auto"/>
        </w:rPr>
      </w:pPr>
    </w:p>
    <w:p>
      <w:pPr>
        <w:ind w:left="1180" w:hanging="346"/>
        <w:spacing w:after="0" w:line="261" w:lineRule="auto"/>
        <w:tabs>
          <w:tab w:leader="none" w:pos="1180" w:val="left"/>
        </w:tabs>
        <w:numPr>
          <w:ilvl w:val="1"/>
          <w:numId w:val="10"/>
        </w:numPr>
        <w:rPr>
          <w:rFonts w:ascii="Arial" w:cs="Arial" w:eastAsia="Arial" w:hAnsi="Arial"/>
          <w:sz w:val="21"/>
          <w:szCs w:val="21"/>
          <w:color w:val="auto"/>
          <w:vertAlign w:val="superscript"/>
        </w:rPr>
      </w:pPr>
      <w:r>
        <w:rPr>
          <w:rFonts w:ascii="Arial" w:cs="Arial" w:eastAsia="Arial" w:hAnsi="Arial"/>
          <w:sz w:val="17"/>
          <w:szCs w:val="17"/>
          <w:b w:val="1"/>
          <w:bCs w:val="1"/>
          <w:i w:val="1"/>
          <w:iCs w:val="1"/>
          <w:color w:val="auto"/>
        </w:rPr>
        <w:t xml:space="preserve">Curtis C. Griffith </w:t>
      </w:r>
      <w:r>
        <w:rPr>
          <w:rFonts w:ascii="Arial" w:cs="Arial" w:eastAsia="Arial" w:hAnsi="Arial"/>
          <w:sz w:val="17"/>
          <w:szCs w:val="17"/>
          <w:i w:val="1"/>
          <w:iCs w:val="1"/>
          <w:color w:val="auto"/>
        </w:rPr>
        <w:t>– Chairman and Chief Executive Officer – Age 66</w:t>
      </w:r>
      <w:r>
        <w:rPr>
          <w:rFonts w:ascii="Arial" w:cs="Arial" w:eastAsia="Arial" w:hAnsi="Arial"/>
          <w:sz w:val="17"/>
          <w:szCs w:val="17"/>
          <w:color w:val="auto"/>
        </w:rPr>
        <w:t>. Mr. Griffith has been with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its inception and has worked with the Bank and its predecessor institutions for over 47 years. Mr. Griffith has served as Chairman and President of the Company since 1993. In 1972, he was elected to the board of directors of First State Bank of Morton, Texas, a predecessor institution to the Bank, and continues to serve on the board of directors of the Bank. He has served on the board of directors of the Independent Bankers Association of Texas, or IBAT, and continues to serve on the Legislative and PAC committees for IBAT.</w:t>
      </w:r>
    </w:p>
    <w:p>
      <w:pPr>
        <w:spacing w:after="0" w:line="78" w:lineRule="exact"/>
        <w:rPr>
          <w:rFonts w:ascii="Arial" w:cs="Arial" w:eastAsia="Arial" w:hAnsi="Arial"/>
          <w:sz w:val="21"/>
          <w:szCs w:val="21"/>
          <w:color w:val="auto"/>
          <w:vertAlign w:val="superscript"/>
        </w:rPr>
      </w:pPr>
    </w:p>
    <w:p>
      <w:pPr>
        <w:ind w:left="1180" w:right="40" w:hanging="346"/>
        <w:spacing w:after="0" w:line="243" w:lineRule="auto"/>
        <w:tabs>
          <w:tab w:leader="none" w:pos="1180" w:val="left"/>
        </w:tabs>
        <w:numPr>
          <w:ilvl w:val="1"/>
          <w:numId w:val="10"/>
        </w:numPr>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 xml:space="preserve">Cory T. Newsom </w:t>
      </w:r>
      <w:r>
        <w:rPr>
          <w:rFonts w:ascii="Arial" w:cs="Arial" w:eastAsia="Arial" w:hAnsi="Arial"/>
          <w:sz w:val="18"/>
          <w:szCs w:val="18"/>
          <w:i w:val="1"/>
          <w:iCs w:val="1"/>
          <w:color w:val="auto"/>
        </w:rPr>
        <w:t>– Director and President – Age 52</w:t>
      </w:r>
      <w:r>
        <w:rPr>
          <w:rFonts w:ascii="Arial" w:cs="Arial" w:eastAsia="Arial" w:hAnsi="Arial"/>
          <w:sz w:val="18"/>
          <w:szCs w:val="18"/>
          <w:color w:val="auto"/>
        </w:rPr>
        <w:t>. Mr. Newsom began his 36-year career in banking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progressing through our lending and operations areas. He currently serves as President 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93" w:lineRule="exact"/>
        <w:rPr>
          <w:rFonts w:ascii="Arial" w:cs="Arial" w:eastAsia="Arial" w:hAnsi="Arial"/>
          <w:sz w:val="22"/>
          <w:szCs w:val="22"/>
          <w:color w:val="auto"/>
          <w:vertAlign w:val="superscript"/>
        </w:rPr>
      </w:pPr>
    </w:p>
    <w:p>
      <w:pPr>
        <w:ind w:left="1180" w:right="120" w:hanging="346"/>
        <w:spacing w:after="0" w:line="241" w:lineRule="auto"/>
        <w:tabs>
          <w:tab w:leader="none" w:pos="1180" w:val="left"/>
        </w:tabs>
        <w:numPr>
          <w:ilvl w:val="1"/>
          <w:numId w:val="10"/>
        </w:numPr>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 xml:space="preserve">Steven B. Crockett </w:t>
      </w:r>
      <w:r>
        <w:rPr>
          <w:rFonts w:ascii="Arial" w:cs="Arial" w:eastAsia="Arial" w:hAnsi="Arial"/>
          <w:sz w:val="18"/>
          <w:szCs w:val="18"/>
          <w:i w:val="1"/>
          <w:iCs w:val="1"/>
          <w:color w:val="auto"/>
        </w:rPr>
        <w:t>– Chief Financial Officer and Treasurer – Age 47</w:t>
      </w:r>
      <w:r>
        <w:rPr>
          <w:rFonts w:ascii="Arial" w:cs="Arial" w:eastAsia="Arial" w:hAnsi="Arial"/>
          <w:sz w:val="18"/>
          <w:szCs w:val="18"/>
          <w:color w:val="auto"/>
        </w:rPr>
        <w:t>. Mr. Crockett has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5970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9175" cy="597027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Kevin R. Bass </w:t>
      </w:r>
      <w:r>
        <w:rPr>
          <w:rFonts w:ascii="Arial" w:cs="Arial" w:eastAsia="Arial" w:hAnsi="Arial"/>
          <w:sz w:val="17"/>
          <w:szCs w:val="17"/>
          <w:i w:val="1"/>
          <w:iCs w:val="1"/>
          <w:color w:val="auto"/>
        </w:rPr>
        <w:t>– Chief Credit Officer – Age 52</w:t>
      </w:r>
      <w:r>
        <w:rPr>
          <w:rFonts w:ascii="Arial" w:cs="Arial" w:eastAsia="Arial" w:hAnsi="Arial"/>
          <w:sz w:val="17"/>
          <w:szCs w:val="17"/>
          <w:color w:val="auto"/>
        </w:rPr>
        <w:t>. Mr. Bass began his 31-year career in banking as a credit analyst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44</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 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84" w:lineRule="exact"/>
        <w:rPr>
          <w:sz w:val="20"/>
          <w:szCs w:val="20"/>
          <w:color w:val="auto"/>
        </w:rPr>
      </w:pPr>
    </w:p>
    <w:p>
      <w:pPr>
        <w:sectPr>
          <w:pgSz w:w="11900" w:h="16838" w:orient="portrait"/>
          <w:cols w:equalWidth="0" w:num="2">
            <w:col w:w="900" w:space="280"/>
            <w:col w:w="8300"/>
          </w:cols>
          <w:pgMar w:left="1160" w:top="279" w:right="1259" w:bottom="1440" w:gutter="0" w:footer="0" w:header="0"/>
          <w:type w:val="continuous"/>
        </w:sectPr>
      </w:pPr>
    </w:p>
    <w:p>
      <w:pPr>
        <w:ind w:left="820" w:right="140" w:hanging="351"/>
        <w:spacing w:after="0" w:line="25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to customers in our market areas. We offer retail deposit services through our existing branch network, as well as digital banking products. Core deposits totaled $1.9 billion, or 88.4% of total deposits, and noninterest bearing deposits totaled $475.2 million, or 22.1% of total deposits as of December 31, 2017. Our cost of total deposits was 0.58%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20" w:right="40" w:hanging="351"/>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71.4% of loans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customers, and 28.6% of loans made to individual customers as of December 31, 2017. The Bank establishes a personal relationship with its customers and their businesses, with the goal of creating the right loans for the right borrowers and the right properties.</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684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9175" cy="7684770"/>
                    </a:xfrm>
                    <a:prstGeom prst="rect">
                      <a:avLst/>
                    </a:prstGeom>
                    <a:noFill/>
                  </pic:spPr>
                </pic:pic>
              </a:graphicData>
            </a:graphic>
          </wp:anchor>
        </w:drawing>
      </w:r>
    </w:p>
    <w:p>
      <w:pPr>
        <w:spacing w:after="0" w:line="2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graph shows each major category of our loan portfolio as of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right="60" w:hanging="351"/>
        <w:spacing w:after="0" w:line="296"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Strong Asset Quality</w:t>
      </w:r>
      <w:r>
        <w:rPr>
          <w:rFonts w:ascii="Arial" w:cs="Arial" w:eastAsia="Arial" w:hAnsi="Arial"/>
          <w:sz w:val="16"/>
          <w:szCs w:val="16"/>
          <w:color w:val="auto"/>
        </w:rPr>
        <w:t>. We believe our in-depth knowledge of our markets and customers, as well as the implementation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consistent and conservative underwriting, has allowed us to maintain strong asset quality over time. Our nonperforming assets were $16.7 million as of December 31, 2017, which represents less than 0.91% of our loans and OREO. Our net charge-offs as a percentage of average loans was 0.21% for the year ended December 31, 2017. Additionally, our loan loss reserve to nonperforming loans ratio was 154.4% as of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hanging="351"/>
        <w:spacing w:after="0" w:line="25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Fee Income</w:t>
      </w:r>
      <w:r>
        <w:rPr>
          <w:rFonts w:ascii="Arial" w:cs="Arial" w:eastAsia="Arial" w:hAnsi="Arial"/>
          <w:sz w:val="18"/>
          <w:szCs w:val="18"/>
          <w:color w:val="auto"/>
        </w:rPr>
        <w:t>. Our fee income is primarily driven by our mortgage operations, debit card and other bank service charge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income for our insurance, trust and investment services business. Fee income comprised 34.9% of our total revenue for the year ended December 31, 2017. This compares to a median fee income of 11.4% of total revenue for major exchange-traded banks headquartered in Texas with total assets between $1.0 billion and $5.0 billion and 16.7% of total revenue for all banks headquartered in Texas with total assets between $1.0 billion and $5.0 billion. Our fee income provides</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290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9175" cy="7290435"/>
                    </a:xfrm>
                    <a:prstGeom prst="rect">
                      <a:avLst/>
                    </a:prstGeom>
                    <a:noFill/>
                  </pic:spPr>
                </pic:pic>
              </a:graphicData>
            </a:graphic>
          </wp:anchor>
        </w:drawing>
      </w:r>
    </w:p>
    <w:p>
      <w:pPr>
        <w:spacing w:after="0" w:line="138" w:lineRule="exact"/>
        <w:rPr>
          <w:sz w:val="20"/>
          <w:szCs w:val="20"/>
          <w:color w:val="auto"/>
        </w:rPr>
      </w:pPr>
    </w:p>
    <w:p>
      <w:pPr>
        <w:ind w:left="840" w:right="220"/>
        <w:spacing w:after="0" w:line="263" w:lineRule="auto"/>
        <w:rPr>
          <w:sz w:val="20"/>
          <w:szCs w:val="20"/>
          <w:color w:val="auto"/>
        </w:rPr>
      </w:pPr>
      <w:r>
        <w:rPr>
          <w:rFonts w:ascii="Arial" w:cs="Arial" w:eastAsia="Arial" w:hAnsi="Arial"/>
          <w:sz w:val="18"/>
          <w:szCs w:val="18"/>
          <w:color w:val="auto"/>
        </w:rPr>
        <w:t>shareholders with a recurring and diversified earnings stream. Total fee income was $47.4 million for the year ended December 31, 2017 and has increased significantly over the past five years due primarily to growth and improved performance in our mortgage banking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20" w:right="40" w:hanging="351"/>
        <w:spacing w:after="0" w:line="25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2017. We believe that we provide excellent pay and benefits to our employees as well as a safe and inviting workplace. Our employees respond with loyalty and by making us known in our communities as a bank that does the right things for the right reasons.</w:t>
      </w:r>
    </w:p>
    <w:p>
      <w:pPr>
        <w:spacing w:after="0" w:line="79" w:lineRule="exact"/>
        <w:rPr>
          <w:rFonts w:ascii="Arial" w:cs="Arial" w:eastAsia="Arial" w:hAnsi="Arial"/>
          <w:sz w:val="18"/>
          <w:szCs w:val="18"/>
          <w:color w:val="auto"/>
        </w:rPr>
      </w:pPr>
    </w:p>
    <w:p>
      <w:pPr>
        <w:ind w:left="820" w:right="120" w:hanging="351"/>
        <w:spacing w:after="0" w:line="25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left="120" w:firstLine="360"/>
        <w:spacing w:after="0" w:line="287" w:lineRule="auto"/>
        <w:rPr>
          <w:sz w:val="20"/>
          <w:szCs w:val="20"/>
          <w:color w:val="auto"/>
        </w:rPr>
      </w:pPr>
      <w:r>
        <w:rPr>
          <w:rFonts w:ascii="Arial" w:cs="Arial" w:eastAsia="Arial" w:hAnsi="Arial"/>
          <w:sz w:val="16"/>
          <w:szCs w:val="16"/>
          <w:color w:val="auto"/>
        </w:rPr>
        <w:t>We operate 12 branches holding $1.6 billion of deposits in the Lubbock MSA and the surrounding South Plains region as of December 31, 2017.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Fall 2017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3.1% for 2017 according to Forbes, which also listed Lubbock as one of its “Best Places for Business and Careers” during 2018, with a gross metro product of more than $17 billion during 2017. Major employers in the Lubbock MSA include Texas Tech University, United Super Market, Covenant Health System, UMC Health System and Lubbock ISD, according to the Lubbock Economic Development Alliance.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left="120" w:right="80" w:firstLine="360"/>
        <w:spacing w:after="0" w:line="291" w:lineRule="auto"/>
        <w:rPr>
          <w:sz w:val="20"/>
          <w:szCs w:val="20"/>
          <w:color w:val="auto"/>
        </w:rPr>
      </w:pPr>
      <w:r>
        <w:rPr>
          <w:rFonts w:ascii="Arial" w:cs="Arial" w:eastAsia="Arial" w:hAnsi="Arial"/>
          <w:sz w:val="16"/>
          <w:szCs w:val="16"/>
          <w:color w:val="auto"/>
        </w:rPr>
        <w:t>We operate three branches with $241.3 million of deposits as of December 31, 2017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 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is responsible for producing 33% of the state’s total gross domestic</w:t>
      </w: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922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9175" cy="6922135"/>
                    </a:xfrm>
                    <a:prstGeom prst="rect">
                      <a:avLst/>
                    </a:prstGeom>
                    <a:noFill/>
                  </pic:spPr>
                </pic:pic>
              </a:graphicData>
            </a:graphic>
          </wp:anchor>
        </w:drawing>
      </w:r>
    </w:p>
    <w:p>
      <w:pPr>
        <w:spacing w:after="0" w:line="13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product in 2017.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left="120" w:firstLine="360"/>
        <w:spacing w:after="0" w:line="268" w:lineRule="auto"/>
        <w:rPr>
          <w:sz w:val="20"/>
          <w:szCs w:val="20"/>
          <w:color w:val="auto"/>
        </w:rPr>
      </w:pPr>
      <w:r>
        <w:rPr>
          <w:rFonts w:ascii="Arial" w:cs="Arial" w:eastAsia="Arial" w:hAnsi="Arial"/>
          <w:sz w:val="16"/>
          <w:szCs w:val="16"/>
          <w:color w:val="auto"/>
        </w:rPr>
        <w:t>We operate two bank branches with $98.2 million of deposits as of December 31, 2017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Armored Division, the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Army Air and Missile Defense Command and the 402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left="120" w:right="40" w:firstLine="360"/>
        <w:spacing w:after="0" w:line="269" w:lineRule="auto"/>
        <w:rPr>
          <w:sz w:val="20"/>
          <w:szCs w:val="20"/>
          <w:color w:val="auto"/>
        </w:rPr>
      </w:pPr>
      <w:r>
        <w:rPr>
          <w:rFonts w:ascii="Arial" w:cs="Arial" w:eastAsia="Arial" w:hAnsi="Arial"/>
          <w:sz w:val="17"/>
          <w:szCs w:val="17"/>
          <w:color w:val="auto"/>
        </w:rPr>
        <w:t>We operate one branch with $22.0 million of deposits in the city of Houston as of December 31, 2017. The Houston-The Woodlands-Sugarland MSA, which we refer to as Greater Houston, is the corporate headquarters for 20 Fortune 500 companies, ranking fourth among metro areas according to the Greater Houston Partnership. Greater Houston had the sixth largest gross domestic product in the U.S. in 2016, according to the U.S. Bureau of Economic Analysis. While Houston is known as the “Energy Capital of the World,” the metropolitan area also boasts the largest medical complex in the world, has the second busiest port in the United States in 2017,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left="120" w:right="60" w:firstLine="360"/>
        <w:spacing w:after="0" w:line="253" w:lineRule="auto"/>
        <w:rPr>
          <w:sz w:val="20"/>
          <w:szCs w:val="20"/>
          <w:color w:val="auto"/>
        </w:rPr>
      </w:pPr>
      <w:r>
        <w:rPr>
          <w:rFonts w:ascii="Arial" w:cs="Arial" w:eastAsia="Arial" w:hAnsi="Arial"/>
          <w:sz w:val="18"/>
          <w:szCs w:val="18"/>
          <w:color w:val="auto"/>
        </w:rPr>
        <w:t>We operate one branch and one mortgage office in the city of College Station, Texas, which has $63.0 million in deposits as of December 31, 2017.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2017 with job growth of 10.3% from 2015 to 2018, according to Forbes.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left="120" w:right="40" w:firstLine="360"/>
        <w:spacing w:after="0" w:line="271" w:lineRule="auto"/>
        <w:rPr>
          <w:sz w:val="20"/>
          <w:szCs w:val="20"/>
          <w:color w:val="auto"/>
        </w:rPr>
      </w:pPr>
      <w:r>
        <w:rPr>
          <w:rFonts w:ascii="Arial" w:cs="Arial" w:eastAsia="Arial" w:hAnsi="Arial"/>
          <w:sz w:val="17"/>
          <w:szCs w:val="17"/>
          <w:color w:val="auto"/>
        </w:rPr>
        <w:t>We operate two branches with $108.1 million of deposits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 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3630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9175" cy="3630295"/>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120" w:right="80"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are a number of risks that you should consider before investing in our common stock. These risks are discussed more fully in the section titled “Risk Factors,” beginning on page </w:t>
      </w:r>
      <w:hyperlink w:anchor="page20">
        <w:r>
          <w:rPr>
            <w:rFonts w:ascii="Arial" w:cs="Arial" w:eastAsia="Arial" w:hAnsi="Arial"/>
            <w:sz w:val="18"/>
            <w:szCs w:val="18"/>
            <w:u w:val="single" w:color="auto"/>
            <w:color w:val="0000EE"/>
          </w:rPr>
          <w:t>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include, but are not limited to:</w:t>
      </w:r>
    </w:p>
    <w:p>
      <w:pPr>
        <w:spacing w:after="0" w:line="62" w:lineRule="exact"/>
        <w:rPr>
          <w:sz w:val="20"/>
          <w:szCs w:val="20"/>
          <w:color w:val="auto"/>
        </w:rPr>
      </w:pPr>
    </w:p>
    <w:p>
      <w:pPr>
        <w:ind w:left="820" w:hanging="35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adequately measure and limit our credit risk, which could lead to unexpected losses;</w:t>
      </w:r>
    </w:p>
    <w:p>
      <w:pPr>
        <w:spacing w:after="0" w:line="117" w:lineRule="exact"/>
        <w:rPr>
          <w:rFonts w:ascii="Arial" w:cs="Arial" w:eastAsia="Arial" w:hAnsi="Arial"/>
          <w:sz w:val="18"/>
          <w:szCs w:val="18"/>
          <w:color w:val="auto"/>
        </w:rPr>
      </w:pPr>
    </w:p>
    <w:p>
      <w:pPr>
        <w:ind w:left="820" w:right="120" w:hanging="351"/>
        <w:spacing w:after="0" w:line="263"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75" w:lineRule="exact"/>
        <w:rPr>
          <w:rFonts w:ascii="Arial" w:cs="Arial" w:eastAsia="Arial" w:hAnsi="Arial"/>
          <w:sz w:val="18"/>
          <w:szCs w:val="18"/>
          <w:color w:val="auto"/>
        </w:rPr>
      </w:pPr>
    </w:p>
    <w:p>
      <w:pPr>
        <w:ind w:left="820" w:right="340" w:hanging="351"/>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heavily on our executive management team and other key employees, and the loss of any these individuals could adversely impact our business or reputation;</w:t>
      </w:r>
    </w:p>
    <w:p>
      <w:pPr>
        <w:spacing w:after="0" w:line="62" w:lineRule="exact"/>
        <w:rPr>
          <w:rFonts w:ascii="Arial" w:cs="Arial" w:eastAsia="Arial" w:hAnsi="Arial"/>
          <w:sz w:val="18"/>
          <w:szCs w:val="18"/>
          <w:color w:val="auto"/>
        </w:rPr>
      </w:pPr>
    </w:p>
    <w:p>
      <w:pPr>
        <w:ind w:left="820" w:hanging="35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profitable bankers is critical to the success of our business strategy;</w:t>
      </w:r>
    </w:p>
    <w:p>
      <w:pPr>
        <w:spacing w:after="0" w:line="117" w:lineRule="exact"/>
        <w:rPr>
          <w:rFonts w:ascii="Arial" w:cs="Arial" w:eastAsia="Arial" w:hAnsi="Arial"/>
          <w:sz w:val="18"/>
          <w:szCs w:val="18"/>
          <w:color w:val="auto"/>
        </w:rPr>
      </w:pPr>
    </w:p>
    <w:p>
      <w:pPr>
        <w:ind w:left="820" w:right="600" w:hanging="351"/>
        <w:spacing w:after="0" w:line="308"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geographic concentration of our markets in Texas and New Mexico makes us more sensitive than our more geographically diversified competitors to adverse changes in our markets’ local economies; and</w:t>
      </w:r>
    </w:p>
    <w:p>
      <w:pPr>
        <w:spacing w:after="0" w:line="38" w:lineRule="exact"/>
        <w:rPr>
          <w:rFonts w:ascii="Arial" w:cs="Arial" w:eastAsia="Arial" w:hAnsi="Arial"/>
          <w:sz w:val="17"/>
          <w:szCs w:val="17"/>
          <w:color w:val="auto"/>
        </w:rPr>
      </w:pPr>
    </w:p>
    <w:p>
      <w:pPr>
        <w:ind w:left="820" w:hanging="351"/>
        <w:spacing w:after="0" w:line="263"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principal executive office is located at 5219 City Bank Parkway, Lubbock, Texas 79407, and our telephone number is</w:t>
      </w:r>
    </w:p>
    <w:p>
      <w:pPr>
        <w:spacing w:after="0" w:line="46" w:lineRule="exact"/>
        <w:rPr>
          <w:sz w:val="20"/>
          <w:szCs w:val="20"/>
          <w:color w:val="auto"/>
        </w:rPr>
      </w:pPr>
    </w:p>
    <w:p>
      <w:pPr>
        <w:ind w:left="120" w:right="260" w:hanging="2"/>
        <w:spacing w:after="0" w:line="260" w:lineRule="auto"/>
        <w:tabs>
          <w:tab w:leader="none" w:pos="5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792-7101. Our website address is www.city.bank. Information contained on or that can be accessed through our website does not constitute a part of this prospectus and is not incorporated by reference into this prospectus.</w:t>
      </w: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167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9175" cy="6167755"/>
                    </a:xfrm>
                    <a:prstGeom prst="rect">
                      <a:avLst/>
                    </a:prstGeom>
                    <a:noFill/>
                  </pic:spPr>
                </pic:pic>
              </a:graphicData>
            </a:graphic>
          </wp:anchor>
        </w:drawing>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sz w:val="20"/>
          <w:szCs w:val="20"/>
          <w:color w:val="auto"/>
        </w:rPr>
      </w:pPr>
    </w:p>
    <w:p>
      <w:pPr>
        <w:ind w:left="120"/>
        <w:spacing w:after="0"/>
        <w:tabs>
          <w:tab w:leader="none" w:pos="4640" w:val="left"/>
          <w:tab w:leader="none" w:pos="578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option to</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purchase additional shares of common stock in full).</w:t>
      </w:r>
    </w:p>
    <w:p>
      <w:pPr>
        <w:sectPr>
          <w:pgSz w:w="11900" w:h="16838" w:orient="portrait"/>
          <w:cols w:equalWidth="0" w:num="1">
            <w:col w:w="9480"/>
          </w:cols>
          <w:pgMar w:left="1160" w:top="279" w:right="1259" w:bottom="1440" w:gutter="0" w:footer="0" w:header="0"/>
        </w:sectPr>
      </w:pPr>
    </w:p>
    <w:p>
      <w:pPr>
        <w:spacing w:after="0" w:line="99" w:lineRule="exact"/>
        <w:rPr>
          <w:sz w:val="20"/>
          <w:szCs w:val="20"/>
          <w:color w:val="auto"/>
        </w:rPr>
      </w:pPr>
    </w:p>
    <w:p>
      <w:pPr>
        <w:ind w:left="120"/>
        <w:spacing w:after="0" w:line="488" w:lineRule="auto"/>
        <w:rPr>
          <w:sz w:val="20"/>
          <w:szCs w:val="20"/>
          <w:color w:val="auto"/>
        </w:rPr>
      </w:pPr>
      <w:r>
        <w:rPr>
          <w:rFonts w:ascii="Arial" w:cs="Arial" w:eastAsia="Arial" w:hAnsi="Arial"/>
          <w:sz w:val="16"/>
          <w:szCs w:val="16"/>
          <w:b w:val="1"/>
          <w:bCs w:val="1"/>
          <w:color w:val="auto"/>
        </w:rPr>
        <w:t>Common stock offered by the selling shareholders Underwriters’ overallotment option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shares.</w:t>
      </w:r>
    </w:p>
    <w:p>
      <w:pPr>
        <w:spacing w:after="0" w:line="117" w:lineRule="exact"/>
        <w:rPr>
          <w:sz w:val="20"/>
          <w:szCs w:val="20"/>
          <w:color w:val="auto"/>
        </w:rPr>
      </w:pPr>
    </w:p>
    <w:p>
      <w:pPr>
        <w:ind w:left="400" w:right="100" w:hanging="404"/>
        <w:spacing w:after="0" w:line="291" w:lineRule="auto"/>
        <w:rPr>
          <w:sz w:val="20"/>
          <w:szCs w:val="20"/>
          <w:color w:val="auto"/>
        </w:rPr>
      </w:pPr>
      <w:r>
        <w:rPr>
          <w:rFonts w:ascii="Arial" w:cs="Arial" w:eastAsia="Arial" w:hAnsi="Arial"/>
          <w:sz w:val="16"/>
          <w:szCs w:val="16"/>
          <w:color w:val="auto"/>
        </w:rPr>
        <w:t>We have granted the underwriters an option to purchase up to additional shares of common stock from us within 30 days after</w:t>
      </w:r>
    </w:p>
    <w:p>
      <w:pPr>
        <w:spacing w:after="0"/>
        <w:rPr>
          <w:sz w:val="20"/>
          <w:szCs w:val="20"/>
          <w:color w:val="auto"/>
        </w:rPr>
      </w:pPr>
      <w:r>
        <w:rPr>
          <w:rFonts w:ascii="Arial" w:cs="Arial" w:eastAsia="Arial" w:hAnsi="Arial"/>
          <w:sz w:val="18"/>
          <w:szCs w:val="18"/>
          <w:color w:val="auto"/>
        </w:rPr>
        <w:t>the date of this prospectus.</w:t>
      </w:r>
    </w:p>
    <w:p>
      <w:pPr>
        <w:spacing w:after="0" w:line="99" w:lineRule="exact"/>
        <w:rPr>
          <w:sz w:val="20"/>
          <w:szCs w:val="20"/>
          <w:color w:val="auto"/>
        </w:rPr>
      </w:pPr>
    </w:p>
    <w:p>
      <w:pPr>
        <w:sectPr>
          <w:pgSz w:w="11900" w:h="16838" w:orient="portrait"/>
          <w:cols w:equalWidth="0" w:num="2">
            <w:col w:w="3960" w:space="420"/>
            <w:col w:w="5100"/>
          </w:cols>
          <w:pgMar w:left="1160" w:top="279" w:right="1259" w:bottom="1440" w:gutter="0" w:footer="0" w:header="0"/>
          <w:type w:val="continuous"/>
        </w:sectPr>
      </w:pPr>
    </w:p>
    <w:p>
      <w:pPr>
        <w:ind w:left="300" w:hanging="179"/>
        <w:spacing w:after="0" w:line="282" w:lineRule="auto"/>
        <w:rPr>
          <w:sz w:val="20"/>
          <w:szCs w:val="20"/>
          <w:color w:val="auto"/>
        </w:rPr>
      </w:pPr>
      <w:r>
        <w:rPr>
          <w:rFonts w:ascii="Arial" w:cs="Arial" w:eastAsia="Arial" w:hAnsi="Arial"/>
          <w:sz w:val="18"/>
          <w:szCs w:val="18"/>
          <w:b w:val="1"/>
          <w:bCs w:val="1"/>
          <w:color w:val="auto"/>
        </w:rPr>
        <w:t>Common stock outstanding after completion of this offering</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w:t>
      </w:r>
    </w:p>
    <w:p>
      <w:pPr>
        <w:spacing w:after="0"/>
        <w:tabs>
          <w:tab w:leader="none" w:pos="2280"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6"/>
          <w:szCs w:val="16"/>
          <w:color w:val="auto"/>
        </w:rPr>
        <w:t>million, based on an assumed public</w:t>
      </w:r>
    </w:p>
    <w:p>
      <w:pPr>
        <w:spacing w:after="0" w:line="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offering price of $ per share, which is the midpoint of the price range set forth on the cover page of this prospectus. We intend to use the net proceeds to us from this offering to support future growth of our business, including through strategic acquisitions and organic growth, and for general corporate purposes. See “Use of Proceeds.”</w:t>
      </w:r>
    </w:p>
    <w:p>
      <w:pPr>
        <w:spacing w:after="0" w:line="50" w:lineRule="exact"/>
        <w:rPr>
          <w:sz w:val="20"/>
          <w:szCs w:val="20"/>
          <w:color w:val="auto"/>
        </w:rPr>
      </w:pPr>
    </w:p>
    <w:p>
      <w:pPr>
        <w:sectPr>
          <w:pgSz w:w="11900" w:h="16838" w:orient="portrait"/>
          <w:cols w:equalWidth="0" w:num="2">
            <w:col w:w="4060" w:space="320"/>
            <w:col w:w="5100"/>
          </w:cols>
          <w:pgMar w:left="1160" w:top="279" w:right="125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3060" w:type="dxa"/>
            <w:vAlign w:val="bottom"/>
          </w:tcPr>
          <w:p>
            <w:pPr>
              <w:spacing w:after="0"/>
              <w:rPr>
                <w:sz w:val="20"/>
                <w:szCs w:val="20"/>
                <w:color w:val="auto"/>
              </w:rPr>
            </w:pPr>
            <w:r>
              <w:rPr>
                <w:rFonts w:ascii="Arial" w:cs="Arial" w:eastAsia="Arial" w:hAnsi="Arial"/>
                <w:sz w:val="18"/>
                <w:szCs w:val="18"/>
                <w:b w:val="1"/>
                <w:bCs w:val="1"/>
                <w:color w:val="auto"/>
              </w:rPr>
              <w:t>Dividends</w:t>
            </w: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5"/>
              </w:rPr>
              <w:t>Historically, we have been an S Corporation, and as such, we have</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0"/>
              </w:rPr>
              <w:t>paid distributions to our shareholders to assist them in paying the U.S.</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0"/>
              </w:rPr>
              <w:t>federal income taxes on our taxable income that is “passed through” to</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them, as well as additional amounts for returns on capital. Our</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2"/>
              </w:rPr>
              <w:t>dividend policy and practice has changed as we were no longer an S</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Corporation effective May 31, 2018.</w:t>
            </w:r>
          </w:p>
        </w:tc>
      </w:tr>
      <w:tr>
        <w:trPr>
          <w:trHeight w:val="310"/>
        </w:trPr>
        <w:tc>
          <w:tcPr>
            <w:tcW w:w="3060" w:type="dxa"/>
            <w:vAlign w:val="bottom"/>
          </w:tcPr>
          <w:p>
            <w:pPr>
              <w:spacing w:after="0"/>
              <w:rPr>
                <w:sz w:val="24"/>
                <w:szCs w:val="24"/>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Following the completion of this offering, we anticipate paying a</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quarterly dividend on our common stock in an amount equal to</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8"/>
              </w:rPr>
              <w:t>approximately 10% to 15% of our net income for the immediately</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3"/>
              </w:rPr>
              <w:t>preceding quarter, subject to the discretion of our board of directors.</w:t>
            </w:r>
          </w:p>
        </w:tc>
      </w:tr>
      <w:tr>
        <w:trPr>
          <w:trHeight w:val="310"/>
        </w:trPr>
        <w:tc>
          <w:tcPr>
            <w:tcW w:w="3060" w:type="dxa"/>
            <w:vAlign w:val="bottom"/>
          </w:tcPr>
          <w:p>
            <w:pPr>
              <w:spacing w:after="0"/>
              <w:rPr>
                <w:sz w:val="24"/>
                <w:szCs w:val="24"/>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8"/>
              </w:rPr>
              <w:t>Dividends from the Bank are the principal source of funds for the</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5"/>
              </w:rPr>
              <w:t>payment of dividends on our common stock. The Bank is subject to</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8"/>
              </w:rPr>
              <w:t>certain restrictions that may limit its ability to pay dividends to us.</w:t>
            </w:r>
          </w:p>
        </w:tc>
      </w:tr>
      <w:tr>
        <w:trPr>
          <w:trHeight w:val="310"/>
        </w:trPr>
        <w:tc>
          <w:tcPr>
            <w:tcW w:w="3060" w:type="dxa"/>
            <w:vAlign w:val="bottom"/>
          </w:tcPr>
          <w:p>
            <w:pPr>
              <w:spacing w:after="0"/>
              <w:rPr>
                <w:sz w:val="20"/>
                <w:szCs w:val="20"/>
                <w:color w:val="auto"/>
              </w:rPr>
            </w:pPr>
            <w:r>
              <w:rPr>
                <w:rFonts w:ascii="Arial" w:cs="Arial" w:eastAsia="Arial" w:hAnsi="Arial"/>
                <w:sz w:val="18"/>
                <w:szCs w:val="18"/>
                <w:b w:val="1"/>
                <w:bCs w:val="1"/>
                <w:color w:val="auto"/>
              </w:rPr>
              <w:t>Directed share program</w:t>
            </w: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4"/>
              </w:rPr>
              <w:t>At our request, the underwriters have reserved for sale, at the initial</w:t>
            </w:r>
          </w:p>
        </w:tc>
      </w:tr>
      <w:tr>
        <w:trPr>
          <w:trHeight w:val="216"/>
        </w:trPr>
        <w:tc>
          <w:tcPr>
            <w:tcW w:w="3060" w:type="dxa"/>
            <w:vAlign w:val="bottom"/>
          </w:tcPr>
          <w:p>
            <w:pPr>
              <w:spacing w:after="0"/>
              <w:rPr>
                <w:sz w:val="18"/>
                <w:szCs w:val="18"/>
                <w:color w:val="auto"/>
              </w:rPr>
            </w:pPr>
          </w:p>
        </w:tc>
        <w:tc>
          <w:tcPr>
            <w:tcW w:w="3300" w:type="dxa"/>
            <w:vAlign w:val="bottom"/>
          </w:tcPr>
          <w:p>
            <w:pPr>
              <w:ind w:left="1200"/>
              <w:spacing w:after="0"/>
              <w:rPr>
                <w:sz w:val="20"/>
                <w:szCs w:val="20"/>
                <w:color w:val="auto"/>
              </w:rPr>
            </w:pPr>
            <w:r>
              <w:rPr>
                <w:rFonts w:ascii="Arial" w:cs="Arial" w:eastAsia="Arial" w:hAnsi="Arial"/>
                <w:sz w:val="18"/>
                <w:szCs w:val="18"/>
                <w:color w:val="auto"/>
              </w:rPr>
              <w:t>public offering price, up to</w:t>
            </w:r>
          </w:p>
        </w:tc>
        <w:tc>
          <w:tcPr>
            <w:tcW w:w="3000" w:type="dxa"/>
            <w:vAlign w:val="bottom"/>
          </w:tcPr>
          <w:p>
            <w:pPr>
              <w:ind w:left="140"/>
              <w:spacing w:after="0"/>
              <w:rPr>
                <w:sz w:val="20"/>
                <w:szCs w:val="20"/>
                <w:color w:val="auto"/>
              </w:rPr>
            </w:pPr>
            <w:r>
              <w:rPr>
                <w:rFonts w:ascii="Arial" w:cs="Arial" w:eastAsia="Arial" w:hAnsi="Arial"/>
                <w:sz w:val="18"/>
                <w:szCs w:val="18"/>
                <w:color w:val="auto"/>
                <w:w w:val="90"/>
              </w:rPr>
              <w:t>shares of common stock offered by this</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0"/>
              </w:rPr>
              <w:t>prospectus for sale to our directors, executive officers, employees and</w:t>
            </w:r>
          </w:p>
        </w:tc>
      </w:tr>
    </w:tbl>
    <w:p>
      <w:pPr>
        <w:ind w:left="4380" w:right="20"/>
        <w:spacing w:after="0" w:line="292" w:lineRule="auto"/>
        <w:rPr>
          <w:sz w:val="20"/>
          <w:szCs w:val="20"/>
          <w:color w:val="auto"/>
        </w:rPr>
      </w:pPr>
      <w:r>
        <w:rPr>
          <w:rFonts w:ascii="Arial" w:cs="Arial" w:eastAsia="Arial" w:hAnsi="Arial"/>
          <w:sz w:val="16"/>
          <w:szCs w:val="16"/>
          <w:color w:val="auto"/>
        </w:rPr>
        <w:t>business associates and certain other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3218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9175" cy="3218815"/>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p>
      <w:pPr>
        <w:spacing w:after="0" w:line="262" w:lineRule="exact"/>
        <w:rPr>
          <w:sz w:val="20"/>
          <w:szCs w:val="20"/>
          <w:color w:val="auto"/>
        </w:rPr>
      </w:pPr>
    </w:p>
    <w:p>
      <w:pPr>
        <w:ind w:left="300" w:hanging="179"/>
        <w:spacing w:after="0" w:line="282" w:lineRule="auto"/>
        <w:rPr>
          <w:sz w:val="20"/>
          <w:szCs w:val="20"/>
          <w:color w:val="auto"/>
        </w:rPr>
      </w:pPr>
      <w:r>
        <w:rPr>
          <w:rFonts w:ascii="Arial" w:cs="Arial" w:eastAsia="Arial" w:hAnsi="Arial"/>
          <w:sz w:val="18"/>
          <w:szCs w:val="18"/>
          <w:b w:val="1"/>
          <w:bCs w:val="1"/>
          <w:color w:val="auto"/>
        </w:rPr>
        <w:t>Securities owned by directors and named executive officers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of December 31, 2018, our directors and named executive officers beneficially owned 37.2% of our outstanding common stock. Following the completion of this offering, we anticipate that our directors and named executive officers will beneficially own</w:t>
      </w:r>
    </w:p>
    <w:p>
      <w:pPr>
        <w:spacing w:after="0" w:line="2"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approximately % of our common stock (or % if the underwriters exercise their option to purchase additional shares of common stock in full). See “Principal and Selling Shareholders.”</w:t>
      </w:r>
    </w:p>
    <w:p>
      <w:pPr>
        <w:spacing w:after="0" w:line="61" w:lineRule="exact"/>
        <w:rPr>
          <w:sz w:val="20"/>
          <w:szCs w:val="20"/>
          <w:color w:val="auto"/>
        </w:rPr>
      </w:pPr>
    </w:p>
    <w:p>
      <w:pPr>
        <w:sectPr>
          <w:pgSz w:w="11900" w:h="16838" w:orient="portrait"/>
          <w:cols w:equalWidth="0" w:num="2">
            <w:col w:w="4040" w:space="340"/>
            <w:col w:w="5080"/>
          </w:cols>
          <w:pgMar w:left="1160" w:top="279" w:right="127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6740" w:type="dxa"/>
            <w:vAlign w:val="bottom"/>
            <w:gridSpan w:val="3"/>
          </w:tcPr>
          <w:p>
            <w:pPr>
              <w:ind w:left="1660"/>
              <w:spacing w:after="0"/>
              <w:rPr>
                <w:sz w:val="20"/>
                <w:szCs w:val="20"/>
                <w:color w:val="auto"/>
              </w:rPr>
            </w:pPr>
            <w:r>
              <w:rPr>
                <w:rFonts w:ascii="Arial" w:cs="Arial" w:eastAsia="Arial" w:hAnsi="Arial"/>
                <w:sz w:val="18"/>
                <w:szCs w:val="18"/>
                <w:color w:val="auto"/>
                <w:w w:val="95"/>
              </w:rPr>
              <w:t>Investing in shares of our common stock involves a high degree of</w:t>
            </w:r>
          </w:p>
        </w:tc>
      </w:tr>
      <w:tr>
        <w:trPr>
          <w:trHeight w:val="190"/>
        </w:trPr>
        <w:tc>
          <w:tcPr>
            <w:tcW w:w="2600" w:type="dxa"/>
            <w:vAlign w:val="bottom"/>
          </w:tcPr>
          <w:p>
            <w:pPr>
              <w:spacing w:after="0"/>
              <w:rPr>
                <w:sz w:val="16"/>
                <w:szCs w:val="16"/>
                <w:color w:val="auto"/>
              </w:rPr>
            </w:pPr>
          </w:p>
        </w:tc>
        <w:tc>
          <w:tcPr>
            <w:tcW w:w="6740" w:type="dxa"/>
            <w:vAlign w:val="bottom"/>
            <w:gridSpan w:val="3"/>
          </w:tcPr>
          <w:p>
            <w:pPr>
              <w:ind w:left="1660"/>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 xml:space="preserve">risk. See “Risk Factors,” beginning on page </w:t>
            </w:r>
            <w:hyperlink w:anchor="page20">
              <w:r>
                <w:rPr>
                  <w:rFonts w:ascii="Arial" w:cs="Arial" w:eastAsia="Arial" w:hAnsi="Arial"/>
                  <w:sz w:val="18"/>
                  <w:szCs w:val="18"/>
                  <w:color w:val="0000EE"/>
                  <w:w w:val="96"/>
                </w:rPr>
                <w:t>13,</w:t>
              </w:r>
              <w:r>
                <w:rPr>
                  <w:rFonts w:ascii="Arial" w:cs="Arial" w:eastAsia="Arial" w:hAnsi="Arial"/>
                  <w:sz w:val="18"/>
                  <w:szCs w:val="18"/>
                  <w:color w:val="auto"/>
                  <w:w w:val="96"/>
                </w:rPr>
                <w:t xml:space="preserve"> </w:t>
              </w:r>
            </w:hyperlink>
            <w:r>
              <w:rPr>
                <w:rFonts w:ascii="Arial" w:cs="Arial" w:eastAsia="Arial" w:hAnsi="Arial"/>
                <w:sz w:val="18"/>
                <w:szCs w:val="18"/>
                <w:color w:val="auto"/>
                <w:w w:val="96"/>
              </w:rPr>
              <w:t>for a discussion of</w:t>
            </w:r>
          </w:p>
        </w:tc>
      </w:tr>
      <w:tr>
        <w:trPr>
          <w:trHeight w:val="20"/>
        </w:trPr>
        <w:tc>
          <w:tcPr>
            <w:tcW w:w="2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7"/>
        </w:trPr>
        <w:tc>
          <w:tcPr>
            <w:tcW w:w="2600" w:type="dxa"/>
            <w:vAlign w:val="bottom"/>
          </w:tcPr>
          <w:p>
            <w:pPr>
              <w:spacing w:after="0"/>
              <w:rPr>
                <w:sz w:val="20"/>
                <w:szCs w:val="20"/>
                <w:color w:val="auto"/>
              </w:rPr>
            </w:pPr>
          </w:p>
        </w:tc>
        <w:tc>
          <w:tcPr>
            <w:tcW w:w="6740" w:type="dxa"/>
            <w:vAlign w:val="bottom"/>
            <w:gridSpan w:val="3"/>
          </w:tcPr>
          <w:p>
            <w:pPr>
              <w:ind w:left="1660"/>
              <w:spacing w:after="0"/>
              <w:rPr>
                <w:sz w:val="20"/>
                <w:szCs w:val="20"/>
                <w:color w:val="auto"/>
              </w:rPr>
            </w:pPr>
            <w:r>
              <w:rPr>
                <w:rFonts w:ascii="Arial" w:cs="Arial" w:eastAsia="Arial" w:hAnsi="Arial"/>
                <w:sz w:val="18"/>
                <w:szCs w:val="18"/>
                <w:color w:val="auto"/>
                <w:w w:val="91"/>
              </w:rPr>
              <w:t>certain factors you should consider carefully before deciding to invest.</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6740" w:type="dxa"/>
            <w:vAlign w:val="bottom"/>
            <w:gridSpan w:val="3"/>
          </w:tcPr>
          <w:p>
            <w:pPr>
              <w:ind w:left="1660"/>
              <w:spacing w:after="0"/>
              <w:rPr>
                <w:sz w:val="20"/>
                <w:szCs w:val="20"/>
                <w:color w:val="auto"/>
              </w:rPr>
            </w:pPr>
            <w:r>
              <w:rPr>
                <w:rFonts w:ascii="Arial" w:cs="Arial" w:eastAsia="Arial" w:hAnsi="Arial"/>
                <w:sz w:val="18"/>
                <w:szCs w:val="18"/>
                <w:color w:val="auto"/>
                <w:w w:val="96"/>
              </w:rPr>
              <w:t>We have applied to list our common stock on the NASDAQ Global</w:t>
            </w:r>
          </w:p>
        </w:tc>
      </w:tr>
      <w:tr>
        <w:trPr>
          <w:trHeight w:val="230"/>
        </w:trPr>
        <w:tc>
          <w:tcPr>
            <w:tcW w:w="2600" w:type="dxa"/>
            <w:vAlign w:val="bottom"/>
          </w:tcPr>
          <w:p>
            <w:pPr>
              <w:spacing w:after="0"/>
              <w:rPr>
                <w:sz w:val="20"/>
                <w:szCs w:val="20"/>
                <w:color w:val="auto"/>
              </w:rPr>
            </w:pPr>
          </w:p>
        </w:tc>
        <w:tc>
          <w:tcPr>
            <w:tcW w:w="6740" w:type="dxa"/>
            <w:vAlign w:val="bottom"/>
            <w:gridSpan w:val="3"/>
          </w:tcPr>
          <w:p>
            <w:pPr>
              <w:ind w:left="1660"/>
              <w:spacing w:after="0"/>
              <w:rPr>
                <w:sz w:val="20"/>
                <w:szCs w:val="20"/>
                <w:color w:val="auto"/>
              </w:rPr>
            </w:pPr>
            <w:r>
              <w:rPr>
                <w:rFonts w:ascii="Arial" w:cs="Arial" w:eastAsia="Arial" w:hAnsi="Arial"/>
                <w:sz w:val="18"/>
                <w:szCs w:val="18"/>
                <w:color w:val="auto"/>
              </w:rPr>
              <w:t>Select Market under the trading symbol “SPFI.”</w:t>
            </w:r>
          </w:p>
        </w:tc>
      </w:tr>
    </w:tbl>
    <w:p>
      <w:pPr>
        <w:spacing w:after="0" w:line="94" w:lineRule="exact"/>
        <w:rPr>
          <w:sz w:val="20"/>
          <w:szCs w:val="20"/>
          <w:color w:val="auto"/>
        </w:rPr>
      </w:pPr>
    </w:p>
    <w:p>
      <w:pPr>
        <w:ind w:left="120" w:right="420" w:firstLine="360"/>
        <w:spacing w:after="0" w:line="263" w:lineRule="auto"/>
        <w:rPr>
          <w:sz w:val="20"/>
          <w:szCs w:val="20"/>
          <w:color w:val="auto"/>
        </w:rPr>
      </w:pPr>
      <w:r>
        <w:rPr>
          <w:rFonts w:ascii="Arial" w:cs="Arial" w:eastAsia="Arial" w:hAnsi="Arial"/>
          <w:sz w:val="18"/>
          <w:szCs w:val="18"/>
          <w:color w:val="auto"/>
        </w:rPr>
        <w:t>Unless otherwise indicated, all information in this prospectus relating to the number of shares of common stock to be outstanding immediately after the completion of this offering is based on 14,771,520 shares outstanding as of December 31, 2018, and excludes:</w:t>
      </w:r>
    </w:p>
    <w:p>
      <w:pPr>
        <w:spacing w:after="0" w:line="76" w:lineRule="exact"/>
        <w:rPr>
          <w:sz w:val="20"/>
          <w:szCs w:val="20"/>
          <w:color w:val="auto"/>
        </w:rPr>
      </w:pPr>
    </w:p>
    <w:p>
      <w:pPr>
        <w:ind w:left="820" w:right="40" w:hanging="351"/>
        <w:spacing w:after="0" w:line="277" w:lineRule="auto"/>
        <w:tabs>
          <w:tab w:leader="none" w:pos="10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common stock reserved and available for future awards under our 2019 Equity Incentive Plan, or the 2019 Plan; and</w:t>
      </w:r>
    </w:p>
    <w:p>
      <w:pPr>
        <w:spacing w:after="0" w:line="62" w:lineRule="exact"/>
        <w:rPr>
          <w:rFonts w:ascii="Arial" w:cs="Arial" w:eastAsia="Arial" w:hAnsi="Arial"/>
          <w:sz w:val="18"/>
          <w:szCs w:val="18"/>
          <w:color w:val="auto"/>
        </w:rPr>
      </w:pPr>
    </w:p>
    <w:p>
      <w:pPr>
        <w:ind w:left="820" w:right="240" w:hanging="351"/>
        <w:spacing w:after="0" w:line="277" w:lineRule="auto"/>
        <w:tabs>
          <w:tab w:leader="none" w:pos="10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common stock underlying the equity awards being granted in connection with this offering to certain of our executive officers.</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616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9175" cy="7616190"/>
                    </a:xfrm>
                    <a:prstGeom prst="rect">
                      <a:avLst/>
                    </a:prstGeom>
                    <a:noFill/>
                  </pic:spPr>
                </pic:pic>
              </a:graphicData>
            </a:graphic>
          </wp:anchor>
        </w:drawing>
      </w:r>
    </w:p>
    <w:p>
      <w:pPr>
        <w:spacing w:after="0" w:line="35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SELECTED HISTORICAL CONSOLIDATED FINANCIAL AND OPERATING INFORMATION</w:t>
      </w:r>
    </w:p>
    <w:p>
      <w:pPr>
        <w:spacing w:after="0" w:line="121" w:lineRule="exact"/>
        <w:rPr>
          <w:sz w:val="20"/>
          <w:szCs w:val="20"/>
          <w:color w:val="auto"/>
        </w:rPr>
      </w:pPr>
    </w:p>
    <w:p>
      <w:pPr>
        <w:ind w:left="120" w:right="40" w:firstLine="360"/>
        <w:spacing w:after="0" w:line="269" w:lineRule="auto"/>
        <w:rPr>
          <w:sz w:val="20"/>
          <w:szCs w:val="20"/>
          <w:color w:val="auto"/>
        </w:rPr>
      </w:pPr>
      <w:r>
        <w:rPr>
          <w:rFonts w:ascii="Arial" w:cs="Arial" w:eastAsia="Arial" w:hAnsi="Arial"/>
          <w:sz w:val="17"/>
          <w:szCs w:val="17"/>
          <w:color w:val="auto"/>
        </w:rPr>
        <w:t>The following table sets forth (i) selected historical consolidated financial and operating data as of and for the years ended December 31, 2018, 2017, 2016, 2015, and 2014, (ii) certain pro forma information to reflect our conversion from an S Corporation to a C Corporation, which was effective May 31, 2018, as if it had occurred at the beginning of each period, and (iii) selected ratios as of and for the periods indicated. Selected financial data as of and for the years ended December 31, 2018 and 2017 has been derived from our audited consolidated financial statements included elsewhere in this prospectus, and the selected historical consolidated financial information as of and for the years ended December 31, 2016, 2015 and 2014 has been derived from our audited consolidated financial statements not appearing in this prospectus. The historical results set forth below and elsewhere in this prospectus are not necessarily indicative of our future performance. The performance, asset quality and capital ratios are unaudited and derived from our audited and unaudited financial statements as of and for the periods presented. Average balances have been calculated using daily averages.</w:t>
      </w:r>
    </w:p>
    <w:p>
      <w:pPr>
        <w:spacing w:after="0" w:line="77" w:lineRule="exact"/>
        <w:rPr>
          <w:sz w:val="20"/>
          <w:szCs w:val="20"/>
          <w:color w:val="auto"/>
        </w:rPr>
      </w:pPr>
    </w:p>
    <w:p>
      <w:pPr>
        <w:ind w:left="120" w:right="120" w:firstLine="360"/>
        <w:spacing w:after="0" w:line="263" w:lineRule="auto"/>
        <w:rPr>
          <w:sz w:val="20"/>
          <w:szCs w:val="20"/>
          <w:color w:val="auto"/>
        </w:rPr>
      </w:pPr>
      <w:r>
        <w:rPr>
          <w:rFonts w:ascii="Arial" w:cs="Arial" w:eastAsia="Arial" w:hAnsi="Arial"/>
          <w:sz w:val="18"/>
          <w:szCs w:val="18"/>
          <w:color w:val="auto"/>
        </w:rPr>
        <w:t>You should read the following financial data in conjunction with the other information contained in this prospectus, including under “Management’s Discussion and Analysis of Financial Condition and Results of Operations” and in the financial statements and related notes included elsewhere in this prospectus.</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As of or for the 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4620" w:type="dxa"/>
            <w:vAlign w:val="bottom"/>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3"/>
                <w:szCs w:val="13"/>
                <w:b w:val="1"/>
                <w:bCs w:val="1"/>
                <w:color w:val="auto"/>
                <w:w w:val="95"/>
              </w:rPr>
              <w:t>2018</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4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8"/>
              </w:rPr>
              <w:t>(Dollars in thousands, except per share data)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Interest income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104,440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97,220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95,033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88,753</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15,977</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14,582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13,543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14,304</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Net interest income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88,463</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82,638</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81,490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74,449</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Provision for loan losses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3,966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Noninterest income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47,389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49,896</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39,630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31,863</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Noninterest expense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108,144</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104,388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97,293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85,972</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Net income – S Corp</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23,635</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26,077</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22,932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19,560</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7"/>
                <w:szCs w:val="17"/>
                <w:color w:val="auto"/>
              </w:rPr>
              <w:t>Net income – C Corp</w:t>
            </w:r>
            <w:r>
              <w:rPr>
                <w:rFonts w:ascii="Arial" w:cs="Arial" w:eastAsia="Arial" w:hAnsi="Arial"/>
                <w:sz w:val="27"/>
                <w:szCs w:val="27"/>
                <w:color w:val="auto"/>
                <w:vertAlign w:val="superscript"/>
              </w:rPr>
              <w:t>(2)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17,580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19,652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17,073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14,683</w:t>
            </w:r>
          </w:p>
        </w:tc>
        <w:tc>
          <w:tcPr>
            <w:tcW w:w="80" w:type="dxa"/>
            <w:vAlign w:val="bottom"/>
            <w:shd w:val="clear" w:color="auto" w:fill="CCEEFF"/>
          </w:tcPr>
          <w:p>
            <w:pPr>
              <w:spacing w:after="0"/>
              <w:rPr>
                <w:sz w:val="20"/>
                <w:szCs w:val="20"/>
                <w:color w:val="auto"/>
              </w:rPr>
            </w:pPr>
          </w:p>
        </w:tc>
      </w:tr>
      <w:tr>
        <w:trPr>
          <w:trHeight w:val="226"/>
        </w:trPr>
        <w:tc>
          <w:tcPr>
            <w:tcW w:w="5100" w:type="dxa"/>
            <w:vAlign w:val="bottom"/>
            <w:gridSpan w:val="2"/>
          </w:tcPr>
          <w:p>
            <w:pPr>
              <w:spacing w:after="0"/>
              <w:rPr>
                <w:sz w:val="20"/>
                <w:szCs w:val="20"/>
                <w:color w:val="auto"/>
              </w:rPr>
            </w:pPr>
            <w:r>
              <w:rPr>
                <w:rFonts w:ascii="Arial" w:cs="Arial" w:eastAsia="Arial" w:hAnsi="Arial"/>
                <w:sz w:val="17"/>
                <w:szCs w:val="17"/>
                <w:b w:val="1"/>
                <w:bCs w:val="1"/>
                <w:color w:val="auto"/>
              </w:rPr>
              <w:t>Balance Sheet Data: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294,563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360,503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295,936</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Investment securities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284,009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324,823</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331,322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362,056</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Gross loans held for investment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1,838,155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1,661,186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1,679,314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1,550,033</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Allowance for loan losses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21,461</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21,174</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24,220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27,940</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2,573,375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2,500,813</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2,536,865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2,335,383</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Interest-bearing deposits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1,678,919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1,658,198</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1,713,476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1,680,441</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Noninterest-bearing deposits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475,162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432,725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413,777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352,207</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Total deposits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2,154,081</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2,090,923</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2,127,253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2,032,648</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Borrowings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177,830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189,196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206,418</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117,150</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ESOP-owned shares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57,121</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49,700</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39,867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34,376</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shareholders’ equity less ESOP-owned shares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158,206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145,372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135,942</w:t>
            </w:r>
          </w:p>
        </w:tc>
        <w:tc>
          <w:tcPr>
            <w:tcW w:w="80" w:type="dxa"/>
            <w:vAlign w:val="bottom"/>
            <w:shd w:val="clear" w:color="auto" w:fill="CCEEFF"/>
          </w:tcPr>
          <w:p>
            <w:pPr>
              <w:spacing w:after="0"/>
              <w:rPr>
                <w:sz w:val="20"/>
                <w:szCs w:val="20"/>
                <w:color w:val="auto"/>
              </w:rPr>
            </w:pPr>
          </w:p>
        </w:tc>
      </w:tr>
      <w:tr>
        <w:trPr>
          <w:trHeight w:val="230"/>
        </w:trPr>
        <w:tc>
          <w:tcPr>
            <w:tcW w:w="510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Total shareholders’ equity</w:t>
            </w:r>
            <w:r>
              <w:rPr>
                <w:rFonts w:ascii="Arial" w:cs="Arial" w:eastAsia="Arial" w:hAnsi="Arial"/>
                <w:sz w:val="26"/>
                <w:szCs w:val="26"/>
                <w:color w:val="auto"/>
                <w:vertAlign w:val="superscript"/>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215,327</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199,719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185,239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170,318</w:t>
            </w:r>
          </w:p>
        </w:tc>
        <w:tc>
          <w:tcPr>
            <w:tcW w:w="80" w:type="dxa"/>
            <w:vAlign w:val="bottom"/>
          </w:tcPr>
          <w:p>
            <w:pPr>
              <w:spacing w:after="0"/>
              <w:rPr>
                <w:sz w:val="19"/>
                <w:szCs w:val="19"/>
                <w:color w:val="auto"/>
              </w:rPr>
            </w:pPr>
          </w:p>
        </w:tc>
      </w:tr>
      <w:tr>
        <w:trPr>
          <w:trHeight w:val="229"/>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Share and Per Share Data:</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Earnings per share (basic) – S Corp</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(basic) – C Corp</w:t>
            </w:r>
            <w:r>
              <w:rPr>
                <w:rFonts w:ascii="Arial" w:cs="Arial" w:eastAsia="Arial" w:hAnsi="Arial"/>
                <w:sz w:val="27"/>
                <w:szCs w:val="27"/>
                <w:color w:val="auto"/>
                <w:vertAlign w:val="superscript"/>
              </w:rPr>
              <w:t>(2)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Earnings per share (diluted) – S Corp</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(diluted) – C Corp</w:t>
            </w:r>
            <w:r>
              <w:rPr>
                <w:rFonts w:ascii="Arial" w:cs="Arial" w:eastAsia="Arial" w:hAnsi="Arial"/>
                <w:sz w:val="27"/>
                <w:szCs w:val="27"/>
                <w:color w:val="auto"/>
                <w:vertAlign w:val="superscript"/>
              </w:rPr>
              <w:t>(2)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8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Dividends per share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0.53</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0.27</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Book value per share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80" w:type="dxa"/>
            <w:vAlign w:val="bottom"/>
            <w:shd w:val="clear" w:color="auto" w:fill="CCEEFF"/>
          </w:tcPr>
          <w:p>
            <w:pPr>
              <w:spacing w:after="0"/>
              <w:rPr>
                <w:sz w:val="20"/>
                <w:szCs w:val="20"/>
                <w:color w:val="auto"/>
              </w:rPr>
            </w:pPr>
          </w:p>
        </w:tc>
      </w:tr>
      <w:tr>
        <w:trPr>
          <w:trHeight w:val="230"/>
        </w:trPr>
        <w:tc>
          <w:tcPr>
            <w:tcW w:w="510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6"/>
                <w:szCs w:val="26"/>
                <w:color w:val="auto"/>
                <w:vertAlign w:val="superscript"/>
              </w:rPr>
              <w:t>(4)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14.58</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12.33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11.38</w:t>
            </w:r>
          </w:p>
        </w:tc>
        <w:tc>
          <w:tcPr>
            <w:tcW w:w="80" w:type="dxa"/>
            <w:vAlign w:val="bottom"/>
          </w:tcPr>
          <w:p>
            <w:pPr>
              <w:spacing w:after="0"/>
              <w:rPr>
                <w:sz w:val="19"/>
                <w:szCs w:val="19"/>
                <w:color w:val="auto"/>
              </w:rPr>
            </w:pPr>
          </w:p>
        </w:tc>
      </w:tr>
      <w:tr>
        <w:trPr>
          <w:trHeight w:val="229"/>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 average common shares outstanding (basic)</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14,769,086</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14,932,021</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14,963,288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14,960,756</w:t>
            </w:r>
          </w:p>
        </w:tc>
        <w:tc>
          <w:tcPr>
            <w:tcW w:w="80" w:type="dxa"/>
            <w:vAlign w:val="bottom"/>
            <w:shd w:val="clear" w:color="auto" w:fill="CCEEFF"/>
          </w:tcPr>
          <w:p>
            <w:pPr>
              <w:spacing w:after="0"/>
              <w:rPr>
                <w:sz w:val="19"/>
                <w:szCs w:val="19"/>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7"/>
                <w:szCs w:val="17"/>
                <w:color w:val="auto"/>
              </w:rPr>
              <w:t>Weighted average common shares outstanding (diluted)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86"/>
              </w:rPr>
              <w:t>14,771,520</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86"/>
              </w:rPr>
              <w:t>14,997,897</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86"/>
              </w:rPr>
              <w:t>15,092,592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15,153,510</w:t>
            </w:r>
          </w:p>
        </w:tc>
        <w:tc>
          <w:tcPr>
            <w:tcW w:w="80" w:type="dxa"/>
            <w:vAlign w:val="bottom"/>
          </w:tcPr>
          <w:p>
            <w:pPr>
              <w:spacing w:after="0"/>
              <w:rPr>
                <w:sz w:val="19"/>
                <w:szCs w:val="19"/>
                <w:color w:val="auto"/>
              </w:rPr>
            </w:pPr>
          </w:p>
        </w:tc>
      </w:tr>
      <w:tr>
        <w:trPr>
          <w:trHeight w:val="23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Shares outstanding at end of period</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14,771,520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14,771,520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15,028,830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15,153,510</w:t>
            </w:r>
          </w:p>
        </w:tc>
        <w:tc>
          <w:tcPr>
            <w:tcW w:w="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476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9175" cy="6476365"/>
                    </a:xfrm>
                    <a:prstGeom prst="rect">
                      <a:avLst/>
                    </a:prstGeom>
                    <a:noFill/>
                  </pic:spPr>
                </pic:pic>
              </a:graphicData>
            </a:graphic>
          </wp:anchor>
        </w:drawing>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As of or for the 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3"/>
                <w:szCs w:val="13"/>
                <w:b w:val="1"/>
                <w:bCs w:val="1"/>
                <w:color w:val="auto"/>
                <w:w w:val="95"/>
              </w:rPr>
              <w:t>2018</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Performance Ratios:</w:t>
            </w:r>
          </w:p>
        </w:tc>
        <w:tc>
          <w:tcPr>
            <w:tcW w:w="180" w:type="dxa"/>
            <w:vAlign w:val="bottom"/>
          </w:tcPr>
          <w:p>
            <w:pPr>
              <w:spacing w:after="0"/>
              <w:rPr>
                <w:sz w:val="17"/>
                <w:szCs w:val="17"/>
                <w:color w:val="auto"/>
              </w:rPr>
            </w:pPr>
          </w:p>
        </w:tc>
        <w:tc>
          <w:tcPr>
            <w:tcW w:w="32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Return on average:</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Assets – S Corp</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0.93%</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1.02%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0.95%</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0.86%</w:t>
            </w:r>
          </w:p>
        </w:tc>
        <w:tc>
          <w:tcPr>
            <w:tcW w:w="0" w:type="dxa"/>
            <w:vAlign w:val="bottom"/>
          </w:tcPr>
          <w:p>
            <w:pPr>
              <w:spacing w:after="0"/>
              <w:rPr>
                <w:sz w:val="1"/>
                <w:szCs w:val="1"/>
                <w:color w:val="auto"/>
              </w:rPr>
            </w:pPr>
          </w:p>
        </w:tc>
      </w:tr>
      <w:tr>
        <w:trPr>
          <w:trHeight w:val="236"/>
        </w:trPr>
        <w:tc>
          <w:tcPr>
            <w:tcW w:w="5000" w:type="dxa"/>
            <w:vAlign w:val="bottom"/>
            <w:gridSpan w:val="2"/>
            <w:shd w:val="clear" w:color="auto" w:fill="CCEEFF"/>
          </w:tcPr>
          <w:p>
            <w:pPr>
              <w:ind w:left="360"/>
              <w:spacing w:after="0" w:line="236" w:lineRule="exact"/>
              <w:rPr>
                <w:sz w:val="20"/>
                <w:szCs w:val="20"/>
                <w:color w:val="auto"/>
              </w:rPr>
            </w:pPr>
            <w:r>
              <w:rPr>
                <w:rFonts w:ascii="Arial" w:cs="Arial" w:eastAsia="Arial" w:hAnsi="Arial"/>
                <w:sz w:val="17"/>
                <w:szCs w:val="17"/>
                <w:color w:val="auto"/>
              </w:rPr>
              <w:t>Assets – C Corp</w:t>
            </w:r>
            <w:r>
              <w:rPr>
                <w:rFonts w:ascii="Arial" w:cs="Arial" w:eastAsia="Arial" w:hAnsi="Arial"/>
                <w:sz w:val="27"/>
                <w:szCs w:val="27"/>
                <w:color w:val="auto"/>
                <w:vertAlign w:val="superscript"/>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Shareholders’ equity – S Corp</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11.40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0" w:type="dxa"/>
            <w:vAlign w:val="bottom"/>
            <w:gridSpan w:val="2"/>
            <w:shd w:val="clear" w:color="auto" w:fill="CCEEFF"/>
          </w:tcPr>
          <w:p>
            <w:pPr>
              <w:ind w:left="360"/>
              <w:spacing w:after="0" w:line="236" w:lineRule="exact"/>
              <w:rPr>
                <w:sz w:val="20"/>
                <w:szCs w:val="20"/>
                <w:color w:val="auto"/>
              </w:rPr>
            </w:pPr>
            <w:r>
              <w:rPr>
                <w:rFonts w:ascii="Arial" w:cs="Arial" w:eastAsia="Arial" w:hAnsi="Arial"/>
                <w:sz w:val="17"/>
                <w:szCs w:val="17"/>
                <w:color w:val="auto"/>
              </w:rPr>
              <w:t>Shareholders’ equity – C Corp</w:t>
            </w:r>
            <w:r>
              <w:rPr>
                <w:rFonts w:ascii="Arial" w:cs="Arial" w:eastAsia="Arial" w:hAnsi="Arial"/>
                <w:sz w:val="27"/>
                <w:szCs w:val="27"/>
                <w:color w:val="auto"/>
                <w:vertAlign w:val="superscript"/>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8.48</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3.85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Efficiency ratio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77.60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00" w:type="dxa"/>
            <w:vAlign w:val="bottom"/>
            <w:gridSpan w:val="2"/>
          </w:tcPr>
          <w:p>
            <w:pPr>
              <w:spacing w:after="0"/>
              <w:rPr>
                <w:sz w:val="20"/>
                <w:szCs w:val="20"/>
                <w:color w:val="auto"/>
              </w:rPr>
            </w:pPr>
            <w:r>
              <w:rPr>
                <w:rFonts w:ascii="Arial" w:cs="Arial" w:eastAsia="Arial" w:hAnsi="Arial"/>
                <w:sz w:val="17"/>
                <w:szCs w:val="17"/>
                <w:b w:val="1"/>
                <w:bCs w:val="1"/>
                <w:color w:val="auto"/>
              </w:rPr>
              <w:t>Deposit Ratios: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loans to deposits</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85.70%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79.67%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75.62%</w:t>
            </w:r>
          </w:p>
        </w:tc>
        <w:tc>
          <w:tcPr>
            <w:tcW w:w="0" w:type="dxa"/>
            <w:vAlign w:val="bottom"/>
          </w:tcPr>
          <w:p>
            <w:pPr>
              <w:spacing w:after="0"/>
              <w:rPr>
                <w:sz w:val="1"/>
                <w:szCs w:val="1"/>
                <w:color w:val="auto"/>
              </w:rPr>
            </w:pPr>
          </w:p>
        </w:tc>
      </w:tr>
      <w:tr>
        <w:trPr>
          <w:trHeight w:val="229"/>
        </w:trPr>
        <w:tc>
          <w:tcPr>
            <w:tcW w:w="500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Core deposits to total deposits</w:t>
            </w:r>
            <w:r>
              <w:rPr>
                <w:rFonts w:ascii="Arial" w:cs="Arial" w:eastAsia="Arial" w:hAnsi="Arial"/>
                <w:sz w:val="26"/>
                <w:szCs w:val="26"/>
                <w:color w:val="auto"/>
                <w:vertAlign w:val="superscript"/>
              </w:rPr>
              <w:t>(6)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88.40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89.97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87.97</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Noninterest-bearing deposits to total deposits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180"/>
              <w:spacing w:after="0"/>
              <w:rPr>
                <w:sz w:val="20"/>
                <w:szCs w:val="20"/>
                <w:color w:val="auto"/>
              </w:rPr>
            </w:pPr>
            <w:r>
              <w:rPr>
                <w:rFonts w:ascii="Arial" w:cs="Arial" w:eastAsia="Arial" w:hAnsi="Arial"/>
                <w:sz w:val="17"/>
                <w:szCs w:val="17"/>
                <w:color w:val="auto"/>
              </w:rPr>
              <w:t>Cost of total deposits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0.58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0.55</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0.54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Credit Quality Ratios: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Nonperforming assets to total loans and OREO</w:t>
            </w:r>
            <w:r>
              <w:rPr>
                <w:rFonts w:ascii="Arial" w:cs="Arial" w:eastAsia="Arial" w:hAnsi="Arial"/>
                <w:sz w:val="26"/>
                <w:szCs w:val="26"/>
                <w:color w:val="auto"/>
                <w:vertAlign w:val="superscript"/>
              </w:rPr>
              <w:t>(7)</w:t>
            </w: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0.91%</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0.90%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0.98%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6"/>
                <w:szCs w:val="16"/>
                <w:color w:val="auto"/>
              </w:rPr>
              <w:t>Allowance for loan losses to nonperforming loans</w:t>
            </w:r>
            <w:r>
              <w:rPr>
                <w:rFonts w:ascii="Arial" w:cs="Arial" w:eastAsia="Arial" w:hAnsi="Arial"/>
                <w:sz w:val="26"/>
                <w:szCs w:val="26"/>
                <w:color w:val="auto"/>
                <w:vertAlign w:val="superscript"/>
              </w:rPr>
              <w:t>(8)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154.38</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275.07</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180"/>
              <w:spacing w:after="0"/>
              <w:rPr>
                <w:sz w:val="20"/>
                <w:szCs w:val="20"/>
                <w:color w:val="auto"/>
              </w:rPr>
            </w:pPr>
            <w:r>
              <w:rPr>
                <w:rFonts w:ascii="Arial" w:cs="Arial" w:eastAsia="Arial" w:hAnsi="Arial"/>
                <w:sz w:val="17"/>
                <w:szCs w:val="17"/>
                <w:color w:val="auto"/>
              </w:rPr>
              <w:t>Allowance for loan losses to gross loans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loan charge-offs to average loans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000" w:type="dxa"/>
            <w:vAlign w:val="bottom"/>
            <w:gridSpan w:val="2"/>
          </w:tcPr>
          <w:p>
            <w:pPr>
              <w:spacing w:after="0"/>
              <w:rPr>
                <w:sz w:val="20"/>
                <w:szCs w:val="20"/>
                <w:color w:val="auto"/>
              </w:rPr>
            </w:pPr>
            <w:r>
              <w:rPr>
                <w:rFonts w:ascii="Arial" w:cs="Arial" w:eastAsia="Arial" w:hAnsi="Arial"/>
                <w:sz w:val="17"/>
                <w:szCs w:val="17"/>
                <w:b w:val="1"/>
                <w:bCs w:val="1"/>
                <w:color w:val="auto"/>
              </w:rPr>
              <w:t>Capital Ratios: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shareholders’ equity to total assets</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8.37%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29"/>
        </w:trPr>
        <w:tc>
          <w:tcPr>
            <w:tcW w:w="500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6"/>
                <w:szCs w:val="26"/>
                <w:color w:val="auto"/>
                <w:vertAlign w:val="superscript"/>
              </w:rPr>
              <w:t>(4)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8.37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Common equity tier 1 capital ratio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3"/>
        </w:trPr>
        <w:tc>
          <w:tcPr>
            <w:tcW w:w="5000" w:type="dxa"/>
            <w:vAlign w:val="bottom"/>
            <w:gridSpan w:val="2"/>
          </w:tcPr>
          <w:p>
            <w:pPr>
              <w:ind w:left="180"/>
              <w:spacing w:after="0"/>
              <w:rPr>
                <w:sz w:val="20"/>
                <w:szCs w:val="20"/>
                <w:color w:val="auto"/>
              </w:rPr>
            </w:pPr>
            <w:r>
              <w:rPr>
                <w:rFonts w:ascii="Arial" w:cs="Arial" w:eastAsia="Arial" w:hAnsi="Arial"/>
                <w:sz w:val="17"/>
                <w:szCs w:val="17"/>
                <w:color w:val="auto"/>
              </w:rPr>
              <w:t>Tier 1 leverage ratio</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9.34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Tier 1 risk-based capital ratio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7"/>
                <w:szCs w:val="17"/>
                <w:color w:val="auto"/>
              </w:rPr>
              <w:t>Total risk-based capital ratio</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15.15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15.69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60" w:right="180" w:hanging="342"/>
        <w:spacing w:after="0" w:line="273"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five-year tables in this draft registration statement have been conformed to include the five-year data that will be presented in the first public filing of this registration statement following the completion of the 2018 audit.</w:t>
      </w:r>
    </w:p>
    <w:p>
      <w:pPr>
        <w:spacing w:after="0" w:line="65" w:lineRule="exact"/>
        <w:rPr>
          <w:rFonts w:ascii="Arial" w:cs="Arial" w:eastAsia="Arial" w:hAnsi="Arial"/>
          <w:sz w:val="14"/>
          <w:szCs w:val="14"/>
          <w:color w:val="auto"/>
        </w:rPr>
      </w:pPr>
    </w:p>
    <w:p>
      <w:pPr>
        <w:ind w:left="460" w:right="20" w:hanging="342"/>
        <w:spacing w:after="0" w:line="252"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calculates its pro forma C Corporation net income, return on average assets, return on average shareholders’ equity and earnings per share by adding back its franchise S Corporation tax to net income, and using tax rates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w:t>
      </w:r>
    </w:p>
    <w:p>
      <w:pPr>
        <w:spacing w:after="0" w:line="79"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total shareholders’ equity of the Company after giving effect to the ESOP Repurchase Right Termination.</w:t>
      </w:r>
    </w:p>
    <w:p>
      <w:pPr>
        <w:spacing w:after="0" w:line="109" w:lineRule="exact"/>
        <w:rPr>
          <w:rFonts w:ascii="Arial" w:cs="Arial" w:eastAsia="Arial" w:hAnsi="Arial"/>
          <w:sz w:val="14"/>
          <w:szCs w:val="14"/>
          <w:color w:val="auto"/>
        </w:rPr>
      </w:pPr>
    </w:p>
    <w:p>
      <w:pPr>
        <w:ind w:left="460" w:right="80" w:hanging="342"/>
        <w:spacing w:after="0" w:line="257"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 — Non-GAAP Financial Measures.”</w:t>
      </w:r>
    </w:p>
    <w:p>
      <w:pPr>
        <w:spacing w:after="0" w:line="76"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interest-earnings assets.</w:t>
      </w:r>
    </w:p>
    <w:p>
      <w:pPr>
        <w:spacing w:after="0" w:line="109" w:lineRule="exact"/>
        <w:rPr>
          <w:rFonts w:ascii="Arial" w:cs="Arial" w:eastAsia="Arial" w:hAnsi="Arial"/>
          <w:sz w:val="14"/>
          <w:szCs w:val="14"/>
          <w:color w:val="auto"/>
        </w:rPr>
      </w:pPr>
    </w:p>
    <w:p>
      <w:pPr>
        <w:ind w:left="460" w:right="140" w:hanging="342"/>
        <w:spacing w:after="0" w:line="273"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Core deposits include deposits obtained directly from depositors and exclude time deposits in excess of $250,000, deposits obtained from listing services, and brokered deposits obtained through an intermediary.</w:t>
      </w:r>
    </w:p>
    <w:p>
      <w:pPr>
        <w:spacing w:after="0" w:line="65"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Nonperforming assets consist of nonperforming loans plus OREO.</w:t>
      </w:r>
    </w:p>
    <w:p>
      <w:pPr>
        <w:spacing w:after="0" w:line="109"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Nonperforming loans include nonaccrual loans and loans past due 90 days or more.</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you should carefully consider the risks described below, together with all other information included in this prospectus.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Market</w:t>
      </w:r>
    </w:p>
    <w:p>
      <w:pPr>
        <w:spacing w:after="0" w:line="10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current conditions in the financial markets and economic conditions generally.</w:t>
      </w:r>
    </w:p>
    <w:p>
      <w:pPr>
        <w:spacing w:after="0" w:line="75"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In addition, economic conditions in foreign countries, including global political hostilities, U.S. and foreign tariff policies and uncertainty over the stability of the euro currency, could affect the stability of global financial markets, which could hinder domestic economic growth. The current economic environment is characterized by interest rates at historically low levels, which impacts our ability to attract deposits and to generate attractive earnings through our investment portfolio. Our business is also significantly affected by monetary and related policies of the U.S. government and its agencies. Rising short term interest rates also may negatively affect the ability of our borrowers to repay their indebtedness subjecting us to potential loan losses. Current monetary policy has led to rising short term interest rates and a flattening, or at times even inverted, yield curve which affects our core business of intermediation of short term funding into longer term assets, impacting our ability to generate attractive returns. Changes in any of these policies are influenced by macroeconomic conditions and other factors that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66"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b w:val="1"/>
          <w:bCs w:val="1"/>
          <w:i w:val="1"/>
          <w:iCs w:val="1"/>
          <w:color w:val="auto"/>
        </w:rPr>
        <w:t>We may grow through mergers or acquisitions, a strategy which may not be successful or, if successful, may produce risks in successfully integrating and managing the merged companies or acquisitions and may dilute our shareholders.</w:t>
      </w:r>
    </w:p>
    <w:p>
      <w:pPr>
        <w:spacing w:after="0" w:line="29"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As part of our growth strategy, we may pursue mergers and acquisitions of banks and nonbank financial services companies within or outside our principal market areas. We regularly identify and explore specific acquisition opportunities as part of our ongoing business practices, including our recent entry into an agreement to acquire an online mortgage platform from an Overland Park, Kansas-based mortgage company. Besides this agreement, however, we have no present agreements or commitments to merge with or acquire any financial institution or any other company, and may not find suitable merger or acquisition opportunities.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Mergers and acquisitions involve numerous risks, any of which could harm our business, including:</w:t>
      </w:r>
    </w:p>
    <w:p>
      <w:pPr>
        <w:spacing w:after="0" w:line="117" w:lineRule="exact"/>
        <w:rPr>
          <w:sz w:val="20"/>
          <w:szCs w:val="20"/>
          <w:color w:val="auto"/>
        </w:rPr>
      </w:pPr>
    </w:p>
    <w:p>
      <w:pPr>
        <w:ind w:left="700" w:right="100" w:hanging="344"/>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integrating the operations, management, products and services, technologies, existing contracts, accounting processes and personnel of the target and realizing the anticipated synergies of the combined businesses;</w:t>
      </w:r>
    </w:p>
    <w:p>
      <w:pPr>
        <w:spacing w:after="0" w:line="15" w:lineRule="exact"/>
        <w:rPr>
          <w:rFonts w:ascii="Arial" w:cs="Arial" w:eastAsia="Arial" w:hAnsi="Arial"/>
          <w:sz w:val="16"/>
          <w:szCs w:val="16"/>
          <w:color w:val="auto"/>
        </w:rPr>
      </w:pPr>
    </w:p>
    <w:p>
      <w:pPr>
        <w:ind w:left="700" w:hanging="34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the target;</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 of nonperforming loans;</w:t>
      </w:r>
    </w:p>
    <w:p>
      <w:pPr>
        <w:spacing w:after="0" w:line="117" w:lineRule="exact"/>
        <w:rPr>
          <w:rFonts w:ascii="Arial" w:cs="Arial" w:eastAsia="Arial" w:hAnsi="Arial"/>
          <w:sz w:val="18"/>
          <w:szCs w:val="18"/>
          <w:color w:val="auto"/>
        </w:rPr>
      </w:pPr>
    </w:p>
    <w:p>
      <w:pPr>
        <w:ind w:left="700" w:right="60" w:hanging="344"/>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entering new markets or areas in which we have limited or no experience;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personnel and customers from either our business or the target’s business;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of the target;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Mergers and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w:t>
      </w:r>
    </w:p>
    <w:p>
      <w:pPr>
        <w:spacing w:after="0" w:line="7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As a result, if we fail to properly evaluate mergers, acquisitions or investments, we may not achieve the anticipated benefits of any such merger or acquisition,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17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7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future financial performance and success are dependent in large part upon our ability to implement our business plan successfully. If we are unable to do so, our long-term growth and profitability may be adversely affected. Even if we are able to implement some or all of the initiatives of our business plan successfully, our operating results may not improve to the extent we anticipate, or at all. Implementation of our strategic plan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7"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b w:val="1"/>
          <w:bCs w:val="1"/>
          <w:i w:val="1"/>
          <w:iCs w:val="1"/>
          <w:color w:val="auto"/>
        </w:rPr>
        <w:t>We may not be able to manage the risks associated with our anticipated growth and potential expansion through de novo branching.</w:t>
      </w:r>
    </w:p>
    <w:p>
      <w:pPr>
        <w:spacing w:after="0" w:line="75"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Our business strategy includes evaluating potential strategic opportunities which includes potentially growing through de novo branching.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measure and limit our credit risk, which could lead to unexpected losses.</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7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Accordingly, we maintain an allowance for loan losses that represents management’s judgment of probable losses and risks inherent in our loan portfolio. At December 31, 2017, we had on a consolidated basis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allowance for loan losses of $21.5 million based on our overall evaluation of the risks of our loan portfolio, which represents approximately 1.17% of our total loans. The allowance for loan losses reflected an increase of $287,000 over our allowance as of December 31, 2016.</w:t>
      </w:r>
    </w:p>
    <w:p>
      <w:pPr>
        <w:spacing w:after="0" w:line="76"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real estate markets or the economy in general deteriorate,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18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A new accounting standard will result in a significant change in how we recognize credit losses and may result in material increases to our allowance for loan losses.</w:t>
      </w:r>
    </w:p>
    <w:p>
      <w:pPr>
        <w:spacing w:after="0" w:line="6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Financial Accounting Standards Board has adopted a new accounting standard referred to as Current Expected Credit Loss, or CECL. As we are an emerging growth company and intend to take advantage of the extended transition period for complying with new or revised financial accounting standards under the JOBS Act, CECL will be effective for the Company and the Bank for our first fiscal quarter after December 15, 2021. This standard will require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and to greatly increase the types of data we would need to collect and review to determine the appropriate level of the allowance for loan losses. In anticipation of the adoption of CECL, we have incurred, and will likely continue to incur, significant additional expense to comply with the new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loans are to commercial borrowers, which have a higher degree of risk than other types of loans.</w:t>
      </w:r>
    </w:p>
    <w:p>
      <w:pPr>
        <w:spacing w:after="0" w:line="117"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As of December 31, 2017, we had approximately $1.3 billion of loans to commercial borrowers, which include approximately $839.1 million in loans secured by real estate to those commercial borrowers. Loans to commercial borrowers represent approximately 71.4% of total loans. Loans to commercial borrowers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w:t>
      </w:r>
    </w:p>
    <w:p>
      <w:pPr>
        <w:spacing w:after="0" w:line="5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70" w:lineRule="exact"/>
        <w:rPr>
          <w:sz w:val="20"/>
          <w:szCs w:val="20"/>
          <w:color w:val="auto"/>
        </w:rPr>
      </w:pPr>
    </w:p>
    <w:p>
      <w:pPr>
        <w:ind w:right="180"/>
        <w:spacing w:after="0" w:line="343" w:lineRule="auto"/>
        <w:rPr>
          <w:sz w:val="20"/>
          <w:szCs w:val="20"/>
          <w:color w:val="auto"/>
        </w:rPr>
      </w:pPr>
      <w:r>
        <w:rPr>
          <w:rFonts w:ascii="Arial" w:cs="Arial" w:eastAsia="Arial" w:hAnsi="Arial"/>
          <w:sz w:val="15"/>
          <w:szCs w:val="15"/>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6"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As of December 31, 2017, approximately 64.5% of our loan portfolio was comprised of loans with real estate as a primary component of collateral. Adverse developments affecting real estate values, particularly in our markets, could increase the credit risk associated with our real estate loan portfolio. Real estate values may experience periods of fluctuation, and the market value of real estate can fluctuate significantly in a short period of time. Adverse changes affecting real estate values and the liquidity of real estate in one or more of our markets could increase the credit risk associated with our loan portfolio, and could result in losses that adversely affect credit quality, financial condition and results of operation.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53"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5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our other mortgage loans.</w:t>
      </w:r>
    </w:p>
    <w:p>
      <w:pPr>
        <w:spacing w:after="0" w:line="75"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Our loan portfolio includes non-owner-occupied commercial real estate loans for individuals and businesses for various purposes, which are secured by commercial properties, as well as real estate construction and development loans. As of December 31, 2017, our non-owner-occupied commercial real estate loans totaled $572.4 million, or 31.1%,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of indirect dealer lending exposes us to increased credit risks.</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At December 31, 2017, $154.3 million, or 8.4%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5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80"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i w:val="1"/>
          <w:iCs w:val="1"/>
          <w:color w:val="auto"/>
        </w:rPr>
        <w:t>Agricultural lending and volatility in commodity prices may adversely affect our financial condition and results of operations.</w:t>
      </w:r>
    </w:p>
    <w:p>
      <w:pPr>
        <w:spacing w:after="0" w:line="138"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At December 31, 2017, agricultural loans were $157.5 million, or 8.6%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16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5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Through the Federal Crop Insurance Corporation, the federal government subsidizes insurance companies by assuming an increasingly higher portion of losses incurred by farmers as a result of weather-related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United States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2017, the Bank had approximately $6.2 million in noninterest income attributable to sales of crop insurance.</w:t>
      </w:r>
    </w:p>
    <w:p>
      <w:pPr>
        <w:spacing w:after="0" w:line="167" w:lineRule="exact"/>
        <w:rPr>
          <w:sz w:val="20"/>
          <w:szCs w:val="20"/>
          <w:color w:val="auto"/>
        </w:rPr>
      </w:pPr>
    </w:p>
    <w:p>
      <w:pPr>
        <w:ind w:right="20"/>
        <w:spacing w:after="0" w:line="343" w:lineRule="auto"/>
        <w:rPr>
          <w:sz w:val="20"/>
          <w:szCs w:val="20"/>
          <w:color w:val="auto"/>
        </w:rPr>
      </w:pPr>
      <w:r>
        <w:rPr>
          <w:rFonts w:ascii="Arial" w:cs="Arial" w:eastAsia="Arial" w:hAnsi="Arial"/>
          <w:sz w:val="15"/>
          <w:szCs w:val="15"/>
          <w:b w:val="1"/>
          <w:bCs w:val="1"/>
          <w:i w:val="1"/>
          <w:iCs w:val="1"/>
          <w:color w:val="auto"/>
        </w:rPr>
        <w:t>We intend to grow our energy loan portfolio, and sustained low oil prices, volatility in oil prices and downturns in the energy industry, including in Texas, could lead to increased credit losses in our energy portfolio and weaker demand for energy lending.</w:t>
      </w:r>
    </w:p>
    <w:p>
      <w:pPr>
        <w:spacing w:after="0" w:line="6"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business, financial condition and results of operations. Oil and gas prices declined significantly during 2018. The full impact to the U.S. economy, and to banks in general, of these decreases and the overall oil and gas price volatility is yet to be determined. As of December 31, 2017, our energy loans, which include loans to exploration and production companies, midstream companies and oilfield service companies, totaled $39.6 million, or 2.2% of total loans, as compared to $24.5 million, or 1.5% of total loans as of December 31, 2016. In addition to our direct exposure to energy loans, we also have indirect exposure to energy prices, as some of our non-energy customers’ businesses are directly affected by volatility with the oil and gas industry and energy prices.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have an adverse effect on our business, financial condition and results of operations.</w:t>
      </w:r>
    </w:p>
    <w:p>
      <w:pPr>
        <w:spacing w:after="0" w:line="154" w:lineRule="exact"/>
        <w:rPr>
          <w:sz w:val="20"/>
          <w:szCs w:val="20"/>
          <w:color w:val="auto"/>
        </w:rPr>
      </w:pPr>
    </w:p>
    <w:p>
      <w:pPr>
        <w:ind w:right="780"/>
        <w:spacing w:after="0" w:line="307" w:lineRule="auto"/>
        <w:rPr>
          <w:sz w:val="20"/>
          <w:szCs w:val="20"/>
          <w:color w:val="auto"/>
        </w:rPr>
      </w:pPr>
      <w:r>
        <w:rPr>
          <w:rFonts w:ascii="Arial" w:cs="Arial" w:eastAsia="Arial" w:hAnsi="Arial"/>
          <w:sz w:val="16"/>
          <w:szCs w:val="16"/>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29"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Following the U.S. presidential election in 2016, there has been discussion and dialogue regarding potential changes to U.S. trade policies, legislation, treaties and tariffs, including trade policies and tariffs affecting other countries, including China, the European Union, Canada and Mexico and retaliatory tariffs by such countries. Tariffs and retaliatory tariffs have been imposed, and additional tariffs and retaliation tariffs have been proposed. Such tariffs, retaliatory tariffs or other trade restrictions on products and materials that our customers import or export, including among others, cotton,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materially and adversely impacted in the future. However, a de minimis amount of collateral securing our loans is located outside of the U.S.</w:t>
      </w:r>
    </w:p>
    <w:p>
      <w:pPr>
        <w:spacing w:after="0" w:line="58"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It remains unclear what the U.S. administration or foreign governments will or will not do with respect to tariffs already imposed, additional tariffs that may be imposed, or international trade agreements and policies. On October 1, 2018, the United States, Canada and Mexico agreed to a new trade deal to replace the North American Free Trade Agreement, which is subject to congressional approval which is not expected until 2019 and various components of the agreement are not effective until 2020. The full impact of this agreement on us, our customers and on the economic conditions in our markets is currently unknown. A trade war or other governmental action related to tariffs or international trade agreements or policies has the potential to negatively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impact our and/or our customers’ costs, demand for our customers’ products, and/or the U.S. economy or certain sectors thereof and, thus, adversely impact our business, financial condition and results of operations.</w:t>
      </w:r>
    </w:p>
    <w:p>
      <w:pPr>
        <w:spacing w:after="0" w:line="157"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The Bank’s profitability and liquidity may be adversely affected by deterioration in the credit quality of, or defaults by, third parties who owe it money.</w:t>
      </w:r>
    </w:p>
    <w:p>
      <w:pPr>
        <w:spacing w:after="0" w:line="75"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Bank is exposed to the risk that third parties that owe it money will not perform their obligations. These parties may default on their obligations to the Banks due to bankruptcy, lack of liquidity, operational failure or other reasons. The bank’s rights against third parties may not be enforceable in all circumstances. In addition, deterioration in the credit quality of third parties whose securities or obligations the Bank holds could result in losses and/or adversely affect the Bank’s ability to use those securities or obligations for liquidity purposes. The bank relies on representations of potential borrowers and/or guarantors as to the accuracy and completeness of certain financial information. The bank’s financial condition and results of operations could be negatively impacted if the financial statements or other information that the Bank relies upon is materially misleading.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nonperforming assets may increase and can take significant time and resources to resolve.</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 At December 31, 2017, the Bank had a total of $16.7 million of nonperforming assets (defined as nonperforming loans, which include nonaccrual loans and loans past due 90 days or more, plus OREO), compared with $15.0 million of nonperforming loans at December 31, 2016.</w:t>
      </w:r>
    </w:p>
    <w:p>
      <w:pPr>
        <w:spacing w:after="0" w:line="6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At December 31, 2017, the Bank had $2.8 million in OREO, compared to $7.8 million as of December 31, 2016. If the amount of OREO increases, the Bank’s losses and the costs and expenses to maintain the real estate likewise increase. Any increase in losses and maintenance costs and expenses due to banks may have material adverse effects on the Bank’s business, financial condition and results of operations. Such effects may be particularly pronounced in a market of reduced real estate values and excess inventory, which may make the disposition of OREO properties more difficult, increase maintenance costs and expenses and reduce our ultimate realization from any OREO sales.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properties that we own and certain foreclosed real estate assets could subject us to environmental risks and associated costs.</w:t>
      </w:r>
    </w:p>
    <w:p>
      <w:pPr>
        <w:spacing w:after="0" w:line="138"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There is a risk that hazardous substances or wastes, contaminants, pollutants or other environmentally restricted substances could be discovered on our properties or our foreclosed assets (particularly in the case of real estate loans). In this event, we might be required to remove the substances from the affected properties or to engage in abatement procedures at our cost and expense.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environmental liability. Furthermore, despite these actions on our part, the value of the property as collateral will 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5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79"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 An economic downturn could result in losses, as determined under our accounting methodologies that may materially and adversely affect our business, financial condition, results of operations and future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fair value of our investment securities can fluctuate due to factors outside of our control.</w:t>
      </w:r>
    </w:p>
    <w:p>
      <w:pPr>
        <w:spacing w:after="0" w:line="117"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As of December 31, 2017, the fair value of our portfolio of available-for-sale investment securities was approximately $194.2 million, which included a net unrealized loss of approximately $446,000.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Any of these factors, among others, could cause other-than-temporary impairments and realized or unrealized losses in future periods and declines in other comprehensive income, which could have a material adverse effect on our business, results of operations, financial condition and future prospects. The process for determining whether impairment of a security is other-than-temporary often requires complex, subjective judgments about whether there has been a significant deterioration in the financial condition of the issuer, whether management has the intent or ability to hold a security for a period of time sufficient to allow for any anticipated recovery in fair value, the future financial performance and liquidity of the issuer and any collateral underlying the security, and other relevant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largest loan relationships make up a material percentage of our total loan portfolio.</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As of December 31, 2017, our 20 largest borrowing relationships ranged from approximately $13 million to $23 million (including unfunded commitments) and totaled approximately $365 million in total commitments (representing, in the aggregate, 17.1% of our total outstanding commitments as of December 31, 2017).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could negatively affect our earnings and capital. Even if these loans are adequately collateralized, an increase in classified assets could harm our reputation with our regulators and inhibit our ability to execute our business plan.</w:t>
      </w:r>
    </w:p>
    <w:p>
      <w:pPr>
        <w:spacing w:after="0" w:line="153"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29"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color w:val="auto"/>
        </w:rPr>
        <w:t>At December 31, 2017, our 20 largest deposit relationships accounted for approximately 18.4% of our total deposits. Withdrawals of deposits by any one of our largest depositors or by one of our related customer groups could force us to rely more heavily on other potentially more expensive and less stable sources of funding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funds deposits are an important source of funds for us and a reduced level of those deposits may hurt our profits.</w:t>
      </w:r>
    </w:p>
    <w:p>
      <w:pPr>
        <w:spacing w:after="0" w:line="12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Public funds deposits are a significant source of funds for our lending and investment activities. At December 31, 2017, $266.0 million, or 12.3% of our total deposits, consisted of public funds deposits from local government entities, primarily domiciled in the state of Texas, such as townships, school districts, hospital districts, sheriff departments and other municipalities, which are collateralized by letters of credit from the FHLB and investment securities. Given our use of these high-average balance public funds deposits as a source of funds, our inability to retain such funds could adversely affect our liquidity. Further, our public funds deposits are primarily interest-bearing transaction accounts and are therefore more sensitive to interest rate risks. If we are forced to pay higher rates on our public funds accounts to retain those funds, or if we are unable to retain such funds and we are forced to resort to other sources of funds for our lending and investment activities, such as borrowings from the FHLB, the interest expense associated with these other funding sources may be higher than the rates we are currently paying on our public funds deposits, which could adversely affect our net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deposits for funding, which can be adversely affected by local and general economic conditions.</w:t>
      </w:r>
    </w:p>
    <w:p>
      <w:pPr>
        <w:spacing w:after="0" w:line="11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As of December 31, 2017, $1.8 billion, or 84.6% of our deposits, consisted of demand, statement savings, money market, and NOW accounts. The $331.5 million remaining balance are time deposits, of which 63.6% are due to mature within one year. Based on our experience, we believe that our demand, statement savings, money market deposit accounts and commercial demand accounts are relatively stable sources of funds. Our ability to attract and maintain deposits, as well as our cost of funds, has been, and will continue to be, significantly affected by market and general economic conditions. If we increase interest rates paid to retain deposits, our earnings may be adversely affected.</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Liquidity risk could impair our ability to fund operations and meet our obligations as they become due and could jeopardize our financial condition.</w:t>
      </w:r>
    </w:p>
    <w:p>
      <w:pPr>
        <w:spacing w:after="0" w:line="7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Liquidity is essential to the business of the Bank. Liquidity risk is the potential that the Bank will be unable to meet its obligations as they come due because of an inability to liquidate assets or obtain adequate funding. An inability to raise funds through deposits, borrowings, the sale of loans and other sources could have a substantial negative effect on liquidity.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Although management has implemented strategies to maintain sufficient and diverse sources of funding to accommodate planned as well as unanticipated changes in assets and liabilities under both normal and adverse conditions, any substantial, unexpected and/or prolonged change in the level or cost of liquidity could have a material adverse effect on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 could pursue alternatives to bank deposits, causing us to lose a relatively inexpensive source of funding.</w:t>
      </w:r>
    </w:p>
    <w:p>
      <w:pPr>
        <w:spacing w:after="0" w:line="115"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Checking and savings account balances and other forms of deposits can decrease when our deposit customers perceive alternative investments, such as the stock market, other non-depository investments or higher yielding deposits, as providing superior expected returns. Technology and other changes has made it more convenient for bank customers to transfer funds into alternative investments or other deposit accounts, including products offered by other financial institutions or non-bank service providers. Future increases in short-term interest rates could increase such transfers of deposits to higher yielding deposits or other investments either with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us or with external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These consumer preferences may force us to pay higher interest rates or reduce fees to retain certain deposits and may constrain liquidity as we seek to meet funding needs caused by reduced deposit levels.</w:t>
      </w:r>
    </w:p>
    <w:p>
      <w:pPr>
        <w:spacing w:after="0" w:line="84"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As interest rates rise from historically low levels in recent years, our deposits may not be as stable or as interest rate insensitive as similar deposits may have been in the past, and if the recovery of the U.S. economy continues, some existing or prospective deposit customers of banks generally, including the Bank, may be inclined to pursue other investment alternatives.</w:t>
      </w:r>
    </w:p>
    <w:p>
      <w:pPr>
        <w:spacing w:after="0" w:line="57" w:lineRule="exact"/>
        <w:rPr>
          <w:sz w:val="20"/>
          <w:szCs w:val="20"/>
          <w:color w:val="auto"/>
        </w:rPr>
      </w:pPr>
    </w:p>
    <w:p>
      <w:pPr>
        <w:ind w:firstLine="360"/>
        <w:spacing w:after="0" w:line="301" w:lineRule="auto"/>
        <w:rPr>
          <w:sz w:val="20"/>
          <w:szCs w:val="20"/>
          <w:color w:val="auto"/>
        </w:rPr>
      </w:pPr>
      <w:r>
        <w:rPr>
          <w:rFonts w:ascii="Arial" w:cs="Arial" w:eastAsia="Arial" w:hAnsi="Arial"/>
          <w:sz w:val="16"/>
          <w:szCs w:val="16"/>
          <w:color w:val="auto"/>
        </w:rPr>
        <w:t>Efforts and initiatives we undertake to retain and increase deposits, including deposit pricing, can increase our costs. When bank customers move money out of bank deposits in favor of alternative investments or into higher yielding deposits, we can lose a relatively inexpensive source of funds, increasing our funding cost. As our assets grow, we may face increasing pressure to seek new deposits through expanded channels from new customers at favorable pricing, further increasing our costs.</w:t>
      </w:r>
    </w:p>
    <w:p>
      <w:pPr>
        <w:spacing w:after="0" w:line="14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We continually encounter technological changes which could result in us having fewer resources than many of our competitors to continue to invest in technological improvements.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successfully keep pace with technological change affecting the financial services industry could have a material adverse impact on our business, financial condition,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 may decide not to use banks to complete their financial transactions.</w:t>
      </w:r>
    </w:p>
    <w:p>
      <w:pPr>
        <w:spacing w:after="0" w:line="11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is vulnerable to interest rate fluctuations.</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Our profitability, like that of most financial institutions, is dependent to a large extent on our net interest income, which is the difference between our interest income on interest-earning assets, such as loans and investment securities, and our interest expense on interest-bearing liabilities, such as deposits and borrowings.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w:t>
      </w:r>
    </w:p>
    <w:p>
      <w:pPr>
        <w:spacing w:after="0" w:line="70"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periods of increasing interest rates, loan originations may decline, and our borrowers may experience greater difficulties meeting their obligations, depending on the performance of the overall economy, which may adversely affect income from these lending activities. In such periods, originations of mortgage loans may also decrease, resulting in fewer loans that are available to be sold to investors. This could result in decreased interest income, decreased mortgage revenues and corresponding decreases in non-interest income from projected levels. In addition,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00" w:firstLine="360"/>
        <w:spacing w:after="0" w:line="263" w:lineRule="auto"/>
        <w:rPr>
          <w:sz w:val="20"/>
          <w:szCs w:val="20"/>
          <w:color w:val="auto"/>
        </w:rPr>
      </w:pPr>
      <w:r>
        <w:rPr>
          <w:rFonts w:ascii="Arial" w:cs="Arial" w:eastAsia="Arial" w:hAnsi="Arial"/>
          <w:sz w:val="18"/>
          <w:szCs w:val="18"/>
          <w:color w:val="auto"/>
        </w:rPr>
        <w:t>We cannot predict fluctuations of market interest rates, which are affected by, among other factors, changes in inflation rates, levels of business activity, unemployment levels, monetary and fiscal policies of the United States and its agencies, particularly the Federal Reserve, money supply and domestic and foreign financial markets.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impacted by an economic downturn or a natural disaster affecting one or more of our market areas.</w:t>
      </w:r>
    </w:p>
    <w:p>
      <w:pPr>
        <w:spacing w:after="0" w:line="127"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Because most of our business activities are conducted in Texas and New Mexico and most of our credit exposure is there, we are at risk from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well beyond these market areas, adverse conditions that affect these market areas could reduce our growth rate, affect the ability of our customers to repay their loans, affect the value of collateral underlying loans, impact our ability to attract deposits, and generally affect our financial conditions and results of operations. Because of our geographic concentration, we may be less able than other regional or national financial institutions to diversify our credit risks across multiple markets.</w:t>
      </w:r>
    </w:p>
    <w:p>
      <w:pPr>
        <w:spacing w:after="0" w:line="17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 borrowing needs of our customers may increase, especially during a challenging economic environment, which could result in increased borrowing against our contractual obligations to extend credit.</w:t>
      </w:r>
    </w:p>
    <w:p>
      <w:pPr>
        <w:spacing w:after="0" w:line="75"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A commitment to extend credit is a formal agreement to lend funds to a customer as long as there is no violation of any condition established under the agreement. The actual borrowing needs of our customers under these credit commitments have historically been lower than the contractual amount of the commitments. A significant portion of these commitments expire without being drawn upon. Because of the credit profile of our customers, we typically have a substantial amount of total unfunded credit commitments, which is not reflected on our balance sheet. As of December 31, 2017, we had $290.4 million in unfunded credit commitments to our customers. Actual borrowing needs of our customers may exceed our expectations, especially during a challenging economic environment when our customers’ companies may be more dependent on our credit commitments due to the lack of available credit elsewhere, the increasing costs of credit, or the limited availability of financings from venture firms. This could adversely affect our liquidity, which could impair our ability to fund operations and meet obligations as they become due and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originations have decreased due to a slowdown in refinance activity, and this trend may continue.</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Mortgage revenues, which are primarily recognized from the sale in the secondary market of mortgage loans, are a source of noninterest income for the Bank and a contributor to the Bank’s net income. Mortgage revenues for the year ended December 31, 2017 were $20.4 million. As the result of the low level of market interest rates that existed for the past several years, demand for loans to refinance existing mortgages has remained strong. However, recent increases in market interest rates have lessened this demand. If market interest rates were to further increase, there will be fewer opportunities for financial institutions to originate loans to refinance existing mortgages. If mortgage originations decrease, projected mortgage revenues and noninterest income will decrease.</w:t>
      </w:r>
    </w:p>
    <w:p>
      <w:pPr>
        <w:spacing w:after="0" w:line="181"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b w:val="1"/>
          <w:bCs w:val="1"/>
          <w:i w:val="1"/>
          <w:iCs w:val="1"/>
          <w:color w:val="auto"/>
        </w:rPr>
        <w:t>Secondary mortgage market conditions could have a material impact on our ability to resell originated mortgages on the secondary market.</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resell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repurchase mortgage loans in some circumstances, which could diminish our liquidity.</w:t>
      </w:r>
    </w:p>
    <w:p>
      <w:pPr>
        <w:spacing w:after="0" w:line="117"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Historically, we have originated mortgage loans for sale in the secondary market. When mortgage loans are sold in the secondary market, we are required to make customary representations and warranties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purchasers about the mortgage loans and the manner in which they were originated. The mortgage loan sale agreements require us to repurchase or substitute mortgage loans or indemnify buyers against losses, in the event we breach these representations and warranties. In addition, we may be required to repurchase mortgage loans as a result of early payment default of the borrower on a mortgage loan. With respect to loans that are originated by us through our broker or correspondents, the remedies available against the originating broker or correspondent, if any, may not be as broad as the remedies available to a purchaser of mortgage loans against us or the originating broker or correspondent, if any, may not have the financial capacity to perform remedies that otherwise may be available. Therefore, if a purchaser enforces their remedies against us, we may not be able to recover losses from the originating broker or correspondent. If repurchase and indemnity demands increase and such demands are valid claims, it could diminish our liquidity, which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mortgage servicing rights can be volatile.</w:t>
      </w:r>
    </w:p>
    <w:p>
      <w:pPr>
        <w:spacing w:after="0" w:line="117" w:lineRule="exact"/>
        <w:rPr>
          <w:sz w:val="20"/>
          <w:szCs w:val="20"/>
          <w:color w:val="auto"/>
        </w:rPr>
      </w:pPr>
    </w:p>
    <w:p>
      <w:pPr>
        <w:ind w:right="100" w:firstLine="360"/>
        <w:spacing w:after="0" w:line="296" w:lineRule="auto"/>
        <w:rPr>
          <w:sz w:val="20"/>
          <w:szCs w:val="20"/>
          <w:color w:val="auto"/>
        </w:rPr>
      </w:pPr>
      <w:r>
        <w:rPr>
          <w:rFonts w:ascii="Arial" w:cs="Arial" w:eastAsia="Arial" w:hAnsi="Arial"/>
          <w:sz w:val="16"/>
          <w:szCs w:val="16"/>
          <w:color w:val="auto"/>
        </w:rPr>
        <w:t>We sell in the secondary market residential mortgage loans that we originate, which provides a meaningful portion of our non-interest income in the form of gains on the sale of mortgage loans. We also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53"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no mortgage servicing rights capitalized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framework may not be effective in mitigating risks or losses to us.</w:t>
      </w:r>
    </w:p>
    <w:p>
      <w:pPr>
        <w:spacing w:after="0" w:line="117"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risk management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81" w:lineRule="exact"/>
        <w:rPr>
          <w:sz w:val="20"/>
          <w:szCs w:val="20"/>
          <w:color w:val="auto"/>
        </w:rPr>
      </w:pPr>
    </w:p>
    <w:p>
      <w:pPr>
        <w:ind w:right="540"/>
        <w:spacing w:after="0" w:line="343" w:lineRule="auto"/>
        <w:rPr>
          <w:sz w:val="20"/>
          <w:szCs w:val="20"/>
          <w:color w:val="auto"/>
        </w:rPr>
      </w:pPr>
      <w:r>
        <w:rPr>
          <w:rFonts w:ascii="Arial" w:cs="Arial" w:eastAsia="Arial" w:hAnsi="Arial"/>
          <w:sz w:val="15"/>
          <w:szCs w:val="15"/>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6"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70" w:lineRule="exact"/>
        <w:rPr>
          <w:sz w:val="20"/>
          <w:szCs w:val="20"/>
          <w:color w:val="auto"/>
        </w:rPr>
      </w:pPr>
    </w:p>
    <w:p>
      <w:pPr>
        <w:ind w:right="200" w:firstLine="360"/>
        <w:spacing w:after="0" w:line="263" w:lineRule="auto"/>
        <w:rPr>
          <w:sz w:val="20"/>
          <w:szCs w:val="20"/>
          <w:color w:val="auto"/>
        </w:rPr>
      </w:pPr>
      <w:r>
        <w:rPr>
          <w:rFonts w:ascii="Arial" w:cs="Arial" w:eastAsia="Arial" w:hAnsi="Arial"/>
          <w:sz w:val="18"/>
          <w:szCs w:val="18"/>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investment performance, fiduciary and asset servicing risks associated with our trust operations.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5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Our revenues, earnings and prospects with respect to the Investment Center at City Bank could be adversely affected if the securities markets decline.</w:t>
      </w:r>
    </w:p>
    <w:p>
      <w:pPr>
        <w:spacing w:after="0" w:line="75"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Our results of operations related to the Investment Center at City Bank are affected by certain economic factors, including the level of the securities markets. If we experience adverse market conditions such as those experienced from 2008 to 2011, lack of investor confidence could result in investors further withdrawing from the markets, decreasing their rate of investment or reducing the amount of assets under management, any of which could adversely affect our revenues, earnings and growth prospects to a greater extent. Because our investment management fees are based on the value of assets under management at the Investment Center at City Bank, a decline in the value of these assets, including by virtue of a decline in the securities markets, adversely affects our revenues and earnings. In addition, a decline in the market value of these assets could cause our clients to withdraw funds in favor of investments they perceive as offering greater opportunity or lower risk, which could also negatively impact our revenues and earnings. The combination of adverse markets reducing sales and investment management fees could compound on each other and materially affect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From time to time, we may implement or may acquire new lines of business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growth rate and performance may not be indicative of our future growth or financial results.</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may not be able to sustain our past rate of growth or grow our business at all. We have benefited from the recent low interest rate environment, which has provided us with high net interest margins which we use to grow our business. Higher rates may compress our margins and may impact our ability to grow. Consequently, our past results of operations will not necessarily be indicative of our future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but sufficient capital may not be available when it is needed.</w:t>
      </w:r>
    </w:p>
    <w:p>
      <w:pPr>
        <w:spacing w:after="0" w:line="115" w:lineRule="exact"/>
        <w:rPr>
          <w:sz w:val="20"/>
          <w:szCs w:val="20"/>
          <w:color w:val="auto"/>
        </w:rPr>
      </w:pPr>
    </w:p>
    <w:p>
      <w:pPr>
        <w:jc w:val="both"/>
        <w:ind w:right="180" w:firstLine="360"/>
        <w:spacing w:after="0" w:line="263" w:lineRule="auto"/>
        <w:rPr>
          <w:sz w:val="20"/>
          <w:szCs w:val="20"/>
          <w:color w:val="auto"/>
        </w:rPr>
      </w:pPr>
      <w:r>
        <w:rPr>
          <w:rFonts w:ascii="Arial" w:cs="Arial" w:eastAsia="Arial" w:hAnsi="Arial"/>
          <w:sz w:val="18"/>
          <w:szCs w:val="18"/>
          <w:color w:val="auto"/>
        </w:rPr>
        <w:t>We may need to raise additional capital in the future to provide us with sufficient capital resources and liquidity to meet our commitments and business needs, particularly if our asset quality or earnings were to deteriorate significantly. Our ability to raise additional capital, if needed, will depend on, among other things,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conditions in the capital and financial markets at that time, which are outside of our control, and our financial performance. Economic conditions or a loss of confidence in financial institutions may increase our cost of funding and limit access to certain customary sources of capital, including depositors, other financial institution borrowings and borrowings from the discount window of the Federal Reserve. An inability to raise additional capital/liquidity on acceptable terms when needed could have a material adverse effect on our financial condition, results of operations and liquidity.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cybersecurity risks associated with our internet-based systems and online commerce security.</w:t>
      </w:r>
    </w:p>
    <w:p>
      <w:pPr>
        <w:spacing w:after="0" w:line="11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w:t>
      </w:r>
    </w:p>
    <w:p>
      <w:pPr>
        <w:spacing w:after="0" w:line="84"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color w:val="auto"/>
        </w:rPr>
        <w:t>Although we have not experienced a cyber-incident which has been successful in compromising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4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64" w:lineRule="exact"/>
        <w:rPr>
          <w:sz w:val="20"/>
          <w:szCs w:val="20"/>
          <w:color w:val="auto"/>
        </w:rPr>
      </w:pPr>
    </w:p>
    <w:p>
      <w:pPr>
        <w:ind w:right="240"/>
        <w:spacing w:after="0" w:line="343" w:lineRule="auto"/>
        <w:rPr>
          <w:sz w:val="20"/>
          <w:szCs w:val="20"/>
          <w:color w:val="auto"/>
        </w:rPr>
      </w:pPr>
      <w:r>
        <w:rPr>
          <w:rFonts w:ascii="Arial" w:cs="Arial" w:eastAsia="Arial" w:hAnsi="Arial"/>
          <w:sz w:val="15"/>
          <w:szCs w:val="15"/>
          <w:b w:val="1"/>
          <w:bCs w:val="1"/>
          <w:i w:val="1"/>
          <w:iCs w:val="1"/>
          <w:color w:val="auto"/>
        </w:rPr>
        <w:t>We depend on third party providers, and these providers may be unable to deliver, or refuse to deliver, necessary technological and customer services support for our systems in a timely manner at prices, quality levels, and volumes acceptable to us.</w:t>
      </w:r>
    </w:p>
    <w:p>
      <w:pPr>
        <w:spacing w:after="0" w:line="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We outsource check processing, check imaging, electronic bill payment, statement rendering, internal audit, cybersecurity, IT management, and other services to third party vendors. While we believe that such providers will be able to continue to supply us with these essential services, they may be unable to do so in the short term or at prices or costs that are favorable to us, or at all. In addition, our agreements with each service provider are generally cancelable without cause by either party upon specified notice periods. If one of our third party service providers terminates its agreement with us and we are unable to replace it with another service provider, our operations may be interrupted. In particular, while we believe that we would be able to secure alternate providers for most of this essential technological and customer services support in a relatively short time frame, qualifying alternate providers or developing our own replacement technology services may be time consuming, costly, and may force us to change our services offered. If an interruption were to continue for a significant period of time, our earnings could decrease, we could experience losses, and we could lose customers. In addition, we are obligated to exercise comprehensive risk management and oversight of third party providers involving critical activities, including through the adoption of risk management processes commensurate with the level of risk and complexity of our third party providers.</w:t>
      </w:r>
    </w:p>
    <w:p>
      <w:pPr>
        <w:spacing w:after="0" w:line="15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are subject to certain operating risks related to employee error and customer, employee and third party misconduct, which could harm our reputation and business.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Employee error or employee and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about customers and counterparties.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rely on information furnished to us by or on behalf of customers and counterparties, including financial statements and other financial information. We also rely on representations of customers and counterparties as to the accuracy and completeness of that information and, with respect to financial statements, on reports of independent auditors. While we have a practice of seeking to independently verify some of the customer information that we use in deciding whether to extend credit or to agree to a loan modification, including employment, assets, income and credit score, not all customer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activity could damage our reputation, disrupt our businesses, increase our costs and cause losses.</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 Company may experience financial losses or reputational harm as a result of fraud.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heavily on our management team and the unexpected loss of key officers may adversely affect our operations.</w:t>
      </w:r>
    </w:p>
    <w:p>
      <w:pPr>
        <w:spacing w:after="0" w:line="127"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of Directors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w:t>
      </w:r>
    </w:p>
    <w:p>
      <w:pPr>
        <w:spacing w:after="0" w:line="84" w:lineRule="exact"/>
        <w:rPr>
          <w:sz w:val="20"/>
          <w:szCs w:val="20"/>
          <w:color w:val="auto"/>
        </w:rPr>
      </w:pPr>
    </w:p>
    <w:p>
      <w:pPr>
        <w:ind w:right="80" w:firstLine="360"/>
        <w:spacing w:after="0" w:line="263" w:lineRule="auto"/>
        <w:rPr>
          <w:sz w:val="20"/>
          <w:szCs w:val="20"/>
          <w:color w:val="auto"/>
        </w:rPr>
      </w:pPr>
      <w:r>
        <w:rPr>
          <w:rFonts w:ascii="Arial" w:cs="Arial" w:eastAsia="Arial" w:hAnsi="Arial"/>
          <w:sz w:val="18"/>
          <w:szCs w:val="18"/>
          <w:color w:val="auto"/>
        </w:rPr>
        <w:t>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attract or retain key banking employees which could adversely impact our business and operations.</w:t>
      </w:r>
    </w:p>
    <w:p>
      <w:pPr>
        <w:spacing w:after="0" w:line="127" w:lineRule="exact"/>
        <w:rPr>
          <w:sz w:val="20"/>
          <w:szCs w:val="20"/>
          <w:color w:val="auto"/>
        </w:rPr>
      </w:pPr>
    </w:p>
    <w:p>
      <w:pPr>
        <w:ind w:right="220" w:firstLine="360"/>
        <w:spacing w:after="0" w:line="296" w:lineRule="auto"/>
        <w:rPr>
          <w:sz w:val="20"/>
          <w:szCs w:val="20"/>
          <w:color w:val="auto"/>
        </w:rPr>
      </w:pPr>
      <w:r>
        <w:rPr>
          <w:rFonts w:ascii="Arial" w:cs="Arial" w:eastAsia="Arial" w:hAnsi="Arial"/>
          <w:sz w:val="16"/>
          <w:szCs w:val="16"/>
          <w:color w:val="auto"/>
        </w:rPr>
        <w:t>We expect future success to be driven in large part by the relationships maintained with our customers by our executives and senior lending officers. Our future successes and profitability are substantially dependent upon the management and banking abilities of our senior executives. We strive to attract and retain key banking professionals, management and staff. Competition to attract the best professionals in the industry can be intense, which will limit our ability to hire new professionals. Banking-related revenues and net income could be adversely affected in the event of the unexpected loss of key personnel.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other financial intermediaries may adversely affect our profitability.</w:t>
      </w:r>
    </w:p>
    <w:p>
      <w:pPr>
        <w:spacing w:after="0" w:line="117" w:lineRule="exact"/>
        <w:rPr>
          <w:sz w:val="20"/>
          <w:szCs w:val="20"/>
          <w:color w:val="auto"/>
        </w:rPr>
      </w:pPr>
    </w:p>
    <w:p>
      <w:pPr>
        <w:ind w:right="140" w:firstLine="360"/>
        <w:spacing w:after="0" w:line="290" w:lineRule="auto"/>
        <w:rPr>
          <w:sz w:val="20"/>
          <w:szCs w:val="20"/>
          <w:color w:val="auto"/>
        </w:rPr>
      </w:pPr>
      <w:r>
        <w:rPr>
          <w:rFonts w:ascii="Arial" w:cs="Arial" w:eastAsia="Arial" w:hAnsi="Arial"/>
          <w:sz w:val="16"/>
          <w:szCs w:val="16"/>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This competition may limit our future growth and earnings prospects.</w:t>
      </w:r>
    </w:p>
    <w:p>
      <w:pPr>
        <w:spacing w:after="0" w:line="152"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b w:val="1"/>
          <w:bCs w:val="1"/>
          <w:i w:val="1"/>
          <w:iCs w:val="1"/>
          <w:color w:val="auto"/>
        </w:rPr>
        <w:t>We may incur substantial costs and other negative effects due to litigation, investigations or similar matters, or adverse facts and developments related thereto, could materially affect our business, operating results and financial condition.</w:t>
      </w:r>
    </w:p>
    <w:p>
      <w:pPr>
        <w:spacing w:after="0" w:line="29"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We may be involved from time to time in a variety of litigation, investigations or similar matters arising out of our business. See “Business—Litigation” for further discussion of current litigation between the Bank and a townhome association and an owner of a townhome. It is inherently difficult to assess the outcome of these matters, and we may not prevail in proceedings or litigation. Our insurance may not cover all claims that may be asserted against us and indemnification rights to which we are entitled may not be honored,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the accounting principles generally accepted in the United States, or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in this prospectus,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68" w:lineRule="exact"/>
        <w:rPr>
          <w:sz w:val="20"/>
          <w:szCs w:val="20"/>
          <w:color w:val="auto"/>
        </w:rPr>
      </w:pPr>
    </w:p>
    <w:p>
      <w:pPr>
        <w:ind w:right="560"/>
        <w:spacing w:after="0" w:line="231"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we may not be able to report our financial results accurately and timely, in which case our business may be harmed, investors may lose confidence in the accuracy and completeness of our financial reports, we could be subject to regulatory penalties and the price of our common stock may decline.</w:t>
      </w:r>
    </w:p>
    <w:p>
      <w:pPr>
        <w:spacing w:after="0" w:line="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will be required to comply with the Sarbanes-Oxley Act and other rules that govern public companies. In particular, we will be required to certify our compliance with Section 404(a) of the Sarbanes-Oxley Act beginning with our second annual report on Form 10-K, which will require us to furnish annually a report by management on the effectiveness of our internal control over financial reporting. In addition, unless we remain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an emerging growth company and elect additional transitional relief available to emerging growth companies, our independent registered public accounting firm may be required to report on the effectiveness of our internal control over financial reporting beginning as of that second annual report on Form 10-K.</w:t>
      </w:r>
    </w:p>
    <w:p>
      <w:pPr>
        <w:spacing w:after="0" w:line="76" w:lineRule="exact"/>
        <w:rPr>
          <w:sz w:val="20"/>
          <w:szCs w:val="20"/>
          <w:color w:val="auto"/>
        </w:rPr>
      </w:pPr>
    </w:p>
    <w:p>
      <w:pPr>
        <w:ind w:right="60" w:firstLine="360"/>
        <w:spacing w:after="0" w:line="275" w:lineRule="auto"/>
        <w:rPr>
          <w:sz w:val="20"/>
          <w:szCs w:val="20"/>
          <w:color w:val="auto"/>
        </w:rPr>
      </w:pPr>
      <w:r>
        <w:rPr>
          <w:rFonts w:ascii="Arial" w:cs="Arial" w:eastAsia="Arial" w:hAnsi="Arial"/>
          <w:sz w:val="17"/>
          <w:szCs w:val="17"/>
          <w:color w:val="auto"/>
        </w:rPr>
        <w:t>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impact our earnings.</w:t>
      </w:r>
    </w:p>
    <w:p>
      <w:pPr>
        <w:spacing w:after="0" w:line="117"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w:t>
      </w:r>
    </w:p>
    <w:p>
      <w:pPr>
        <w:spacing w:after="0" w:line="15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53" w:lineRule="exact"/>
        <w:rPr>
          <w:sz w:val="20"/>
          <w:szCs w:val="20"/>
          <w:color w:val="auto"/>
        </w:rPr>
      </w:pPr>
    </w:p>
    <w:p>
      <w:pPr>
        <w:jc w:val="both"/>
        <w:ind w:right="100" w:firstLine="360"/>
        <w:spacing w:after="0" w:line="287" w:lineRule="auto"/>
        <w:rPr>
          <w:sz w:val="20"/>
          <w:szCs w:val="20"/>
          <w:color w:val="auto"/>
        </w:rPr>
      </w:pPr>
      <w:r>
        <w:rPr>
          <w:rFonts w:ascii="Arial" w:cs="Arial" w:eastAsia="Arial" w:hAnsi="Arial"/>
          <w:sz w:val="16"/>
          <w:szCs w:val="16"/>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117"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Until May 31, 2018, our Company was an S Corporation, and claims of taxing authorities related to our prior status as an S Corporation could harm us.</w:t>
      </w:r>
    </w:p>
    <w:p>
      <w:pPr>
        <w:spacing w:after="0" w:line="63"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Until May 31, 2018, our Company was an S Corporation. Effective May 31, 2018, the Company revoked its S Corporation election and the Company became taxed as a C Corporation under the provisions of Sections 301 to 385 of the Code (which treat the corporation as an entity that is subject to an entity level U.S. federal income tax). If the unaudited, open tax years in which we were an S Corporation are audited by the Internal Revenue Service, or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0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7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operate in a highly regulated environment and are subject to regulation, supervision and examination by a number of governmental regulatory agencies, including the Federal Reserve, the Texas Department of Banking, or TDB, and the FDIC. Regulations adopted by these agencies, which are generally intended to provide protection for depositors, customers and the Deposit Insurance Fund of the FDIC, or the DIF, rather than for the benefit of shareholders, govern a comprehensive range of matters relating to ownership and control of our shares, our acquisition of other companies and businesses, permissible activities for us to engage in, maintenance of adequate capital levels, dividend payments and other aspects of our operations.</w:t>
      </w:r>
    </w:p>
    <w:p>
      <w:pPr>
        <w:spacing w:after="0" w:line="70"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In 2010 and 2011, in response to the financial crisis and recession that began in 2008, significant regulatory and legislative changes resulted in broad reform and increased regulation affecting financial institutions. The Dodd-Frank and Wall Street Consumer Protection Act, or Dodd-Frank Act, has created a significant shift in the way financial institutions operate. The Dodd-Frank Act also created the Consumer Financial Protection Bureau, or CFPB, to implement consumer protection and fair lending laws, a function that was formerly performed by the depository institution regulators. The Dodd-Frank Act contains various provisions designed to enhance the regulation of depository institutions and prevent the recurrence of a financial crisis such as that which occurred in 2008 and 2009. The Dodd-Frank Act has had and may continue to have a material impact on our operations, particularly through increased regulatory burden and compliance costs. On May 24, 2018, the Economic Growth, Regulatory Relief, and Consumer Protection Act, or the EGRRCPA, became law. Among other things, the EGRRCPA changes certain of the regulatory requirements of the Dodd-Frank Act and includes provisions intended to relieve the regulatory burden on community banks. We cannot currently predict the impact of this legislation on us. Any future legislative changes could have a material impact on our profitability, the value of assets held for investment or the value of collateral for loans. Future legislative changes could also require changes to business practices and potentially expose us to additional costs, liabilities, enforcement action and reputational risk.</w:t>
      </w:r>
    </w:p>
    <w:p>
      <w:pPr>
        <w:spacing w:after="0" w:line="6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These bank regulators possess broad authority to prevent or remedy unsafe or unsound practices or violations of law. Following examinations, we may be required, among other things, to change our asset valuations or the amounts of required loan loss allowances or to restrict our operations, as well as increase our capital levels, which could adversely affect our results of operations. The laws and regulations applicable to the banking industry could change at any time and we cannot predict the effects of these changes on our business, profitability or growth strategy. Increased regulation could increase our cost of compliance and adversely affect profitability. Moreover, certain of these regulations contain significant punitive sanctions for violations, including monetary penalties and limitations on a bank’s ability to implement components of its business plan, such as expansion through mergers and acquisitions or the opening of new branch offices. In addition, changes in regulatory requirements may add costs associated with compliance efforts. Furthermore, government policy and regulation, particularly as implemented through the Federal Reserve, significantly affect credit conditions. Negative developments in the financial industry and the impact of new legislation and regulation in response to those developments could negatively impact our business operations and adversely impact our financial performance.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subject to commercial real estate lending guidance issued by the federal banking regulators that impacts our operations and capital requirements.</w:t>
      </w:r>
    </w:p>
    <w:p>
      <w:pPr>
        <w:spacing w:after="0" w:line="63"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federal bank regulators have issued final guidance regarding concentrations in commercial real estate lending directed at institutions that have concentrations of acquisition, development, and construction, or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Our ADC loans comprise 70.0% of the Bank’s capital, and our non-owner occupied commercial real estate loans comprise 206.4% of the Bank’s capital. Over the prior 36 months, our non-owner occupied commercial real estate loans have increased 8.6%.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39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 Proposed legislative and regulatory actions, including changes to financial regulation, may not occur on the timeframe that is expected, or at all, which could result in additional uncertainty for our business.</w:t>
      </w:r>
    </w:p>
    <w:p>
      <w:pPr>
        <w:spacing w:after="0" w:line="80"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We are subject to extensive regulation by multiple regulatory bodies. These regulations may affect the manner and terms of delivery of our services. If we do not comply with governmental regulations, we may be subject to fines, penalties, lawsuits or material restrictions on our businesses which may adversely affect our business operations. Changes in these regulations can significantly affect the services that we provide as well as our costs of compliance with such regulations. In addition, adverse publicity and damage to our reputation arising from the failure or perceived failure to comply with legal, regulatory or contractual requirements could affect our ability to attract and retain customers.</w:t>
      </w:r>
    </w:p>
    <w:p>
      <w:pPr>
        <w:spacing w:after="0" w:line="70" w:lineRule="exact"/>
        <w:rPr>
          <w:sz w:val="20"/>
          <w:szCs w:val="20"/>
          <w:color w:val="auto"/>
        </w:rPr>
      </w:pPr>
    </w:p>
    <w:p>
      <w:pPr>
        <w:ind w:right="100" w:firstLine="360"/>
        <w:spacing w:after="0" w:line="268" w:lineRule="auto"/>
        <w:rPr>
          <w:sz w:val="20"/>
          <w:szCs w:val="20"/>
          <w:color w:val="auto"/>
        </w:rPr>
      </w:pPr>
      <w:r>
        <w:rPr>
          <w:rFonts w:ascii="Arial" w:cs="Arial" w:eastAsia="Arial" w:hAnsi="Arial"/>
          <w:sz w:val="17"/>
          <w:szCs w:val="17"/>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 President Donald Trump issued an executive order directing the review of existing financial regulations. The Trump administration has also indicated in public statements that the Dodd-Frank Act will be under scrutiny and that some of its provisions and the rules promulgated thereunder may be revised, repealed or amended. In May 2018, Congress passed the EGRRCPA that provides for certain regulatory relief for community banks, including mortgage lending relief, treatment of reciprocal deposits and capital simplification.</w:t>
      </w:r>
    </w:p>
    <w:p>
      <w:pPr>
        <w:spacing w:after="0" w:line="7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13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Many of our new activities and expansion plans require regulatory approvals, and failure to obtain them may restrict our growth.</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As part of our growth strategy, we may expand our business by pursuing strategic acquisitions of financial institutions and other complementary businesses. Generally, we must receive federal regulatory approval before we can acquire an FDIC-insured depository institution or related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(including the acquiring institution’s record of compliance under the Community Reinvestment Act, or the CRA) and the effectiveness of the acquiring institution in combating money laundering activities.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w:t>
      </w:r>
    </w:p>
    <w:p>
      <w:pPr>
        <w:spacing w:after="0" w:line="74"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In addition to the acquisition of existing financial institutions,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the Company to commit capital resources to support the Bank.</w:t>
      </w:r>
    </w:p>
    <w:p>
      <w:pPr>
        <w:spacing w:after="0" w:line="117"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and may charge the Bank holding company with engaging in unsafe and unsound practices for failing to commit resources to such a subsidiary bank. A capital injection may be required at times when the holding company may not have the resources to provide and therefore may be required to borrow the funds or raise capital. Any loans by a holding company to its subsidiary bank are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w:t>
      </w:r>
    </w:p>
    <w:p>
      <w:pPr>
        <w:spacing w:after="0" w:line="7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Moreover, bankruptcy law provides that claims based on any such commitment will be entitled to a priority of payment over the claims of the institution’s general unsecured creditors, including the holders of its note obligations. Thus, any borrowing by the Company in order to make the required capital injection becomes more difficult and expensive and will adversely impact the Company’s financial condition, results of operations and/or future prospects.</w:t>
      </w:r>
    </w:p>
    <w:p>
      <w:pPr>
        <w:spacing w:after="0" w:line="17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As a regulated entity, we and the Bank must maintain certain required levels of regulatory capital that may limit our and the Bank’s operations and potential growth.</w:t>
      </w:r>
    </w:p>
    <w:p>
      <w:pPr>
        <w:spacing w:after="0" w:line="7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and Bank are subject to various regulatory capital requirements administered by the FDIC and the Federal Reserve, respectively. Failure to meet minimum capital requirements can initiate certain mandatory, and possibly additional discretionary actions by regulators that, if undertaken, could have a direct material effect on our financial statements and the Company’s consolidated financial statements. Under capital adequacy guidelines and the regulatory framework for prompt corrective action, we must meet specific capital guidelines that involve quantitative measures of our assets, liabilities and certain off-balance sheet commitments as calculated under these regulations.</w:t>
      </w:r>
    </w:p>
    <w:p>
      <w:pPr>
        <w:spacing w:after="0" w:line="84"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amounts and defined ratios of total and Tier 1 capital to risk-weighted assets and of Tier 1 capital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adjusted total assets, also known as the leverage ratio. As of December 31, 2017, we exceeded the amounts required to be well-capitalized with respect to all three required capital ratios. As of December 31, 2017, the Bank’s common equity Tier 1, Tier 1 leverage, Tier 1 risk-based capital and total risk-based capital ratios were 12.73%, 9.84%, 12.73% and 13.81%, respectively.</w:t>
      </w:r>
    </w:p>
    <w:p>
      <w:pPr>
        <w:spacing w:after="0" w:line="41"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Many factors affect the calculation of our risk-based assets and our ability to maintain the level of capital required to achieve acceptable capital ratios. For example, changes in risk weightings of assets relative to capital and other factors may combine to increase the amount of risk-weighted assets in the Tier 1 risk-based capital ratio and the total risk-based capital ratio.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w:t>
      </w:r>
    </w:p>
    <w:p>
      <w:pPr>
        <w:spacing w:after="0" w:line="7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federal banking regulators released a proposed rulemaking on November 21, 2018 that could, if enacted, provide certain banks and their holding companies with the option to substitute compliance with a community bank leverage ratio framework in lieu of the existing capital requirements. The Company will continue to monitor this rulemaking. If and when the rulemaking goes into effect, the Company and the Bank will consider whether it would be possible and advantageous at that time to substitute compliance with a community bank leverage ratio framework in lieu of the existing capital requirements. In any case, the prompt corrective action framework would still apply to the Bank. See “Supervision and Regulation—Regulatory Capital Requirements.”</w:t>
      </w:r>
    </w:p>
    <w:p>
      <w:pPr>
        <w:spacing w:after="0" w:line="56"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Our failure to remain well-capitalized for bank regulatory purposes, either under the existing capital requirements or under the proposed community bank leverage ratio framework, if applicable, could affect customer confidence, our ability to grow, our costs of funds and FDIC insurance costs, our ability to pay dividends to the Company and the Company’s ability to pay dividends on its common stock, the Company’s ability to make acquisitions and on our and the Company’s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17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74"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Our regulators periodically examine our business, including our compliance with laws and regulations. Accommodating such examinations may require management to reallocate resources, which could otherwise be used in the day-to-day operation of other aspects of our business.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17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74" w:lineRule="exact"/>
        <w:rPr>
          <w:sz w:val="20"/>
          <w:szCs w:val="20"/>
          <w:color w:val="auto"/>
        </w:rPr>
      </w:pPr>
    </w:p>
    <w:p>
      <w:pPr>
        <w:ind w:right="420" w:firstLine="360"/>
        <w:spacing w:after="0" w:line="259" w:lineRule="auto"/>
        <w:rPr>
          <w:sz w:val="20"/>
          <w:szCs w:val="20"/>
          <w:color w:val="auto"/>
        </w:rPr>
      </w:pPr>
      <w:r>
        <w:rPr>
          <w:rFonts w:ascii="Arial" w:cs="Arial" w:eastAsia="Arial" w:hAnsi="Arial"/>
          <w:sz w:val="18"/>
          <w:szCs w:val="18"/>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Monetary policy and other economic factors could affect our profitability adversely.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factors will affect the demand for loans and our ability to attract deposits:</w:t>
      </w:r>
    </w:p>
    <w:p>
      <w:pPr>
        <w:spacing w:after="0" w:line="117" w:lineRule="exact"/>
        <w:rPr>
          <w:sz w:val="20"/>
          <w:szCs w:val="20"/>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economic and monetary policies;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Code, and banking and credit regulations;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national, state and local economic growth rates;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employment rates;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population trends.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success depends in significant part upon our ability to maintain a sufficient net interest margin between the rates of interest we receive on loans and other investments and the rates we pay out on deposits and other liabilities. The monetary and economic factors listed above, and the need to pay rates sufficient to attract deposits, may adversely affect our ability to maintain an interest margin sufficient to result in operating profits.</w:t>
      </w:r>
    </w:p>
    <w:p>
      <w:pPr>
        <w:spacing w:after="0" w:line="17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Failure to maintain and implement adequate programs to combat money laundering and terrorist financing could have serious reputational consequences for us.</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Bank Secrecy Act, or BSA, the USA PATRIOT Act and other laws and regulations require financial institutions, among other duties, to institute and maintain effective anti-money laundering programs and file suspicious activity and currency transaction reports as appropriate. The federal Financial Crimes Enforcement Network, established by the U.S. Treasury to administer the BSA, is authorized to impose significant civil money penalties for violations of those requirements and has recently engaged in coordinated enforcement efforts with the individual federal bank regulators, as well as the U.S. Department of Justice, Drug Enforcement Administration and Internal Revenue Service. There is also increased scrutiny of compliance with the rules enforced by the OFAC. Federal and state bank regulators also have begun to focus on compliance with BSA and anti-money laundering regulations.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6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7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we could be negatively impacted by these laws. For example, our business is subject to the Gramm-Leach-Bliley Act which, among other things: (i) imposes certain limitations on our ability to share non-public personal information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we develop, implement and maintain a written comprehensive information security program containing safeguards appropriate based on our size and complexity, the nature and scope of our activities and the sensitivity of customer information we process, as well as plans for responding to data security breaches.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United States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4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increased risk under the terms of the CRA, as we accept additional deposits in new geographic markets.</w:t>
      </w:r>
    </w:p>
    <w:p>
      <w:pPr>
        <w:spacing w:after="0" w:line="11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we accept additional deposits in new geographic markets, we will be required to maintain an acceptable CRA rating.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Maintaining an acceptable CRA rating may become more difficult as our deposits increase across new geographic markets.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certain restrictions related to interstate banking and branching, including restrictions on interstate deposits.</w:t>
      </w:r>
    </w:p>
    <w:p>
      <w:pPr>
        <w:spacing w:after="0" w:line="1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Riegle-Neal Interstate Banking and Branching Efficiency Act of 1994, or Interstate Act, together with the Dodd-Frank Act, relaxed prior interstate branching restrictions under federal law by permitting, subject to regulatory approval, commercial banks to establish branches in states where the laws permit banks chartered in such states to establish branches. As discussed in this prospectus, the Bank operates branches in Texas and New Mexico. Federal banking agency regulations prohibit banks from using their interstate branches primarily for deposit production, and the federal banking agencies have implemented a loan-to-deposit ratio screen to ensure compliance with this prohibition, the purpose of which is to ensure that interstate branches do not take deposits from a community without the bank reasonably helping to meet the credit needs of that community.</w:t>
      </w:r>
    </w:p>
    <w:p>
      <w:pPr>
        <w:spacing w:after="0" w:line="58"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The prohibition on establishing interstate branches for the purpose of deposit production, and the corresponding regulatory loan-to-deposit restrictions, could limit our ability to establish branches outside Oklahoma. We believe that the Bank’s operations in Texas are in compliance with the Interstate Act in Texas. In addition, we believe that the Bank is reasonably helping to meet the credit needs of the communities served by the Bank’s New Mexico branches. If, however, the Federal Reserve were to determine that the Bank is not reasonably helping to meet the credit needs of the communities served by the Bank’s New Mexico branches, then the Federal Reserve could require the Bank’s New Mexico branches to be closed or not permit the Bank to open new branches in New Mexico.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federal and state fair lending laws, and failure to comply with these laws could lead to material penalties.</w:t>
      </w:r>
    </w:p>
    <w:p>
      <w:pPr>
        <w:spacing w:after="0" w:line="12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Federal and state fair lending laws and regulations, such as the Equal Credit Opportunity Act, or ECOA, and the Fair Housing Act, or FHA, impose nondiscriminatory lending requirements on financial institutions. The Department of Justice, CFPB and other federal and state agencies are responsible for enforcing these laws and regulations. Private parties may also have the ability to challenge an institution’s performance under fair lending laws in private class action litigation.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17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We may be subject to liability for potential violations of predatory lending laws, which could adversely impact our results of operations, financial condition and business.</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are found to have been originated in violation of predatory or abusive lending laws, we could incur losses, which could adversely impact our results of operations, financial condition and business.</w:t>
      </w:r>
    </w:p>
    <w:p>
      <w:pPr>
        <w:spacing w:after="0" w:line="15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Regulatory agencies and consumer advocacy groups have asserted claims that the practices of lenders and loan servicers result in a disparate impact on protected classes.</w:t>
      </w:r>
    </w:p>
    <w:p>
      <w:pPr>
        <w:spacing w:after="0" w:line="7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w:t>
      </w:r>
    </w:p>
    <w:p>
      <w:pPr>
        <w:spacing w:after="0" w:line="84"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69"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 addition to reputational harm, violations of FHA and ECOA can result in actual damages, punitive damages, injunctive or equitable relief, attorneys’ fees and civil money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10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There has been no prior active trading market for our common stock, and we cannot assure you that an active public trading market will develop after the offering; and, even if it does, our share price may trade below the public offering price and be subject to substantial volatility.</w:t>
      </w:r>
    </w:p>
    <w:p>
      <w:pPr>
        <w:spacing w:after="0" w:line="80" w:lineRule="exact"/>
        <w:rPr>
          <w:sz w:val="20"/>
          <w:szCs w:val="20"/>
          <w:color w:val="auto"/>
        </w:rPr>
      </w:pPr>
    </w:p>
    <w:p>
      <w:pPr>
        <w:ind w:right="220" w:firstLine="360"/>
        <w:spacing w:after="0" w:line="291" w:lineRule="auto"/>
        <w:rPr>
          <w:sz w:val="20"/>
          <w:szCs w:val="20"/>
          <w:color w:val="auto"/>
        </w:rPr>
      </w:pPr>
      <w:r>
        <w:rPr>
          <w:rFonts w:ascii="Arial" w:cs="Arial" w:eastAsia="Arial" w:hAnsi="Arial"/>
          <w:sz w:val="16"/>
          <w:szCs w:val="16"/>
          <w:color w:val="auto"/>
        </w:rPr>
        <w:t>There has been no public market for our common stock prior to this offering. We cannot predict the extent to which investor interest in our Company will lead to the development of an active trading market on the NASDAQ Global Select Market or otherwise, or how liquid that market may become, especially if few stock analysts follow our stock or issue research reports concerning our business. In addition, more than 50% of our outstanding shares will be restricted from trading for a period of 180 days after the date of this prospectus, resulting in a limited number of our shares available to be traded in the public market. If an active trading market does not develop, you may have difficulty selling any shares that you buy in this offering. Neither the underwriters nor any other market maker in our common stock will be obligated to make a market in our shares,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and any such market making may be discontinued at any time in the sole discretion of each market maker. The initial public offering price for our common stock has been determined through negotiations between us, the selling shareholders and the underwriters and may not be indicative of prices that will prevail in the open market following this offering. Consequently, you may not be able to sell your shares of common stock at or above the public offering price or at any other price or at the time that you would like to sell. An inactive market may also impair our ability to raise capital by selling our common stock and may impair our ability to expand our business by using our common stock as consideration in an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could be volatile following this offering.</w:t>
      </w:r>
    </w:p>
    <w:p>
      <w:pPr>
        <w:spacing w:after="0" w:line="117"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Even if a market develops for our common stock after the offering, the market price of our common stock may be volatile and could be subject to wide fluctuations in price in response to various factors, some of which are beyond our control. These factors include, among other things:</w:t>
      </w:r>
    </w:p>
    <w:p>
      <w:pPr>
        <w:spacing w:after="0" w:line="76" w:lineRule="exact"/>
        <w:rPr>
          <w:sz w:val="20"/>
          <w:szCs w:val="20"/>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or annual results of operations;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 generally;</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in the banking industry such as credit quality and monetary policies;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perceptions in the marketplace regarding us or our competitors;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market conditions and, in particular, developments related to market conditions for the financial services industry;</w:t>
      </w:r>
    </w:p>
    <w:p>
      <w:pPr>
        <w:spacing w:after="0" w:line="140" w:lineRule="exact"/>
        <w:rPr>
          <w:rFonts w:ascii="Arial" w:cs="Arial" w:eastAsia="Arial" w:hAnsi="Arial"/>
          <w:sz w:val="16"/>
          <w:szCs w:val="16"/>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have broad discretion as to the use of the net proceeds from this offering, and we may not use the proceeds effectively.</w:t>
      </w:r>
    </w:p>
    <w:p>
      <w:pPr>
        <w:spacing w:after="0" w:line="1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are not required to apply any portion of the net proceeds of this offering for any particular purpose. Accordingly, our management will have broad discretion as to the application of the net proceeds of this offering and could use them for purposes other than those contemplated at the time of this offering. Our shareholders may not agree with the manner in which our management chooses to allocate and spend the net proceeds. A portion of the proceeds may be used to provide additional capital as a cushion against minimum regulatory capital requirements, which may reduce our return on equity as opposed to if such proceeds were used for further growth. Moreover, our management may use the net proceeds for corporate purposes that may not increase our market value or profitability. We cannot predict whether the proceeds from this offering will be invested to yield a favorable return.</w:t>
      </w:r>
    </w:p>
    <w:p>
      <w:pPr>
        <w:spacing w:after="0" w:line="15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 which will increase our costs of operations and may divert focus from our business operations.</w:t>
      </w:r>
    </w:p>
    <w:p>
      <w:pPr>
        <w:spacing w:after="0" w:line="7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As a public company, we will face increased legal, accounting, administrative and other costs and expenses that we have not incurred as a private company, particularly after we no longer qualify as an emerging growth company. After the completion of this offering, we will be subject to the reporting requirements of the Exchange Act, which requires that we file annual, quarterly and current reports with respect to our business and financial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condition and proxy and other information statements, and the rules and regulations implemented by the Securities and Exchange Commission, or the SEC, the Sarbanes-Oxley Act, the Dodd-Frank Act, the Public Company Accounting Oversight Board and the NASDAQ Global Select Market, each of which imposes additional reporting and other obligations on public companies. As a public company, compliance with these reporting requirements and other SEC and the NASDAQ Global Select Market rules will make certain operating activities more time-consuming, and we will also incur significant new legal, accounting, insurance and other expenses. Furthermore, the need to establish the corporate infrastructure demanded of a public company may divert management’s attention from implementing our operating strategy, which could prevent us from successfully implementing our strategic initiatives and improving our results of operations. We have made, and will continue to make, changes to our internal controls and procedures for financial reporting and accounting systems to meet our reporting obligations as a public company. However, we cannot predict or estimate the amount of additional costs we may incur in order to comply with these requirements. We anticipate that these costs will materially increase our general and administrative expenses and such increases will reduce our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analysts may not initiate or continue coverage on us.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analysts publish about us and our business. We do not have any control over these securities analysts, and they may not cover us. If one or more of these analysts cease to cover us or fail to publish regular reports on us, we could lose visibility in the financial markets, which could cause the price or trading volume of our common stock to decline. If we are covered by securities analysts and are the subject of an unfavorable report, the price of our common stock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of the shares you purchase in this offering.</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Investors purchasing common stock in this offering will pay more for their shares than the amount paid by existing</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who acquired shares prior to this offering. You will incur immediate dilution of approximately $ per share if you purchase common stock in this offering, representing the difference between the initial public offering price of $ per share and our adjusted tangible book value per share after giving effect to this offering.</w:t>
      </w:r>
    </w:p>
    <w:p>
      <w:pPr>
        <w:spacing w:after="0" w:line="17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Shares of certain shareholders may be sold into the public market in the near future. This could cause the market price of our common stock to drop significantly.</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connection with this offering, we, our directors, our executive officers and certain of our principal shareholders have each agreed to enter into lock-up agreements that restrict the sale of their holdings of our common stock for a period of 180 days after the date of this prospectus, subject to an extension in certain circumstances. When these lock-up agreements expire, these shares and the shares underlying any options held by these individuals will become eligible for sale, in some cases subject only to the volume, manner of sale and notice requirements of Rule 144 under the Securities Act of 1933, as amended, or the Securities Act. In addition, we estimate that immediately following this offering, approximately % of our outstanding common stock will be beneficially owned by our principal shareholders, executive officers and directors. The substantial amount of common stock that is owned by and issuable to certain of our principal shareholders, executive officers and directors may adversely affect our share price, our share price volatility and the development of an active and liquid trading market. The sale of these shares could impair our ability to raise capital through the sale of additional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equity issuances could result in dilution, which could cause the price of our shares of common stock to decline.</w:t>
      </w:r>
    </w:p>
    <w:p>
      <w:pPr>
        <w:spacing w:after="0" w:line="12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We are generally not restricted from issuing additional shares of common stock, up to the 30,000,000 shares of voting common stock and 1,000,000 shares of preferred stock authorized in our certificate of formation. In addition, in connection with this offering, our board of directors has approved a special, one-time equity grant under our 2019 Plan to certain of our employees having an</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aggregate fair market value of approximately $ million (based on the initial offering price) to be effective following this offering. See “Executive compensation—Equity Awards in Connection with this Offering” for a further discussion of these awards. We may issue additional shares of our common stock in the future pursuant to current or future equity compensation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plans, upon conversions of preferred stock or debt, upon exercise of warrants or in connection with future acquisitions or financings.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17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7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Although there are currently no shares of our preferred stock outstanding, our certificate of formation authorizes us to issue up to 1,000,000 shares of one or more series of preferred stock. The board of directors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executive officers and principal shareholders have significant control over our business.</w:t>
      </w:r>
    </w:p>
    <w:p>
      <w:pPr>
        <w:spacing w:after="0" w:line="115"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As of December 31, 2018, our directors, executive officers and principal shareholders beneficially owned an aggregate of 5,626,560 shares of our common stock, or approximately 37.2% of our issued and outstanding shares of common stock. Following</w:t>
      </w:r>
    </w:p>
    <w:p>
      <w:pPr>
        <w:ind w:right="300"/>
        <w:spacing w:after="0" w:line="281" w:lineRule="auto"/>
        <w:rPr>
          <w:sz w:val="20"/>
          <w:szCs w:val="20"/>
          <w:color w:val="auto"/>
        </w:rPr>
      </w:pPr>
      <w:r>
        <w:rPr>
          <w:rFonts w:ascii="Arial" w:cs="Arial" w:eastAsia="Arial" w:hAnsi="Arial"/>
          <w:sz w:val="16"/>
          <w:szCs w:val="16"/>
          <w:color w:val="auto"/>
        </w:rPr>
        <w:t>the completion of this offering, that same group will beneficially own in the aggregate approximately % of our outstanding common stock (or % if the underwriters exercise in full their option to purchase additional shares), excluding any shares that</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may be purchased in this offering by our directors and executive officers through the directed share program described in “Underwriting—Directed Share Program.” Consequently, our directors, executive officers and principal shareholders will be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6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addition, pursuant to a separate Board Representation Agreement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 We do not expect the governance rights under the Board Representation Agreement to terminate in connection with this offering. See “Certain Relationships and Related Party Transactions—Board Representation Agreement”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the circumstances in which our directors will be liable for monetary damages.</w:t>
      </w:r>
    </w:p>
    <w:p>
      <w:pPr>
        <w:spacing w:after="0" w:line="117"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We have included in our certificate of formation a provision to eliminate the liability of directors for monetary damages to the maximum extent permitted by Texas law. The effect of this provision will be to reduce the situations in which we or our shareholders will be able to seek monetary damages from our directors.</w:t>
      </w:r>
    </w:p>
    <w:p>
      <w:pPr>
        <w:spacing w:after="0" w:line="76"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certificate of formation also has a provision providing for indemnification of our directors and executive officers and advancement of expenses to the fullest extent permitted or required by Texas law, including circumstances in which indemnification is otherwise discretionary. We have also entered into agreements with our officers and directors in which we similarly agree to provide indemnification that is otherwise discretionary. Such indemnification may be available for liabilities arising in connection with this offering.</w:t>
      </w:r>
    </w:p>
    <w:p>
      <w:pPr>
        <w:spacing w:after="0" w:line="17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7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Our bylaws have an exclusive forum provision providing that, unless we consent in writing to an alternative forum, the state or federal courts for the Northern District of Texas are the sole and exclusive forum for (i)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Texas Business Organizations Code, or TBOC, the certificate of formation or the bylaws or (iv) any action asserting a claim governed by the internal affairs doctrine, in each case subject to said courts having personal jurisdiction over the indispensable parties named as defendants therein. Any person purchasing or otherwise acquiring any interest in any shares of our capital stock will be deemed to have notice of and to have consented to this provision of our certificate of formation.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dividend policy may change without notice, and our future ability to pay dividends is subject to restrictions.</w:t>
      </w:r>
    </w:p>
    <w:p>
      <w:pPr>
        <w:spacing w:after="0" w:line="115"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Holders of our common stock are entitled to receive only such cash dividends as our board of directors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of directors.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w:t>
      </w:r>
    </w:p>
    <w:p>
      <w:pPr>
        <w:spacing w:after="0" w:line="6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Federal Reserve has indicated that bank holding companies should carefully review their dividend policy in relation to the organization’s overall asset quality, current and prospective earnings and level, composition and quality of capital. The guidance provides that we inform and consult with the Federal Reserve prior to declaring and paying a dividend that exceeds earnings for the period for which the dividend is being paid or that could result in an adverse change to our capital structure, including interest on any debt obligations.</w:t>
      </w:r>
    </w:p>
    <w:p>
      <w:pPr>
        <w:spacing w:after="0" w:line="80"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If required payments on our debt obligations are not made, or dividends on any preferred stock we may issue are not paid, we will be prohibited from paying dividends on our common stock.</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are a bank holding company and our only source of cash, other than further issuances of securities, is distributions from the Bank.</w:t>
      </w:r>
    </w:p>
    <w:p>
      <w:pPr>
        <w:spacing w:after="0" w:line="75"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considerations. As is the case with all financial institutions, the profitability of the Bank is subject to the fluctuating cost and availability of money, changes in interest rates and in economic conditions in general. In addition, various federal and state statutes limit the amount of dividends that the Bank may pay to the Company without regulatory approval.</w:t>
      </w:r>
    </w:p>
    <w:p>
      <w:pPr>
        <w:spacing w:after="0" w:line="16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requirements applicable to emerging growth companies may make our common stock less attractive to investors.</w:t>
      </w:r>
    </w:p>
    <w:p>
      <w:pPr>
        <w:spacing w:after="0" w:line="75"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The JOBS Act also permits an “emerging growth company” such as us to take advantage of an extended transition period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 and provide less than five years of selected financial data in this prospectus.</w:t>
      </w:r>
    </w:p>
    <w:p>
      <w:pPr>
        <w:spacing w:after="0" w:line="49"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may take advantage of these provisions for up to five years,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We cannot predict if investors will find our common stock less attractive because we may rely on these exemptions, or if we choose to rely on additional exemptions in the future. If some investors find our common stock less attractive as a result, there may be a less active trading market for our common stock and our share price may be more volatile.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Your investment in our common stock will not be a bank deposit and, therefore, will not be insured against loss or guaranteed by the FDIC, any deposit insurance fund or by any other public or private entity. Investment in our common stock is inherently risky for the reasons described herein, and is subject to similar market forces that may affect the price of common stock in any other company. As a result, if you acquire our common stock, you could lose some or all of your investment.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right="100" w:firstLine="360"/>
        <w:spacing w:after="0" w:line="285" w:lineRule="auto"/>
        <w:rPr>
          <w:sz w:val="20"/>
          <w:szCs w:val="20"/>
          <w:color w:val="auto"/>
        </w:rPr>
      </w:pPr>
      <w:r>
        <w:rPr>
          <w:rFonts w:ascii="Arial" w:cs="Arial" w:eastAsia="Arial" w:hAnsi="Arial"/>
          <w:sz w:val="16"/>
          <w:szCs w:val="16"/>
          <w:color w:val="auto"/>
        </w:rPr>
        <w:t>This prospectus contains forward-looking statements.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70"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ind w:left="700" w:right="6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62" w:lineRule="exact"/>
        <w:rPr>
          <w:rFonts w:ascii="Arial" w:cs="Arial" w:eastAsia="Arial" w:hAnsi="Arial"/>
          <w:sz w:val="18"/>
          <w:szCs w:val="18"/>
          <w:color w:val="auto"/>
        </w:rPr>
      </w:pPr>
    </w:p>
    <w:p>
      <w:pPr>
        <w:ind w:left="700" w:right="56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117" w:lineRule="exact"/>
        <w:rPr>
          <w:rFonts w:ascii="Arial" w:cs="Arial" w:eastAsia="Arial" w:hAnsi="Arial"/>
          <w:sz w:val="18"/>
          <w:szCs w:val="18"/>
          <w:color w:val="auto"/>
        </w:rPr>
      </w:pPr>
    </w:p>
    <w:p>
      <w:pPr>
        <w:ind w:left="700" w:right="26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62" w:lineRule="exact"/>
        <w:rPr>
          <w:rFonts w:ascii="Arial" w:cs="Arial" w:eastAsia="Arial" w:hAnsi="Arial"/>
          <w:sz w:val="18"/>
          <w:szCs w:val="18"/>
          <w:color w:val="auto"/>
        </w:rPr>
      </w:pPr>
    </w:p>
    <w:p>
      <w:pPr>
        <w:ind w:left="700" w:right="8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62" w:lineRule="exact"/>
        <w:rPr>
          <w:rFonts w:ascii="Arial" w:cs="Arial" w:eastAsia="Arial" w:hAnsi="Arial"/>
          <w:sz w:val="18"/>
          <w:szCs w:val="18"/>
          <w:color w:val="auto"/>
        </w:rPr>
      </w:pPr>
    </w:p>
    <w:p>
      <w:pPr>
        <w:ind w:left="700" w:right="28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spacing w:after="0" w:line="62" w:lineRule="exact"/>
        <w:rPr>
          <w:rFonts w:ascii="Arial" w:cs="Arial" w:eastAsia="Arial" w:hAnsi="Arial"/>
          <w:sz w:val="18"/>
          <w:szCs w:val="18"/>
          <w:color w:val="auto"/>
        </w:rPr>
      </w:pPr>
    </w:p>
    <w:p>
      <w:pPr>
        <w:ind w:left="700" w:right="22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the significant amount of credit that we have extended to a limited number of borrowers and in a limited geographic area;</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117" w:lineRule="exact"/>
        <w:rPr>
          <w:rFonts w:ascii="Arial" w:cs="Arial" w:eastAsia="Arial" w:hAnsi="Arial"/>
          <w:sz w:val="18"/>
          <w:szCs w:val="18"/>
          <w:color w:val="auto"/>
        </w:rPr>
      </w:pPr>
    </w:p>
    <w:p>
      <w:pPr>
        <w:ind w:left="700" w:right="20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when implementing new technologies;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117" w:lineRule="exact"/>
        <w:rPr>
          <w:rFonts w:ascii="Arial" w:cs="Arial" w:eastAsia="Arial" w:hAnsi="Arial"/>
          <w:sz w:val="18"/>
          <w:szCs w:val="18"/>
          <w:color w:val="auto"/>
        </w:rPr>
      </w:pPr>
    </w:p>
    <w:p>
      <w:pPr>
        <w:ind w:left="700" w:right="58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62" w:lineRule="exact"/>
        <w:rPr>
          <w:rFonts w:ascii="Arial" w:cs="Arial" w:eastAsia="Arial" w:hAnsi="Arial"/>
          <w:sz w:val="18"/>
          <w:szCs w:val="18"/>
          <w:color w:val="auto"/>
        </w:rPr>
      </w:pPr>
    </w:p>
    <w:p>
      <w:pPr>
        <w:ind w:left="700" w:right="16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62" w:lineRule="exact"/>
        <w:rPr>
          <w:rFonts w:ascii="Arial" w:cs="Arial" w:eastAsia="Arial" w:hAnsi="Arial"/>
          <w:sz w:val="18"/>
          <w:szCs w:val="18"/>
          <w:color w:val="auto"/>
        </w:rPr>
      </w:pPr>
    </w:p>
    <w:p>
      <w:pPr>
        <w:ind w:left="700" w:right="26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severe weather, acts of god, acts of war or terrorism;</w:t>
      </w:r>
    </w:p>
    <w:p>
      <w:pPr>
        <w:spacing w:after="0" w:line="117" w:lineRule="exact"/>
        <w:rPr>
          <w:rFonts w:ascii="Arial" w:cs="Arial" w:eastAsia="Arial" w:hAnsi="Arial"/>
          <w:sz w:val="18"/>
          <w:szCs w:val="18"/>
          <w:color w:val="auto"/>
        </w:rPr>
      </w:pPr>
    </w:p>
    <w:p>
      <w:pPr>
        <w:ind w:left="700" w:right="2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w:t>
      </w:r>
    </w:p>
    <w:p>
      <w:pPr>
        <w:spacing w:after="0" w:line="62" w:lineRule="exact"/>
        <w:rPr>
          <w:rFonts w:ascii="Arial" w:cs="Arial" w:eastAsia="Arial" w:hAnsi="Arial"/>
          <w:sz w:val="18"/>
          <w:szCs w:val="18"/>
          <w:color w:val="auto"/>
        </w:rPr>
      </w:pPr>
    </w:p>
    <w:p>
      <w:pPr>
        <w:ind w:left="700" w:right="180" w:hanging="344"/>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Federal Reserve and as a result of initiatives of the Trump administration; and</w:t>
      </w:r>
    </w:p>
    <w:p>
      <w:pPr>
        <w:spacing w:after="0" w:line="75"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other factors that are discussed in the section entitled “Risk Factors,” beginning on page </w:t>
      </w:r>
      <w:hyperlink w:anchor="page20">
        <w:r>
          <w:rPr>
            <w:rFonts w:ascii="Arial" w:cs="Arial" w:eastAsia="Arial" w:hAnsi="Arial"/>
            <w:sz w:val="18"/>
            <w:szCs w:val="18"/>
            <w:u w:val="single" w:color="auto"/>
            <w:color w:val="0000EE"/>
          </w:rPr>
          <w:t>13</w:t>
        </w:r>
      </w:hyperlink>
      <w:r>
        <w:rPr>
          <w:rFonts w:ascii="Arial" w:cs="Arial" w:eastAsia="Arial" w:hAnsi="Arial"/>
          <w:sz w:val="18"/>
          <w:szCs w:val="18"/>
          <w:color w:val="auto"/>
        </w:rPr>
        <w:t>.</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prospectus. Because of these risks and other uncertainties, our actual future results, performance or achievements, or industry results, may be materially different from the results indicated by the forward-looking statements in this prospectus.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 $ million, based on an assumed public offering price of $ per share (the midpoint of the price range set forth on the cover page of this prospectus). Each $1.00 increase or decrease in the assumed public offering price of $</w:t>
      </w:r>
    </w:p>
    <w:p>
      <w:pPr>
        <w:spacing w:after="0" w:line="2" w:lineRule="exact"/>
        <w:rPr>
          <w:sz w:val="20"/>
          <w:szCs w:val="20"/>
          <w:color w:val="auto"/>
        </w:rPr>
      </w:pPr>
    </w:p>
    <w:p>
      <w:pPr>
        <w:ind w:right="460" w:firstLine="270"/>
        <w:spacing w:after="0" w:line="260" w:lineRule="auto"/>
        <w:rPr>
          <w:sz w:val="20"/>
          <w:szCs w:val="20"/>
          <w:color w:val="auto"/>
        </w:rPr>
      </w:pPr>
      <w:r>
        <w:rPr>
          <w:rFonts w:ascii="Arial" w:cs="Arial" w:eastAsia="Arial" w:hAnsi="Arial"/>
          <w:sz w:val="18"/>
          <w:szCs w:val="18"/>
          <w:color w:val="auto"/>
        </w:rPr>
        <w:t>per share would increase or decrease the net proceeds to us from this offering by approximately $ million. We will not receive any proceeds from the sale of shares of our common stock by the selling shareholders.</w:t>
      </w:r>
    </w:p>
    <w:p>
      <w:pPr>
        <w:spacing w:after="0" w:line="77" w:lineRule="exact"/>
        <w:rPr>
          <w:sz w:val="20"/>
          <w:szCs w:val="20"/>
          <w:color w:val="auto"/>
        </w:rPr>
      </w:pPr>
    </w:p>
    <w:p>
      <w:pPr>
        <w:ind w:left="360"/>
        <w:spacing w:after="0"/>
        <w:tabs>
          <w:tab w:leader="none" w:pos="8100" w:val="left"/>
        </w:tabs>
        <w:rPr>
          <w:sz w:val="20"/>
          <w:szCs w:val="20"/>
          <w:color w:val="auto"/>
        </w:rPr>
      </w:pPr>
      <w:r>
        <w:rPr>
          <w:rFonts w:ascii="Arial" w:cs="Arial" w:eastAsia="Arial" w:hAnsi="Arial"/>
          <w:sz w:val="18"/>
          <w:szCs w:val="18"/>
          <w:color w:val="auto"/>
        </w:rPr>
        <w:t>We intend to use the net proceeds to us from this offering, which we estimate to be approximately $</w:t>
      </w:r>
      <w:r>
        <w:rPr>
          <w:sz w:val="20"/>
          <w:szCs w:val="20"/>
          <w:color w:val="auto"/>
        </w:rPr>
        <w:tab/>
      </w:r>
      <w:r>
        <w:rPr>
          <w:rFonts w:ascii="Arial" w:cs="Arial" w:eastAsia="Arial" w:hAnsi="Arial"/>
          <w:sz w:val="17"/>
          <w:szCs w:val="17"/>
          <w:color w:val="auto"/>
        </w:rPr>
        <w:t>million (after</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deducting underwriting discounts and the estimated offering expenses) to support future growth of our business, including through strategic acquisitions and organic growth, and for general corporate purposes.</w:t>
      </w:r>
    </w:p>
    <w:p>
      <w:pPr>
        <w:spacing w:after="0" w:line="7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Our management will retain broad discretion to allocate the net proceeds of this offering. The precise amounts and timing of our use of the proceeds will depend upon market conditions and other factors.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shows the Company’s capitalization, including regulatory capital ratios, on a consolidated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on:</w:t>
      </w:r>
    </w:p>
    <w:p>
      <w:pPr>
        <w:spacing w:after="0" w:line="103" w:lineRule="exact"/>
        <w:rPr>
          <w:sz w:val="20"/>
          <w:szCs w:val="20"/>
          <w:color w:val="auto"/>
        </w:rPr>
      </w:pPr>
    </w:p>
    <w:p>
      <w:pPr>
        <w:ind w:left="700" w:hanging="34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pro forma basis, assuming that the ESOP Repurchase Right Termination occurred as of December 31, 2017; and</w:t>
      </w:r>
    </w:p>
    <w:p>
      <w:pPr>
        <w:spacing w:after="0" w:line="128" w:lineRule="exact"/>
        <w:rPr>
          <w:rFonts w:ascii="Arial" w:cs="Arial" w:eastAsia="Arial" w:hAnsi="Arial"/>
          <w:sz w:val="17"/>
          <w:szCs w:val="17"/>
          <w:color w:val="auto"/>
        </w:rPr>
      </w:pPr>
    </w:p>
    <w:p>
      <w:pPr>
        <w:ind w:left="700" w:right="180" w:hanging="344"/>
        <w:spacing w:after="0" w:line="291"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 forma as adjusted basis giving effect to the ESOP Repurchase Right Termination and the sale of shares of common stock by us in this offering and the receipt of the net proceeds from the sale of these shares, at an assumed initial public</w:t>
      </w:r>
    </w:p>
    <w:p>
      <w:pPr>
        <w:ind w:left="700" w:right="440"/>
        <w:spacing w:after="0" w:line="290" w:lineRule="auto"/>
        <w:rPr>
          <w:rFonts w:ascii="Arial" w:cs="Arial" w:eastAsia="Arial" w:hAnsi="Arial"/>
          <w:sz w:val="16"/>
          <w:szCs w:val="16"/>
          <w:color w:val="auto"/>
        </w:rPr>
      </w:pPr>
      <w:r>
        <w:rPr>
          <w:rFonts w:ascii="Arial" w:cs="Arial" w:eastAsia="Arial" w:hAnsi="Arial"/>
          <w:sz w:val="17"/>
          <w:szCs w:val="17"/>
          <w:color w:val="auto"/>
        </w:rPr>
        <w:t>offering price of $ per share, the midpoint of the price range set forth on the cover page of this prospectus, after deducting the underwriting discounts and commissions and estimated offering expenses payable by us.</w:t>
      </w:r>
    </w:p>
    <w:p>
      <w:pPr>
        <w:spacing w:after="0" w:line="53"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The “as adjusted” information below is illustrative only, and our capitalization following the closing of this offering will be adjusted based on the actual public offering price and other terms of this offering determined at pricing. You should read the following table in conjunction with the sections titled “Selected Historical Consolidated Financial and Operating Information” and “Management’s Discussion and Analysis of Financial Condition and Results of Operations,” and our consolidated financial statements and related notes appearing elsewhere in this prospectus.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801"/>
              <w:spacing w:after="0"/>
              <w:rPr>
                <w:sz w:val="20"/>
                <w:szCs w:val="20"/>
                <w:color w:val="auto"/>
              </w:rPr>
            </w:pPr>
            <w:r>
              <w:rPr>
                <w:rFonts w:ascii="Arial" w:cs="Arial" w:eastAsia="Arial" w:hAnsi="Arial"/>
                <w:sz w:val="14"/>
                <w:szCs w:val="14"/>
                <w:b w:val="1"/>
                <w:bCs w:val="1"/>
                <w:color w:val="auto"/>
                <w:w w:val="92"/>
              </w:rPr>
              <w:t>As of December 31, 2017</w:t>
            </w:r>
          </w:p>
        </w:tc>
        <w:tc>
          <w:tcPr>
            <w:tcW w:w="160" w:type="dxa"/>
            <w:vAlign w:val="bottom"/>
          </w:tcPr>
          <w:p>
            <w:pPr>
              <w:spacing w:after="0"/>
              <w:rPr>
                <w:sz w:val="14"/>
                <w:szCs w:val="14"/>
                <w:color w:val="auto"/>
              </w:rPr>
            </w:pPr>
          </w:p>
        </w:tc>
      </w:tr>
      <w:tr>
        <w:trPr>
          <w:trHeight w:val="173"/>
        </w:trPr>
        <w:tc>
          <w:tcPr>
            <w:tcW w:w="36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Pro Forma</w:t>
            </w:r>
          </w:p>
        </w:tc>
      </w:tr>
      <w:tr>
        <w:trPr>
          <w:trHeight w:val="162"/>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As Adjusted</w:t>
            </w:r>
          </w:p>
        </w:tc>
      </w:tr>
      <w:tr>
        <w:trPr>
          <w:trHeight w:val="17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7"/>
              </w:rPr>
              <w:t>Pro Forma</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w w:val="98"/>
              </w:rPr>
              <w:t>for Offering</w:t>
            </w:r>
          </w:p>
        </w:tc>
        <w:tc>
          <w:tcPr>
            <w:tcW w:w="160" w:type="dxa"/>
            <w:vAlign w:val="bottom"/>
          </w:tcPr>
          <w:p>
            <w:pPr>
              <w:spacing w:after="0"/>
              <w:rPr>
                <w:sz w:val="14"/>
                <w:szCs w:val="14"/>
                <w:color w:val="auto"/>
              </w:rPr>
            </w:pPr>
          </w:p>
        </w:tc>
      </w:tr>
      <w:tr>
        <w:trPr>
          <w:trHeight w:val="196"/>
        </w:trPr>
        <w:tc>
          <w:tcPr>
            <w:tcW w:w="3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(Dollars in thousands, except per share data)</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2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20,887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20,887</w:t>
            </w:r>
          </w:p>
        </w:tc>
        <w:tc>
          <w:tcPr>
            <w:tcW w:w="240" w:type="dxa"/>
            <w:vAlign w:val="bottom"/>
          </w:tcPr>
          <w:p>
            <w:pPr>
              <w:spacing w:after="0"/>
              <w:rPr>
                <w:sz w:val="20"/>
                <w:szCs w:val="20"/>
                <w:color w:val="auto"/>
              </w:rPr>
            </w:pPr>
          </w:p>
        </w:tc>
        <w:tc>
          <w:tcPr>
            <w:tcW w:w="1140" w:type="dxa"/>
            <w:vAlign w:val="bottom"/>
          </w:tcPr>
          <w:p>
            <w:pPr>
              <w:jc w:val="right"/>
              <w:ind w:right="961"/>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r>
      <w:tr>
        <w:trPr>
          <w:trHeight w:val="249"/>
        </w:trPr>
        <w:tc>
          <w:tcPr>
            <w:tcW w:w="3620" w:type="dxa"/>
            <w:vAlign w:val="bottom"/>
            <w:shd w:val="clear" w:color="auto" w:fill="CCEEFF"/>
          </w:tcPr>
          <w:p>
            <w:pPr>
              <w:ind w:left="180"/>
              <w:spacing w:after="0" w:line="249" w:lineRule="exact"/>
              <w:rPr>
                <w:sz w:val="20"/>
                <w:szCs w:val="20"/>
                <w:color w:val="auto"/>
              </w:rPr>
            </w:pPr>
            <w:r>
              <w:rPr>
                <w:rFonts w:ascii="Arial" w:cs="Arial" w:eastAsia="Arial" w:hAnsi="Arial"/>
                <w:sz w:val="17"/>
                <w:szCs w:val="17"/>
                <w:color w:val="auto"/>
              </w:rPr>
              <w:t>Trust preferred securities</w:t>
            </w:r>
            <w:r>
              <w:rPr>
                <w:rFonts w:ascii="Arial" w:cs="Arial" w:eastAsia="Arial" w:hAnsi="Arial"/>
                <w:sz w:val="28"/>
                <w:szCs w:val="28"/>
                <w:color w:val="auto"/>
                <w:vertAlign w:val="superscript"/>
              </w:rPr>
              <w:t>(1)</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45,000</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43"/>
        </w:trPr>
        <w:tc>
          <w:tcPr>
            <w:tcW w:w="3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color w:val="auto"/>
              </w:rPr>
              <w:t>ESOP-owned shares</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57,121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3620" w:type="dxa"/>
            <w:vAlign w:val="bottom"/>
            <w:shd w:val="clear" w:color="auto" w:fill="CCEEFF"/>
          </w:tcPr>
          <w:p>
            <w:pPr>
              <w:spacing w:after="0"/>
              <w:rPr>
                <w:sz w:val="21"/>
                <w:szCs w:val="21"/>
                <w:color w:val="auto"/>
              </w:rPr>
            </w:pP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9"/>
        </w:trPr>
        <w:tc>
          <w:tcPr>
            <w:tcW w:w="36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9"/>
        </w:trPr>
        <w:tc>
          <w:tcPr>
            <w:tcW w:w="58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Preferred stock, par value $1.00 per share, 1,000,000 shares authorized;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r>
      <w:tr>
        <w:trPr>
          <w:trHeight w:val="244"/>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none issued or outstanding</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15"/>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Common stock, voting, par value $1.00 per share, 30,000,000 shares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w w:val="93"/>
              </w:rPr>
              <w:t>authorized; 14,771,520 shares outstanding;</w:t>
            </w:r>
          </w:p>
        </w:tc>
        <w:tc>
          <w:tcPr>
            <w:tcW w:w="2240" w:type="dxa"/>
            <w:vAlign w:val="bottom"/>
          </w:tcPr>
          <w:p>
            <w:pPr>
              <w:jc w:val="right"/>
              <w:ind w:right="430"/>
              <w:spacing w:after="0"/>
              <w:rPr>
                <w:sz w:val="20"/>
                <w:szCs w:val="20"/>
                <w:color w:val="auto"/>
              </w:rPr>
            </w:pPr>
            <w:r>
              <w:rPr>
                <w:rFonts w:ascii="Arial" w:cs="Arial" w:eastAsia="Arial" w:hAnsi="Arial"/>
                <w:sz w:val="18"/>
                <w:szCs w:val="18"/>
                <w:color w:val="auto"/>
                <w:w w:val="93"/>
              </w:rPr>
              <w:t>shares outstanding, as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3620" w:type="dxa"/>
            <w:vAlign w:val="bottom"/>
          </w:tcPr>
          <w:p>
            <w:pPr>
              <w:ind w:left="360"/>
              <w:spacing w:after="0"/>
              <w:rPr>
                <w:sz w:val="20"/>
                <w:szCs w:val="20"/>
                <w:color w:val="auto"/>
              </w:rPr>
            </w:pPr>
            <w:r>
              <w:rPr>
                <w:rFonts w:ascii="Arial" w:cs="Arial" w:eastAsia="Arial" w:hAnsi="Arial"/>
                <w:sz w:val="18"/>
                <w:szCs w:val="18"/>
                <w:color w:val="auto"/>
              </w:rPr>
              <w:t>adjusted</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15,154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15,154</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85,888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85,888</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120,589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120,589</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
        </w:trPr>
        <w:tc>
          <w:tcPr>
            <w:tcW w:w="362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5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including ESOP-owned shares</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215,327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215,327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Less: ESOP-owned shares</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(57,121)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
        </w:trPr>
        <w:tc>
          <w:tcPr>
            <w:tcW w:w="362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9"/>
        </w:trPr>
        <w:tc>
          <w:tcPr>
            <w:tcW w:w="58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net of ESOP-owned shares</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158,206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215,327</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r>
      <w:tr>
        <w:trPr>
          <w:trHeight w:val="27"/>
        </w:trPr>
        <w:tc>
          <w:tcPr>
            <w:tcW w:w="3620" w:type="dxa"/>
            <w:vAlign w:val="bottom"/>
            <w:shd w:val="clear" w:color="auto" w:fill="CCEEFF"/>
          </w:tcPr>
          <w:p>
            <w:pPr>
              <w:spacing w:after="0"/>
              <w:rPr>
                <w:sz w:val="2"/>
                <w:szCs w:val="2"/>
                <w:color w:val="auto"/>
              </w:rPr>
            </w:pPr>
          </w:p>
        </w:tc>
        <w:tc>
          <w:tcPr>
            <w:tcW w:w="224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2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224,093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281,214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8"/>
        </w:trPr>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3620" w:type="dxa"/>
            <w:vAlign w:val="bottom"/>
            <w:shd w:val="clear" w:color="auto" w:fill="CCEEFF"/>
          </w:tcPr>
          <w:p>
            <w:pPr>
              <w:spacing w:after="0"/>
              <w:rPr>
                <w:sz w:val="21"/>
                <w:szCs w:val="21"/>
                <w:color w:val="auto"/>
              </w:rPr>
            </w:pP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9"/>
        </w:trPr>
        <w:tc>
          <w:tcPr>
            <w:tcW w:w="362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shareholders’ equity to total assets</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180"/>
              <w:spacing w:after="0" w:line="243" w:lineRule="exact"/>
              <w:rPr>
                <w:sz w:val="20"/>
                <w:szCs w:val="20"/>
                <w:color w:val="auto"/>
              </w:rPr>
            </w:pPr>
            <w:r>
              <w:rPr>
                <w:rFonts w:ascii="Arial" w:cs="Arial" w:eastAsia="Arial" w:hAnsi="Arial"/>
                <w:sz w:val="17"/>
                <w:szCs w:val="17"/>
                <w:color w:val="auto"/>
                <w:w w:val="99"/>
              </w:rPr>
              <w:t>Tangible common equity to tangible assets</w:t>
            </w:r>
            <w:r>
              <w:rPr>
                <w:rFonts w:ascii="Arial" w:cs="Arial" w:eastAsia="Arial" w:hAnsi="Arial"/>
                <w:sz w:val="28"/>
                <w:szCs w:val="28"/>
                <w:color w:val="auto"/>
                <w:w w:val="99"/>
                <w:vertAlign w:val="superscript"/>
              </w:rPr>
              <w:t>(2)</w:t>
            </w: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equity tier 1 capital ratio</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color w:val="auto"/>
              </w:rPr>
              <w:t>Tier 1 leverage ratio</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risk-based capital ratio</w:t>
            </w:r>
          </w:p>
        </w:tc>
        <w:tc>
          <w:tcPr>
            <w:tcW w:w="2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13.02</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Total risk-based capital ratio</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15.15</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620" w:type="dxa"/>
            <w:vAlign w:val="bottom"/>
          </w:tcPr>
          <w:p>
            <w:pPr>
              <w:spacing w:after="0"/>
              <w:rPr>
                <w:sz w:val="24"/>
                <w:szCs w:val="24"/>
                <w:color w:val="auto"/>
              </w:rPr>
            </w:pPr>
          </w:p>
        </w:tc>
        <w:tc>
          <w:tcPr>
            <w:tcW w:w="2240" w:type="dxa"/>
            <w:vAlign w:val="bottom"/>
          </w:tcPr>
          <w:p>
            <w:pPr>
              <w:jc w:val="right"/>
              <w:ind w:right="89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8"/>
        </w:trPr>
        <w:tc>
          <w:tcPr>
            <w:tcW w:w="3620" w:type="dxa"/>
            <w:vAlign w:val="bottom"/>
            <w:shd w:val="clear" w:color="auto" w:fill="000000"/>
          </w:tcPr>
          <w:p>
            <w:pPr>
              <w:spacing w:after="0"/>
              <w:rPr>
                <w:sz w:val="5"/>
                <w:szCs w:val="5"/>
                <w:color w:val="auto"/>
              </w:rPr>
            </w:pPr>
          </w:p>
        </w:tc>
        <w:tc>
          <w:tcPr>
            <w:tcW w:w="224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40" w:type="dxa"/>
            <w:vAlign w:val="bottom"/>
            <w:tcBorders>
              <w:left w:val="single" w:sz="8" w:color="auto"/>
              <w:right w:val="single" w:sz="8" w:color="auto"/>
            </w:tcBorders>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6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7"/>
              </w:rPr>
              <w:t>Pro Forma</w:t>
            </w:r>
          </w:p>
        </w:tc>
      </w:tr>
      <w:tr>
        <w:trPr>
          <w:trHeight w:val="16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Adjusted</w:t>
            </w:r>
          </w:p>
        </w:tc>
      </w:tr>
      <w:tr>
        <w:trPr>
          <w:trHeight w:val="185"/>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for Offering</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(Dollars in thousands, except per share data)</w:t>
            </w:r>
          </w:p>
        </w:tc>
      </w:tr>
      <w:tr>
        <w:trPr>
          <w:trHeight w:val="243"/>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020" w:type="dxa"/>
            <w:vAlign w:val="bottom"/>
            <w:gridSpan w:val="3"/>
          </w:tcPr>
          <w:p>
            <w:pPr>
              <w:ind w:left="180"/>
              <w:spacing w:after="0"/>
              <w:rPr>
                <w:sz w:val="20"/>
                <w:szCs w:val="20"/>
                <w:color w:val="auto"/>
              </w:rPr>
            </w:pPr>
            <w:r>
              <w:rPr>
                <w:rFonts w:ascii="Arial" w:cs="Arial" w:eastAsia="Arial" w:hAnsi="Arial"/>
                <w:sz w:val="18"/>
                <w:szCs w:val="18"/>
                <w:color w:val="auto"/>
              </w:rPr>
              <w:t>Book value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020" w:type="dxa"/>
            <w:vAlign w:val="bottom"/>
            <w:gridSpan w:val="3"/>
            <w:shd w:val="clear" w:color="auto" w:fill="CCEEFF"/>
          </w:tcPr>
          <w:p>
            <w:pPr>
              <w:ind w:left="180"/>
              <w:spacing w:after="0" w:line="249" w:lineRule="exact"/>
              <w:rPr>
                <w:sz w:val="20"/>
                <w:szCs w:val="20"/>
                <w:color w:val="auto"/>
              </w:rPr>
            </w:pPr>
            <w:r>
              <w:rPr>
                <w:rFonts w:ascii="Arial" w:cs="Arial" w:eastAsia="Arial" w:hAnsi="Arial"/>
                <w:sz w:val="17"/>
                <w:szCs w:val="17"/>
                <w:color w:val="auto"/>
              </w:rPr>
              <w:t>Tangible book value per share</w:t>
            </w:r>
            <w:r>
              <w:rPr>
                <w:rFonts w:ascii="Arial" w:cs="Arial" w:eastAsia="Arial" w:hAnsi="Arial"/>
                <w:sz w:val="28"/>
                <w:szCs w:val="28"/>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right="320" w:hanging="355"/>
        <w:spacing w:after="0" w:line="273"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purposes of capitalization, trust preferred securities are used rather than junior subordinated deferrable interest debentures which is in accordance with capitalization requirements.</w:t>
      </w:r>
    </w:p>
    <w:p>
      <w:pPr>
        <w:spacing w:after="0" w:line="65" w:lineRule="exact"/>
        <w:rPr>
          <w:rFonts w:ascii="Arial" w:cs="Arial" w:eastAsia="Arial" w:hAnsi="Arial"/>
          <w:sz w:val="14"/>
          <w:szCs w:val="14"/>
          <w:color w:val="auto"/>
        </w:rPr>
      </w:pPr>
    </w:p>
    <w:p>
      <w:pPr>
        <w:jc w:val="both"/>
        <w:ind w:left="360" w:right="80" w:hanging="355"/>
        <w:spacing w:after="0" w:line="257"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Operations—Non-GAAP Financial Measures.”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If you purchase shares of our common stock in this offering, your ownership interest will be diluted to the extent the public offering price per share exceeds our tangible book value per share immediately following this offering. Tangible book value per share is equal to our total shareholders’ equity less goodwill and other intangible assets, divided by the number of shares of our common stock outstanding at the end of the relevant period. Tangible book value per share is a non-GAAP financial measure. The most directly comparable GAAP financial measure is book value per share. See our reconciliation of non-GAAP financial measures to their most directly comparable GAAP financial measures under the caption “Management’s Discussion and Analysis of Financial Condition and Results of Operations—Non-GAAP Financial Measures.”</w:t>
      </w:r>
    </w:p>
    <w:p>
      <w:pPr>
        <w:spacing w:after="0" w:line="69" w:lineRule="exact"/>
        <w:rPr>
          <w:sz w:val="20"/>
          <w:szCs w:val="20"/>
          <w:color w:val="auto"/>
        </w:rPr>
      </w:pPr>
    </w:p>
    <w:p>
      <w:pPr>
        <w:ind w:right="140" w:firstLine="360"/>
        <w:spacing w:after="0" w:line="287" w:lineRule="auto"/>
        <w:rPr>
          <w:sz w:val="20"/>
          <w:szCs w:val="20"/>
          <w:color w:val="auto"/>
        </w:rPr>
      </w:pPr>
      <w:r>
        <w:rPr>
          <w:rFonts w:ascii="Arial" w:cs="Arial" w:eastAsia="Arial" w:hAnsi="Arial"/>
          <w:sz w:val="16"/>
          <w:szCs w:val="16"/>
          <w:color w:val="auto"/>
        </w:rPr>
        <w:t>After giving effect to the ESOP Repurchase Right Termination and our sale of shares in this offering at an assumed initial public offering price of $ per share, the midpoint of the price range set forth on the cover page of this prospectus, and after deducting estimated underwriting discounts and offering expenses payable by us, the pro form tangible book value of our common</w:t>
      </w:r>
    </w:p>
    <w:tbl>
      <w:tblPr>
        <w:tblLayout w:type="fixed"/>
        <w:tblInd w:w="0" w:type="dxa"/>
        <w:tblCellMar>
          <w:top w:w="0" w:type="dxa"/>
          <w:left w:w="0" w:type="dxa"/>
          <w:bottom w:w="0" w:type="dxa"/>
          <w:right w:w="0" w:type="dxa"/>
        </w:tblCellMar>
      </w:tblPr>
      <w:tr>
        <w:trPr>
          <w:trHeight w:val="204"/>
        </w:trPr>
        <w:tc>
          <w:tcPr>
            <w:tcW w:w="4880" w:type="dxa"/>
            <w:vAlign w:val="bottom"/>
            <w:gridSpan w:val="4"/>
          </w:tcPr>
          <w:p>
            <w:pPr>
              <w:spacing w:after="0" w:line="204" w:lineRule="exact"/>
              <w:rPr>
                <w:sz w:val="20"/>
                <w:szCs w:val="20"/>
                <w:color w:val="auto"/>
              </w:rPr>
            </w:pPr>
            <w:r>
              <w:rPr>
                <w:rFonts w:ascii="Arial" w:cs="Arial" w:eastAsia="Arial" w:hAnsi="Arial"/>
                <w:sz w:val="18"/>
                <w:szCs w:val="18"/>
                <w:color w:val="auto"/>
                <w:w w:val="93"/>
              </w:rPr>
              <w:t>stock as of December 31, 2017 would have been approximately $</w:t>
            </w:r>
          </w:p>
        </w:tc>
        <w:tc>
          <w:tcPr>
            <w:tcW w:w="1240" w:type="dxa"/>
            <w:vAlign w:val="bottom"/>
          </w:tcPr>
          <w:p>
            <w:pPr>
              <w:ind w:left="160"/>
              <w:spacing w:after="0" w:line="204" w:lineRule="exact"/>
              <w:rPr>
                <w:sz w:val="20"/>
                <w:szCs w:val="20"/>
                <w:color w:val="auto"/>
              </w:rPr>
            </w:pPr>
            <w:r>
              <w:rPr>
                <w:rFonts w:ascii="Arial" w:cs="Arial" w:eastAsia="Arial" w:hAnsi="Arial"/>
                <w:sz w:val="18"/>
                <w:szCs w:val="18"/>
                <w:color w:val="auto"/>
              </w:rPr>
              <w:t>million, or $</w:t>
            </w:r>
          </w:p>
        </w:tc>
        <w:tc>
          <w:tcPr>
            <w:tcW w:w="3440" w:type="dxa"/>
            <w:vAlign w:val="bottom"/>
            <w:gridSpan w:val="2"/>
          </w:tcPr>
          <w:p>
            <w:pPr>
              <w:jc w:val="right"/>
              <w:spacing w:after="0" w:line="204" w:lineRule="exact"/>
              <w:rPr>
                <w:sz w:val="20"/>
                <w:szCs w:val="20"/>
                <w:color w:val="auto"/>
              </w:rPr>
            </w:pPr>
            <w:r>
              <w:rPr>
                <w:rFonts w:ascii="Arial" w:cs="Arial" w:eastAsia="Arial" w:hAnsi="Arial"/>
                <w:sz w:val="18"/>
                <w:szCs w:val="18"/>
                <w:color w:val="auto"/>
                <w:w w:val="91"/>
              </w:rPr>
              <w:t>per share. Therefore, under those assumptions</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w w:val="97"/>
              </w:rPr>
              <w:t>this offering would result in an immediate increase of $</w:t>
            </w:r>
          </w:p>
        </w:tc>
        <w:tc>
          <w:tcPr>
            <w:tcW w:w="5320" w:type="dxa"/>
            <w:vAlign w:val="bottom"/>
            <w:gridSpan w:val="4"/>
          </w:tcPr>
          <w:p>
            <w:pPr>
              <w:jc w:val="right"/>
              <w:ind w:right="150"/>
              <w:spacing w:after="0"/>
              <w:rPr>
                <w:sz w:val="20"/>
                <w:szCs w:val="20"/>
                <w:color w:val="auto"/>
              </w:rPr>
            </w:pPr>
            <w:r>
              <w:rPr>
                <w:rFonts w:ascii="Arial" w:cs="Arial" w:eastAsia="Arial" w:hAnsi="Arial"/>
                <w:sz w:val="18"/>
                <w:szCs w:val="18"/>
                <w:color w:val="auto"/>
                <w:w w:val="91"/>
              </w:rPr>
              <w:t>in the tangible book value to our existing shareholders and immediate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dilution of $</w:t>
            </w:r>
          </w:p>
        </w:tc>
        <w:tc>
          <w:tcPr>
            <w:tcW w:w="7520" w:type="dxa"/>
            <w:vAlign w:val="bottom"/>
            <w:gridSpan w:val="5"/>
          </w:tcPr>
          <w:p>
            <w:pPr>
              <w:ind w:left="220"/>
              <w:spacing w:after="0"/>
              <w:rPr>
                <w:sz w:val="20"/>
                <w:szCs w:val="20"/>
                <w:color w:val="auto"/>
              </w:rPr>
            </w:pPr>
            <w:r>
              <w:rPr>
                <w:rFonts w:ascii="Arial" w:cs="Arial" w:eastAsia="Arial" w:hAnsi="Arial"/>
                <w:sz w:val="18"/>
                <w:szCs w:val="18"/>
                <w:color w:val="auto"/>
                <w:w w:val="91"/>
              </w:rPr>
              <w:t>in the tangible book value per share to investors purchasing shares in this offering, or approximately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 of</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the public offering price of $</w:t>
            </w:r>
          </w:p>
        </w:tc>
        <w:tc>
          <w:tcPr>
            <w:tcW w:w="20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4240" w:type="dxa"/>
            <w:vAlign w:val="bottom"/>
            <w:gridSpan w:val="3"/>
          </w:tcPr>
          <w:p>
            <w:pPr>
              <w:ind w:left="360"/>
              <w:spacing w:after="0"/>
              <w:rPr>
                <w:sz w:val="20"/>
                <w:szCs w:val="20"/>
                <w:color w:val="auto"/>
              </w:rPr>
            </w:pPr>
            <w:r>
              <w:rPr>
                <w:rFonts w:ascii="Arial" w:cs="Arial" w:eastAsia="Arial" w:hAnsi="Arial"/>
                <w:sz w:val="18"/>
                <w:szCs w:val="18"/>
                <w:color w:val="auto"/>
                <w:w w:val="93"/>
              </w:rPr>
              <w:t>The following table illustrates this per share dilution.</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
        </w:trPr>
        <w:tc>
          <w:tcPr>
            <w:tcW w:w="4240" w:type="dxa"/>
            <w:vAlign w:val="bottom"/>
            <w:gridSpan w:val="3"/>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3"/>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6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r>
      <w:tr>
        <w:trPr>
          <w:trHeight w:val="237"/>
        </w:trPr>
        <w:tc>
          <w:tcPr>
            <w:tcW w:w="8640" w:type="dxa"/>
            <w:vAlign w:val="bottom"/>
            <w:gridSpan w:val="6"/>
          </w:tcPr>
          <w:p>
            <w:pPr>
              <w:ind w:left="180"/>
              <w:spacing w:after="0"/>
              <w:rPr>
                <w:sz w:val="20"/>
                <w:szCs w:val="20"/>
                <w:color w:val="auto"/>
              </w:rPr>
            </w:pPr>
            <w:r>
              <w:rPr>
                <w:rFonts w:ascii="Arial" w:cs="Arial" w:eastAsia="Arial" w:hAnsi="Arial"/>
                <w:sz w:val="18"/>
                <w:szCs w:val="18"/>
                <w:color w:val="auto"/>
                <w:w w:val="91"/>
              </w:rPr>
              <w:t>Tangible book value per share at December 31, 2017 after giving effect to the ESOP Repurchase Right Termination</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14.58</w:t>
            </w:r>
          </w:p>
        </w:tc>
      </w:tr>
      <w:tr>
        <w:trPr>
          <w:trHeight w:val="249"/>
        </w:trPr>
        <w:tc>
          <w:tcPr>
            <w:tcW w:w="61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Increase in tangible book value per share attributable to this offering</w:t>
            </w:r>
          </w:p>
        </w:tc>
        <w:tc>
          <w:tcPr>
            <w:tcW w:w="2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8640" w:type="dxa"/>
            <w:vAlign w:val="bottom"/>
            <w:gridSpan w:val="6"/>
          </w:tcPr>
          <w:p>
            <w:pPr>
              <w:spacing w:after="0"/>
              <w:rPr>
                <w:sz w:val="20"/>
                <w:szCs w:val="20"/>
                <w:color w:val="auto"/>
              </w:rPr>
            </w:pPr>
            <w:r>
              <w:rPr>
                <w:rFonts w:ascii="Arial" w:cs="Arial" w:eastAsia="Arial" w:hAnsi="Arial"/>
                <w:sz w:val="18"/>
                <w:szCs w:val="18"/>
                <w:color w:val="auto"/>
              </w:rPr>
              <w:t>As adjusted tangible book value per share after this offering and the ESOP Repurchase Right Termination</w:t>
            </w:r>
          </w:p>
        </w:tc>
        <w:tc>
          <w:tcPr>
            <w:tcW w:w="920" w:type="dxa"/>
            <w:vAlign w:val="bottom"/>
          </w:tcPr>
          <w:p>
            <w:pPr>
              <w:spacing w:after="0"/>
              <w:rPr>
                <w:sz w:val="20"/>
                <w:szCs w:val="20"/>
                <w:color w:val="auto"/>
              </w:rPr>
            </w:pPr>
          </w:p>
        </w:tc>
      </w:tr>
      <w:tr>
        <w:trPr>
          <w:trHeight w:val="249"/>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Dilution in tangible book value per share to new investors</w:t>
            </w:r>
          </w:p>
        </w:tc>
        <w:tc>
          <w:tcPr>
            <w:tcW w:w="6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r>
      <w:tr>
        <w:trPr>
          <w:trHeight w:val="324"/>
        </w:trPr>
        <w:tc>
          <w:tcPr>
            <w:tcW w:w="6120" w:type="dxa"/>
            <w:vAlign w:val="bottom"/>
            <w:gridSpan w:val="5"/>
          </w:tcPr>
          <w:p>
            <w:pPr>
              <w:ind w:left="360"/>
              <w:spacing w:after="0"/>
              <w:rPr>
                <w:sz w:val="20"/>
                <w:szCs w:val="20"/>
                <w:color w:val="auto"/>
              </w:rPr>
            </w:pPr>
            <w:r>
              <w:rPr>
                <w:rFonts w:ascii="Arial" w:cs="Arial" w:eastAsia="Arial" w:hAnsi="Arial"/>
                <w:sz w:val="18"/>
                <w:szCs w:val="18"/>
                <w:color w:val="auto"/>
                <w:w w:val="93"/>
              </w:rPr>
              <w:t>A $1.00 increase (or decrease) in the assumed initial public offering price of $</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w w:val="96"/>
              </w:rPr>
              <w:t>per share, which is the midpoint of the price</w:t>
            </w:r>
          </w:p>
        </w:tc>
      </w:tr>
    </w:tbl>
    <w:p>
      <w:pPr>
        <w:ind w:right="80"/>
        <w:spacing w:after="0" w:line="281" w:lineRule="auto"/>
        <w:rPr>
          <w:sz w:val="20"/>
          <w:szCs w:val="20"/>
          <w:color w:val="auto"/>
        </w:rPr>
      </w:pPr>
      <w:r>
        <w:rPr>
          <w:rFonts w:ascii="Arial" w:cs="Arial" w:eastAsia="Arial" w:hAnsi="Arial"/>
          <w:sz w:val="16"/>
          <w:szCs w:val="16"/>
          <w:color w:val="auto"/>
        </w:rPr>
        <w:t>range set forth on the cover page of this prospectus, would increase (or decrease) the as adjusted tangible book value per share after this offering by approximately $ , and dilution in tangible book value per share to new investors by approximately $ , assuming that the number of shares offered by us, as set forth on the cover page of this prospectus, remains the same and after deducting estimated underwriting discounts and commissions and estimated offering expenses payable by us. If the underwriters exercise in full their option to purchase additional shares of common stock from us in this offering, the as adjusted tangible book</w:t>
      </w: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line="205" w:lineRule="exact"/>
              <w:rPr>
                <w:sz w:val="20"/>
                <w:szCs w:val="20"/>
                <w:color w:val="auto"/>
              </w:rPr>
            </w:pPr>
            <w:r>
              <w:rPr>
                <w:rFonts w:ascii="Arial" w:cs="Arial" w:eastAsia="Arial" w:hAnsi="Arial"/>
                <w:sz w:val="18"/>
                <w:szCs w:val="18"/>
                <w:color w:val="auto"/>
                <w:w w:val="97"/>
              </w:rPr>
              <w:t>value after this offering would be $</w:t>
            </w:r>
          </w:p>
        </w:tc>
        <w:tc>
          <w:tcPr>
            <w:tcW w:w="6420" w:type="dxa"/>
            <w:vAlign w:val="bottom"/>
            <w:gridSpan w:val="2"/>
          </w:tcPr>
          <w:p>
            <w:pPr>
              <w:jc w:val="right"/>
              <w:ind w:right="70"/>
              <w:spacing w:after="0" w:line="205" w:lineRule="exact"/>
              <w:rPr>
                <w:sz w:val="20"/>
                <w:szCs w:val="20"/>
                <w:color w:val="auto"/>
              </w:rPr>
            </w:pPr>
            <w:r>
              <w:rPr>
                <w:rFonts w:ascii="Arial" w:cs="Arial" w:eastAsia="Arial" w:hAnsi="Arial"/>
                <w:sz w:val="18"/>
                <w:szCs w:val="18"/>
                <w:color w:val="auto"/>
                <w:w w:val="91"/>
              </w:rPr>
              <w:t>per share, the increase in net tangible book value to existing shareholders would be $</w:t>
            </w:r>
          </w:p>
        </w:tc>
        <w:tc>
          <w:tcPr>
            <w:tcW w:w="440" w:type="dxa"/>
            <w:vAlign w:val="bottom"/>
          </w:tcPr>
          <w:p>
            <w:pPr>
              <w:ind w:left="160"/>
              <w:spacing w:after="0" w:line="205" w:lineRule="exact"/>
              <w:rPr>
                <w:sz w:val="20"/>
                <w:szCs w:val="20"/>
                <w:color w:val="auto"/>
              </w:rPr>
            </w:pPr>
            <w:r>
              <w:rPr>
                <w:rFonts w:ascii="Arial" w:cs="Arial" w:eastAsia="Arial" w:hAnsi="Arial"/>
                <w:sz w:val="18"/>
                <w:szCs w:val="18"/>
                <w:color w:val="auto"/>
                <w:w w:val="99"/>
              </w:rPr>
              <w:t>per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w w:val="96"/>
              </w:rPr>
              <w:t>share and the dilution to new investors would be $</w:t>
            </w:r>
          </w:p>
        </w:tc>
        <w:tc>
          <w:tcPr>
            <w:tcW w:w="5260" w:type="dxa"/>
            <w:vAlign w:val="bottom"/>
          </w:tcPr>
          <w:p>
            <w:pPr>
              <w:jc w:val="right"/>
              <w:ind w:right="90"/>
              <w:spacing w:after="0"/>
              <w:rPr>
                <w:sz w:val="20"/>
                <w:szCs w:val="20"/>
                <w:color w:val="auto"/>
              </w:rPr>
            </w:pPr>
            <w:r>
              <w:rPr>
                <w:rFonts w:ascii="Arial" w:cs="Arial" w:eastAsia="Arial" w:hAnsi="Arial"/>
                <w:sz w:val="18"/>
                <w:szCs w:val="18"/>
                <w:color w:val="auto"/>
                <w:w w:val="94"/>
              </w:rPr>
              <w:t>per share, in each case assuming an initial public offering price of $</w:t>
            </w:r>
          </w:p>
        </w:tc>
        <w:tc>
          <w:tcPr>
            <w:tcW w:w="440" w:type="dxa"/>
            <w:vAlign w:val="bottom"/>
          </w:tcPr>
          <w:p>
            <w:pPr>
              <w:ind w:left="140"/>
              <w:spacing w:after="0"/>
              <w:rPr>
                <w:sz w:val="20"/>
                <w:szCs w:val="20"/>
                <w:color w:val="auto"/>
              </w:rPr>
            </w:pPr>
            <w:r>
              <w:rPr>
                <w:rFonts w:ascii="Arial" w:cs="Arial" w:eastAsia="Arial" w:hAnsi="Arial"/>
                <w:sz w:val="18"/>
                <w:szCs w:val="18"/>
                <w:color w:val="auto"/>
              </w:rPr>
              <w:t>per</w:t>
            </w: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share, which is the midpoint of the price range set forth on the cover page of this prospectus.</w:t>
            </w:r>
          </w:p>
        </w:tc>
        <w:tc>
          <w:tcPr>
            <w:tcW w:w="440" w:type="dxa"/>
            <w:vAlign w:val="bottom"/>
          </w:tcPr>
          <w:p>
            <w:pPr>
              <w:spacing w:after="0"/>
              <w:rPr>
                <w:sz w:val="20"/>
                <w:szCs w:val="20"/>
                <w:color w:val="auto"/>
              </w:rPr>
            </w:pPr>
          </w:p>
        </w:tc>
      </w:tr>
      <w:tr>
        <w:trPr>
          <w:trHeight w:val="432"/>
        </w:trPr>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60" w:type="dxa"/>
            <w:vAlign w:val="bottom"/>
          </w:tcPr>
          <w:p>
            <w:pPr>
              <w:jc w:val="right"/>
              <w:ind w:right="415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r>
      <w:tr>
        <w:trPr>
          <w:trHeight w:val="445"/>
        </w:trPr>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8"/>
        </w:trPr>
        <w:tc>
          <w:tcPr>
            <w:tcW w:w="27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52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Prior to this offering, our common stock has not been traded on an established public trading market and quotations for our common stock were not reported on any market. As a result, there has been no regular trading market for our common stock. Although our shares may have been sporadically traded in private transactions, the prices at which such transactions occurred may not necessarily reflect the price that would be paid for our common stock in an active market. As of December 31, 2017, there were 119 holders of record of our common stock.</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anticipate that this offering and the listing of our common stock on the NASDAQ Global Select Market will result in a more active trading market for our common stock. However, we cannot assure you that a liquid trading market for our common stock will develop or be sustained after this offering. You may not be able to sell your shares quickly or at the market price if trading in our common stock is not active. See “Underwriting” for more information regarding our arrangements with the underwriters and the factors considered in setting the initial public offering price.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“Selected Historical Consolidated Financial and Operating Information” and our consolidated financial statements and related notes included elsewhere in this prospectus. This discussion and analysis contains forward-looking statements that involve risks, uncertainties and assumptions. Certain risks, uncertainties and other factors, including but not limited to those set forth under “Cautionary Note Regarding Forward-Looking Statements,” “Risk Factors” and elsewhere in this prospectus, may cause actual results to differ materially from those projected in the forward-looking statements. We assume no obligation to update any of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Subchapter S Corporation Status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Beginning January 1, 1998, the Company elected to be taxed for U.S. federal income tax purposes as an S corporation under the provisions of Sections 1361 to 1379 of the Internal Revenue Code of 1986, as amended, or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80" w:lineRule="exact"/>
        <w:rPr>
          <w:sz w:val="20"/>
          <w:szCs w:val="20"/>
          <w:color w:val="auto"/>
        </w:rPr>
      </w:pPr>
    </w:p>
    <w:p>
      <w:pPr>
        <w:ind w:right="340" w:firstLine="360"/>
        <w:spacing w:after="0" w:line="311" w:lineRule="auto"/>
        <w:rPr>
          <w:sz w:val="20"/>
          <w:szCs w:val="20"/>
          <w:color w:val="auto"/>
        </w:rPr>
      </w:pPr>
      <w:r>
        <w:rPr>
          <w:rFonts w:ascii="Arial" w:cs="Arial" w:eastAsia="Arial" w:hAnsi="Arial"/>
          <w:sz w:val="16"/>
          <w:szCs w:val="16"/>
          <w:color w:val="auto"/>
        </w:rPr>
        <w:t>Effective May 31, 2018, the Company revoked its election to be taxed as an S Corporation, we became taxed as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41"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As a result of the revocation of our S Corporation election, the net income and earnings per share data presented in our historical financial statements for the years ended December 31, 2014, 2015, 2016 and 2017 which do not include any provision for federal income taxes, will not be comparable with our historical financial statements for the year ended December 31, 2018, or our future net income and earnings per share, which will be calculated by including a provision for federal income taxes.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had net income of $17.6 million for the year ended December 31, 2017, compared to net income of $19.7 million for the year ended December 31, 2016. Return on average equity was 8.48% and return on average assets was 0.69% for the year ended December 31, 2017, compared to 10.02% and 0.77%, respectively, for the year ended December 31, 2016. Net income decreased by $2.1 million for the year ended December 31, 2017 compared to 2016. This decrease was primarily the result of an increase of $2.0 million in the provision for loan losses, an increase of $3.8 million in noninterest expense, and a decrease of $2.5 million in noninterest income, offset by an increase of $5.8 million in net interest income.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firstLine="360"/>
        <w:spacing w:after="0" w:line="291" w:lineRule="auto"/>
        <w:rPr>
          <w:sz w:val="20"/>
          <w:szCs w:val="20"/>
          <w:color w:val="auto"/>
        </w:rPr>
      </w:pPr>
      <w:r>
        <w:rPr>
          <w:rFonts w:ascii="Arial" w:cs="Arial" w:eastAsia="Arial" w:hAnsi="Arial"/>
          <w:sz w:val="16"/>
          <w:szCs w:val="16"/>
          <w:color w:val="auto"/>
        </w:rPr>
        <w:t>Our total assets increased $72.6 million, or 2.9%, to $2.6 billion at December 31, 2017 as compared to $2.5 billion at December 31, 2016. The increase in total assets was primarily the result of our organic loan growth. Our gross loans held for investment increased $177.0 million, or 10.7%, to $1.8 billion at December 31, 2017, compared to $1.7 billion at December 31, 2016. Our securities portfolio decreased $40.7 million, or 12.5%, to $284.1 million at December 31, 2017, compared to $324.8 million at December 31, 2016. The decrease in securities was used to help fund the growth in loans held for investment. Total deposits increased $63.2 million, or 3.0% to $2.2 billion at December 31, 2017, compared to $2.1 billion at December 31, 2016. This increase in deposits was also used to help fund our growth in loans held for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Income Tax Expense and Net Income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result of our status as an S Corporation, we had no U.S. federal income tax expense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or 2016. The pro forma impact of being taxed as a C Corporation is illustrated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14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 Corporation</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26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Net income</w:t>
            </w:r>
            <w:r>
              <w:rPr>
                <w:rFonts w:ascii="Arial" w:cs="Arial" w:eastAsia="Arial" w:hAnsi="Arial"/>
                <w:sz w:val="28"/>
                <w:szCs w:val="28"/>
                <w:color w:val="auto"/>
                <w:vertAlign w:val="superscript"/>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23,635</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21"/>
                <w:szCs w:val="21"/>
                <w:color w:val="auto"/>
              </w:rPr>
            </w:pPr>
          </w:p>
        </w:tc>
      </w:tr>
      <w:tr>
        <w:trPr>
          <w:trHeight w:val="243"/>
        </w:trPr>
        <w:tc>
          <w:tcPr>
            <w:tcW w:w="1440" w:type="dxa"/>
            <w:vAlign w:val="bottom"/>
            <w:shd w:val="clear" w:color="auto" w:fill="CCEEFF"/>
          </w:tcPr>
          <w:p>
            <w:pPr>
              <w:spacing w:after="0"/>
              <w:rPr>
                <w:sz w:val="21"/>
                <w:szCs w:val="21"/>
                <w:color w:val="auto"/>
              </w:rPr>
            </w:pPr>
          </w:p>
        </w:tc>
        <w:tc>
          <w:tcPr>
            <w:tcW w:w="5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Pro forma C Corporation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60" w:type="dxa"/>
            <w:vAlign w:val="bottom"/>
            <w:gridSpan w:val="2"/>
            <w:shd w:val="clear" w:color="auto" w:fill="CCEEFF"/>
          </w:tcPr>
          <w:p>
            <w:pPr>
              <w:ind w:left="180"/>
              <w:spacing w:after="0" w:line="247" w:lineRule="exact"/>
              <w:rPr>
                <w:sz w:val="20"/>
                <w:szCs w:val="20"/>
                <w:color w:val="auto"/>
              </w:rPr>
            </w:pPr>
            <w:r>
              <w:rPr>
                <w:rFonts w:ascii="Arial" w:cs="Arial" w:eastAsia="Arial" w:hAnsi="Arial"/>
                <w:sz w:val="17"/>
                <w:szCs w:val="17"/>
                <w:color w:val="auto"/>
              </w:rPr>
              <w:t>Combined effective income tax rate</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7"/>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6,055</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0"/>
                <w:szCs w:val="20"/>
                <w:color w:val="auto"/>
              </w:rPr>
            </w:pPr>
          </w:p>
        </w:tc>
      </w:tr>
      <w:tr>
        <w:trPr>
          <w:trHeight w:val="249"/>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right="40" w:hanging="355"/>
        <w:spacing w:after="0" w:line="273" w:lineRule="auto"/>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portion of our net income in each of these periods was derived from non-taxable investment income, offset by nondeductible expenses. This has the effect of lowering the statutory tax rate.</w:t>
      </w:r>
    </w:p>
    <w:p>
      <w:pPr>
        <w:spacing w:after="0" w:line="65" w:lineRule="exact"/>
        <w:rPr>
          <w:rFonts w:ascii="Arial" w:cs="Arial" w:eastAsia="Arial" w:hAnsi="Arial"/>
          <w:sz w:val="14"/>
          <w:szCs w:val="14"/>
          <w:color w:val="auto"/>
        </w:rPr>
      </w:pPr>
    </w:p>
    <w:p>
      <w:pPr>
        <w:ind w:left="360" w:right="740" w:hanging="355"/>
        <w:spacing w:after="0" w:line="273" w:lineRule="auto"/>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a statutory federal income tax rate of 35% for the years ended December 31, 2017 and December 31, 2016. As our state income taxes are insignificant, they are not reflected in these calculations.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Expense</w:t>
      </w:r>
    </w:p>
    <w:p>
      <w:pPr>
        <w:spacing w:after="0" w:line="121" w:lineRule="exact"/>
        <w:rPr>
          <w:sz w:val="20"/>
          <w:szCs w:val="20"/>
          <w:color w:val="auto"/>
        </w:rPr>
      </w:pPr>
    </w:p>
    <w:p>
      <w:pPr>
        <w:ind w:right="460" w:firstLine="360"/>
        <w:spacing w:after="0" w:line="263" w:lineRule="auto"/>
        <w:rPr>
          <w:sz w:val="20"/>
          <w:szCs w:val="20"/>
          <w:color w:val="auto"/>
        </w:rPr>
      </w:pPr>
      <w:r>
        <w:rPr>
          <w:rFonts w:ascii="Arial" w:cs="Arial" w:eastAsia="Arial" w:hAnsi="Arial"/>
          <w:sz w:val="18"/>
          <w:szCs w:val="18"/>
          <w:color w:val="auto"/>
        </w:rPr>
        <w:t>Our U.S. federal income tax expense would have been approximately $6.1 million for the year ended December 31, 2017 compared to approximately $6.4 million for the year ended December 31, 2016 with effective tax rates of 25.6% and 24.6%, respectively. The decrease was primarily due to the decrease in net income.</w:t>
      </w:r>
    </w:p>
    <w:p>
      <w:pPr>
        <w:spacing w:after="0" w:line="180" w:lineRule="exact"/>
        <w:rPr>
          <w:sz w:val="20"/>
          <w:szCs w:val="20"/>
          <w:color w:val="auto"/>
        </w:rPr>
      </w:pPr>
    </w:p>
    <w:p>
      <w:pPr>
        <w:ind w:right="4080"/>
        <w:spacing w:after="0" w:line="378" w:lineRule="auto"/>
        <w:rPr>
          <w:sz w:val="20"/>
          <w:szCs w:val="20"/>
          <w:color w:val="auto"/>
        </w:rPr>
      </w:pPr>
      <w:r>
        <w:rPr>
          <w:rFonts w:ascii="Arial" w:cs="Arial" w:eastAsia="Arial" w:hAnsi="Arial"/>
          <w:sz w:val="18"/>
          <w:szCs w:val="18"/>
          <w:b w:val="1"/>
          <w:bCs w:val="1"/>
          <w:color w:val="auto"/>
        </w:rPr>
        <w:t xml:space="preserve">Results of Operations for the Years Ended December 31, 2017 and 2016 </w:t>
      </w:r>
      <w:r>
        <w:rPr>
          <w:rFonts w:ascii="Arial" w:cs="Arial" w:eastAsia="Arial" w:hAnsi="Arial"/>
          <w:sz w:val="18"/>
          <w:szCs w:val="18"/>
          <w:b w:val="1"/>
          <w:bCs w:val="1"/>
          <w:i w:val="1"/>
          <w:iCs w:val="1"/>
          <w:color w:val="auto"/>
        </w:rPr>
        <w:t>Net Interest Income</w:t>
      </w:r>
    </w:p>
    <w:p>
      <w:pPr>
        <w:ind w:right="20" w:firstLine="360"/>
        <w:spacing w:after="0" w:line="270" w:lineRule="auto"/>
        <w:rPr>
          <w:sz w:val="20"/>
          <w:szCs w:val="20"/>
          <w:color w:val="auto"/>
        </w:rPr>
      </w:pPr>
      <w:r>
        <w:rPr>
          <w:rFonts w:ascii="Arial" w:cs="Arial" w:eastAsia="Arial" w:hAnsi="Arial"/>
          <w:sz w:val="17"/>
          <w:szCs w:val="17"/>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interest-earnings assets.</w:t>
      </w:r>
    </w:p>
    <w:p>
      <w:pPr>
        <w:spacing w:after="0" w:line="73"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301" w:lineRule="auto"/>
        <w:rPr>
          <w:sz w:val="20"/>
          <w:szCs w:val="20"/>
          <w:color w:val="auto"/>
        </w:rPr>
      </w:pPr>
      <w:r>
        <w:rPr>
          <w:rFonts w:ascii="Arial" w:cs="Arial" w:eastAsia="Arial" w:hAnsi="Arial"/>
          <w:sz w:val="16"/>
          <w:szCs w:val="16"/>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14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3"/>
                <w:szCs w:val="13"/>
                <w:color w:val="auto"/>
              </w:rPr>
            </w:pPr>
          </w:p>
        </w:tc>
        <w:tc>
          <w:tcPr>
            <w:tcW w:w="98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Yield/</w:t>
            </w:r>
          </w:p>
        </w:tc>
      </w:tr>
      <w:tr>
        <w:trPr>
          <w:trHeight w:val="185"/>
        </w:trPr>
        <w:tc>
          <w:tcPr>
            <w:tcW w:w="1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6"/>
                <w:szCs w:val="16"/>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8"/>
              </w:rPr>
              <w:t>(Dollars 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Total loans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1,790,201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94,505</w:t>
            </w:r>
          </w:p>
        </w:tc>
        <w:tc>
          <w:tcPr>
            <w:tcW w:w="880" w:type="dxa"/>
            <w:vAlign w:val="bottom"/>
            <w:tcBorders>
              <w:right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1,689,915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87,926</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5.20%</w:t>
            </w: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133,324</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2,435</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145,281</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2,692</w:t>
            </w:r>
          </w:p>
        </w:tc>
        <w:tc>
          <w:tcPr>
            <w:tcW w:w="480" w:type="dxa"/>
            <w:vAlign w:val="bottom"/>
          </w:tcPr>
          <w:p>
            <w:pPr>
              <w:ind w:left="100"/>
              <w:spacing w:after="0"/>
              <w:rPr>
                <w:sz w:val="20"/>
                <w:szCs w:val="20"/>
                <w:color w:val="auto"/>
              </w:rPr>
            </w:pPr>
            <w:r>
              <w:rPr>
                <w:rFonts w:ascii="Arial" w:cs="Arial" w:eastAsia="Arial" w:hAnsi="Arial"/>
                <w:sz w:val="18"/>
                <w:szCs w:val="18"/>
                <w:color w:val="auto"/>
                <w:w w:val="96"/>
              </w:rPr>
              <w:t>1.85</w:t>
            </w:r>
          </w:p>
        </w:tc>
        <w:tc>
          <w:tcPr>
            <w:tcW w:w="10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172,368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4.35</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177,771</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7,659</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4.31</w:t>
            </w:r>
          </w:p>
        </w:tc>
        <w:tc>
          <w:tcPr>
            <w:tcW w:w="10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Federal funds sold</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80" w:type="dxa"/>
            <w:vAlign w:val="bottom"/>
          </w:tcPr>
          <w:p>
            <w:pPr>
              <w:ind w:left="100"/>
              <w:spacing w:after="0"/>
              <w:rPr>
                <w:sz w:val="20"/>
                <w:szCs w:val="20"/>
                <w:color w:val="auto"/>
              </w:rPr>
            </w:pPr>
            <w:r>
              <w:rPr>
                <w:rFonts w:ascii="Arial" w:cs="Arial" w:eastAsia="Arial" w:hAnsi="Arial"/>
                <w:sz w:val="18"/>
                <w:szCs w:val="18"/>
                <w:color w:val="auto"/>
                <w:w w:val="96"/>
              </w:rPr>
              <w:t>0.98</w:t>
            </w:r>
          </w:p>
        </w:tc>
        <w:tc>
          <w:tcPr>
            <w:tcW w:w="10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 xml:space="preserve">Other interest-earning assets </w:t>
            </w:r>
            <w:r>
              <w:rPr>
                <w:rFonts w:ascii="Arial" w:cs="Arial" w:eastAsia="Arial" w:hAnsi="Arial"/>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281,110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1.07</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366,999</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1,943</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0.53</w:t>
            </w:r>
          </w:p>
        </w:tc>
        <w:tc>
          <w:tcPr>
            <w:tcW w:w="100" w:type="dxa"/>
            <w:vAlign w:val="bottom"/>
            <w:shd w:val="clear" w:color="auto" w:fill="CCEEFF"/>
          </w:tcPr>
          <w:p>
            <w:pPr>
              <w:spacing w:after="0"/>
              <w:rPr>
                <w:sz w:val="21"/>
                <w:szCs w:val="2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2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2,378,017</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107,460</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2,380,881</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100,229</w:t>
            </w:r>
          </w:p>
        </w:tc>
        <w:tc>
          <w:tcPr>
            <w:tcW w:w="480" w:type="dxa"/>
            <w:vAlign w:val="bottom"/>
          </w:tcPr>
          <w:p>
            <w:pPr>
              <w:ind w:left="100"/>
              <w:spacing w:after="0"/>
              <w:rPr>
                <w:sz w:val="20"/>
                <w:szCs w:val="20"/>
                <w:color w:val="auto"/>
              </w:rPr>
            </w:pPr>
            <w:r>
              <w:rPr>
                <w:rFonts w:ascii="Arial" w:cs="Arial" w:eastAsia="Arial" w:hAnsi="Arial"/>
                <w:sz w:val="18"/>
                <w:szCs w:val="18"/>
                <w:color w:val="auto"/>
                <w:w w:val="96"/>
              </w:rPr>
              <w:t>4.21</w:t>
            </w:r>
          </w:p>
        </w:tc>
        <w:tc>
          <w:tcPr>
            <w:tcW w:w="10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170,099</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175,878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2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2,548,116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2,556,759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40" w:type="dxa"/>
            <w:vAlign w:val="bottom"/>
            <w:shd w:val="clear" w:color="auto" w:fill="CCEEFF"/>
          </w:tcPr>
          <w:p>
            <w:pPr>
              <w:spacing w:after="0"/>
              <w:rPr>
                <w:sz w:val="21"/>
                <w:szCs w:val="21"/>
                <w:color w:val="auto"/>
              </w:rPr>
            </w:pPr>
          </w:p>
        </w:tc>
        <w:tc>
          <w:tcPr>
            <w:tcW w:w="27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NOW, savings and money market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1,306,168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7,655</w:t>
            </w:r>
          </w:p>
        </w:tc>
        <w:tc>
          <w:tcPr>
            <w:tcW w:w="880" w:type="dxa"/>
            <w:vAlign w:val="bottom"/>
            <w:gridSpan w:val="4"/>
          </w:tcPr>
          <w:p>
            <w:pPr>
              <w:ind w:left="320"/>
              <w:spacing w:after="0"/>
              <w:rPr>
                <w:sz w:val="20"/>
                <w:szCs w:val="20"/>
                <w:color w:val="auto"/>
              </w:rPr>
            </w:pPr>
            <w:r>
              <w:rPr>
                <w:rFonts w:ascii="Arial" w:cs="Arial" w:eastAsia="Arial" w:hAnsi="Arial"/>
                <w:sz w:val="18"/>
                <w:szCs w:val="18"/>
                <w:color w:val="auto"/>
              </w:rPr>
              <w:t>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1,359,438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7,219</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w w:val="90"/>
              </w:rPr>
              <w:t>0.53%</w:t>
            </w: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355,759</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1.33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350,097</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4,493</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1.28</w:t>
            </w:r>
          </w:p>
        </w:tc>
        <w:tc>
          <w:tcPr>
            <w:tcW w:w="10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22,794</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29,272</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480" w:type="dxa"/>
            <w:vAlign w:val="bottom"/>
          </w:tcPr>
          <w:p>
            <w:pPr>
              <w:ind w:left="100"/>
              <w:spacing w:after="0"/>
              <w:rPr>
                <w:sz w:val="20"/>
                <w:szCs w:val="20"/>
                <w:color w:val="auto"/>
              </w:rPr>
            </w:pPr>
            <w:r>
              <w:rPr>
                <w:rFonts w:ascii="Arial" w:cs="Arial" w:eastAsia="Arial" w:hAnsi="Arial"/>
                <w:sz w:val="18"/>
                <w:szCs w:val="18"/>
                <w:color w:val="auto"/>
                <w:w w:val="96"/>
              </w:rPr>
              <w:t>0.42</w:t>
            </w:r>
          </w:p>
        </w:tc>
        <w:tc>
          <w:tcPr>
            <w:tcW w:w="10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&amp; other longer-term borrowings</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1.11</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95,676</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0.67</w:t>
            </w:r>
          </w:p>
        </w:tc>
        <w:tc>
          <w:tcPr>
            <w:tcW w:w="100" w:type="dxa"/>
            <w:vAlign w:val="bottom"/>
            <w:shd w:val="clear" w:color="auto" w:fill="CCEEFF"/>
          </w:tcPr>
          <w:p>
            <w:pPr>
              <w:spacing w:after="0"/>
              <w:rPr>
                <w:sz w:val="21"/>
                <w:szCs w:val="2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20,887</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20,887</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980</w:t>
            </w:r>
          </w:p>
        </w:tc>
        <w:tc>
          <w:tcPr>
            <w:tcW w:w="480" w:type="dxa"/>
            <w:vAlign w:val="bottom"/>
          </w:tcPr>
          <w:p>
            <w:pPr>
              <w:ind w:left="100"/>
              <w:spacing w:after="0"/>
              <w:rPr>
                <w:sz w:val="20"/>
                <w:szCs w:val="20"/>
                <w:color w:val="auto"/>
              </w:rPr>
            </w:pPr>
            <w:r>
              <w:rPr>
                <w:rFonts w:ascii="Arial" w:cs="Arial" w:eastAsia="Arial" w:hAnsi="Arial"/>
                <w:sz w:val="18"/>
                <w:szCs w:val="18"/>
                <w:color w:val="auto"/>
                <w:w w:val="96"/>
              </w:rPr>
              <w:t>4.69</w:t>
            </w:r>
          </w:p>
        </w:tc>
        <w:tc>
          <w:tcPr>
            <w:tcW w:w="10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Junior subordinated deferrable interest debentures</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46,393</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2.94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2.43</w:t>
            </w:r>
          </w:p>
        </w:tc>
        <w:tc>
          <w:tcPr>
            <w:tcW w:w="100" w:type="dxa"/>
            <w:vAlign w:val="bottom"/>
            <w:shd w:val="clear" w:color="auto" w:fill="CCEEFF"/>
          </w:tcPr>
          <w:p>
            <w:pPr>
              <w:spacing w:after="0"/>
              <w:rPr>
                <w:sz w:val="21"/>
                <w:szCs w:val="2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2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1,847,001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15,977</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0.87</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1,901,763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14,582</w:t>
            </w:r>
          </w:p>
        </w:tc>
        <w:tc>
          <w:tcPr>
            <w:tcW w:w="480" w:type="dxa"/>
            <w:vAlign w:val="bottom"/>
          </w:tcPr>
          <w:p>
            <w:pPr>
              <w:ind w:left="100"/>
              <w:spacing w:after="0"/>
              <w:rPr>
                <w:sz w:val="20"/>
                <w:szCs w:val="20"/>
                <w:color w:val="auto"/>
              </w:rPr>
            </w:pPr>
            <w:r>
              <w:rPr>
                <w:rFonts w:ascii="Arial" w:cs="Arial" w:eastAsia="Arial" w:hAnsi="Arial"/>
                <w:sz w:val="18"/>
                <w:szCs w:val="18"/>
                <w:color w:val="auto"/>
                <w:w w:val="96"/>
              </w:rPr>
              <w:t>0.77</w:t>
            </w:r>
          </w:p>
        </w:tc>
        <w:tc>
          <w:tcPr>
            <w:tcW w:w="100" w:type="dxa"/>
            <w:vAlign w:val="bottom"/>
          </w:tcPr>
          <w:p>
            <w:pPr>
              <w:spacing w:after="0"/>
              <w:rPr>
                <w:sz w:val="20"/>
                <w:szCs w:val="20"/>
                <w:color w:val="auto"/>
              </w:rPr>
            </w:pPr>
          </w:p>
        </w:tc>
      </w:tr>
      <w:tr>
        <w:trPr>
          <w:trHeight w:val="236"/>
        </w:trPr>
        <w:tc>
          <w:tcPr>
            <w:tcW w:w="1440" w:type="dxa"/>
            <w:vAlign w:val="bottom"/>
            <w:shd w:val="clear" w:color="auto" w:fill="CCEEFF"/>
          </w:tcPr>
          <w:p>
            <w:pPr>
              <w:spacing w:after="0"/>
              <w:rPr>
                <w:sz w:val="20"/>
                <w:szCs w:val="20"/>
                <w:color w:val="auto"/>
              </w:rPr>
            </w:pPr>
          </w:p>
        </w:tc>
        <w:tc>
          <w:tcPr>
            <w:tcW w:w="270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top w:val="single" w:sz="8" w:color="auto"/>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4140" w:type="dxa"/>
            <w:vAlign w:val="bottom"/>
            <w:gridSpan w:val="2"/>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464,518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431,569</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29,273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27,394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493,791</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458,963</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207,324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196,033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414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2,548,116</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2,556,759</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4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1440" w:type="dxa"/>
            <w:vAlign w:val="bottom"/>
            <w:tcBorders>
              <w:top w:val="single" w:sz="8" w:color="CCEEFF"/>
            </w:tcBorders>
          </w:tcPr>
          <w:p>
            <w:pPr>
              <w:spacing w:after="0"/>
              <w:rPr>
                <w:sz w:val="21"/>
                <w:szCs w:val="21"/>
                <w:color w:val="auto"/>
              </w:rPr>
            </w:pPr>
          </w:p>
        </w:tc>
        <w:tc>
          <w:tcPr>
            <w:tcW w:w="27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77"/>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91,483</w:t>
            </w:r>
          </w:p>
        </w:tc>
        <w:tc>
          <w:tcPr>
            <w:tcW w:w="200" w:type="dxa"/>
            <w:vAlign w:val="bottom"/>
            <w:tcBorders>
              <w:right w:val="single" w:sz="8" w:color="CCEEFF"/>
            </w:tcBorders>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85,647</w:t>
            </w: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29"/>
        </w:trPr>
        <w:tc>
          <w:tcPr>
            <w:tcW w:w="4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80" w:type="dxa"/>
            <w:vAlign w:val="bottom"/>
            <w:tcBorders>
              <w:top w:val="single" w:sz="8" w:color="CCEEFF"/>
            </w:tcBorders>
            <w:gridSpan w:val="4"/>
          </w:tcPr>
          <w:p>
            <w:pPr>
              <w:ind w:left="320"/>
              <w:spacing w:after="0"/>
              <w:rPr>
                <w:sz w:val="20"/>
                <w:szCs w:val="20"/>
                <w:color w:val="auto"/>
              </w:rPr>
            </w:pPr>
            <w:r>
              <w:rPr>
                <w:rFonts w:ascii="Arial" w:cs="Arial" w:eastAsia="Arial" w:hAnsi="Arial"/>
                <w:sz w:val="18"/>
                <w:szCs w:val="18"/>
                <w:color w:val="auto"/>
              </w:rPr>
              <w:t>3.65%</w:t>
            </w: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w w:val="90"/>
              </w:rPr>
              <w:t>3.44%</w:t>
            </w:r>
          </w:p>
        </w:tc>
      </w:tr>
      <w:tr>
        <w:trPr>
          <w:trHeight w:val="28"/>
        </w:trPr>
        <w:tc>
          <w:tcPr>
            <w:tcW w:w="1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140" w:type="dxa"/>
            <w:vAlign w:val="bottom"/>
            <w:tcBorders>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(3)</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3.60%</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27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income and average balances for interest-earning deposits at other banks, nonmarketable securities and other miscellaneous interest-earning assets.</w:t>
      </w:r>
    </w:p>
    <w:p>
      <w:pPr>
        <w:spacing w:after="0" w:line="120" w:lineRule="exact"/>
        <w:rPr>
          <w:rFonts w:ascii="Arial" w:cs="Arial" w:eastAsia="Arial" w:hAnsi="Arial"/>
          <w:sz w:val="13"/>
          <w:szCs w:val="13"/>
          <w:color w:val="auto"/>
        </w:rPr>
      </w:pPr>
    </w:p>
    <w:p>
      <w:pPr>
        <w:ind w:left="360" w:hanging="355"/>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interest-earnings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8"/>
          </w:tcPr>
          <w:p>
            <w:pPr>
              <w:jc w:val="center"/>
              <w:ind w:right="71"/>
              <w:spacing w:after="0"/>
              <w:rPr>
                <w:sz w:val="20"/>
                <w:szCs w:val="20"/>
                <w:color w:val="auto"/>
              </w:rPr>
            </w:pPr>
            <w:r>
              <w:rPr>
                <w:rFonts w:ascii="Arial" w:cs="Arial" w:eastAsia="Arial" w:hAnsi="Arial"/>
                <w:sz w:val="14"/>
                <w:szCs w:val="14"/>
                <w:b w:val="1"/>
                <w:bCs w:val="1"/>
                <w:color w:val="auto"/>
                <w:w w:val="93"/>
              </w:rPr>
              <w:t>Year Ended December 31,</w:t>
            </w:r>
          </w:p>
        </w:tc>
      </w:tr>
      <w:tr>
        <w:trPr>
          <w:trHeight w:val="183"/>
        </w:trPr>
        <w:tc>
          <w:tcPr>
            <w:tcW w:w="64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2017 over 2016</w:t>
            </w:r>
          </w:p>
        </w:tc>
        <w:tc>
          <w:tcPr>
            <w:tcW w:w="1080" w:type="dxa"/>
            <w:vAlign w:val="bottom"/>
            <w:tcBorders>
              <w:top w:val="single" w:sz="8" w:color="auto"/>
              <w:bottom w:val="single" w:sz="8" w:color="auto"/>
            </w:tcBorders>
          </w:tcPr>
          <w:p>
            <w:pPr>
              <w:spacing w:after="0"/>
              <w:rPr>
                <w:sz w:val="15"/>
                <w:szCs w:val="15"/>
                <w:color w:val="auto"/>
              </w:rPr>
            </w:pPr>
          </w:p>
        </w:tc>
      </w:tr>
      <w:tr>
        <w:trPr>
          <w:trHeight w:val="183"/>
        </w:trPr>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Volume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Total Variance</w:t>
            </w:r>
          </w:p>
        </w:tc>
      </w:tr>
      <w:tr>
        <w:trPr>
          <w:trHeight w:val="183"/>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6"/>
          </w:tcPr>
          <w:p>
            <w:pPr>
              <w:jc w:val="center"/>
              <w:ind w:right="771"/>
              <w:spacing w:after="0"/>
              <w:rPr>
                <w:sz w:val="20"/>
                <w:szCs w:val="20"/>
                <w:color w:val="auto"/>
              </w:rPr>
            </w:pPr>
            <w:r>
              <w:rPr>
                <w:rFonts w:ascii="Arial" w:cs="Arial" w:eastAsia="Arial" w:hAnsi="Arial"/>
                <w:sz w:val="14"/>
                <w:szCs w:val="14"/>
                <w:b w:val="1"/>
                <w:bCs w:val="1"/>
                <w:color w:val="auto"/>
                <w:w w:val="91"/>
              </w:rPr>
              <w:t>(Dollars in thousands)</w:t>
            </w:r>
          </w:p>
        </w:tc>
      </w:tr>
      <w:tr>
        <w:trPr>
          <w:trHeight w:val="243"/>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5,218</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6,579</w:t>
            </w:r>
          </w:p>
        </w:tc>
      </w:tr>
      <w:tr>
        <w:trPr>
          <w:trHeight w:val="249"/>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49"/>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funds sold</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Other interest-earning assets</w:t>
            </w: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37"/>
        </w:trPr>
        <w:tc>
          <w:tcPr>
            <w:tcW w:w="648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(decrease) in interest income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7,231</w:t>
            </w:r>
          </w:p>
        </w:tc>
      </w:tr>
      <w:tr>
        <w:trPr>
          <w:trHeight w:val="237"/>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NOW, Savings, MMDAs</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49"/>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9"/>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9"/>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0"/>
        </w:trPr>
        <w:tc>
          <w:tcPr>
            <w:tcW w:w="64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r>
      <w:tr>
        <w:trPr>
          <w:trHeight w:val="237"/>
        </w:trPr>
        <w:tc>
          <w:tcPr>
            <w:tcW w:w="6480" w:type="dxa"/>
            <w:vAlign w:val="bottom"/>
          </w:tcPr>
          <w:p>
            <w:pPr>
              <w:ind w:left="360"/>
              <w:spacing w:after="0"/>
              <w:rPr>
                <w:sz w:val="20"/>
                <w:szCs w:val="20"/>
                <w:color w:val="auto"/>
              </w:rPr>
            </w:pPr>
            <w:r>
              <w:rPr>
                <w:rFonts w:ascii="Arial" w:cs="Arial" w:eastAsia="Arial" w:hAnsi="Arial"/>
                <w:sz w:val="18"/>
                <w:szCs w:val="18"/>
                <w:color w:val="auto"/>
              </w:rPr>
              <w:t>Total increase (decrease) interest expense:</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36"/>
        </w:trPr>
        <w:tc>
          <w:tcPr>
            <w:tcW w:w="64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Increase (decrease) in net interest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4,551</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5,836</w:t>
            </w:r>
          </w:p>
        </w:tc>
      </w:tr>
      <w:tr>
        <w:trPr>
          <w:trHeight w:val="20"/>
        </w:trPr>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firstLine="360"/>
        <w:spacing w:after="0" w:line="291" w:lineRule="auto"/>
        <w:rPr>
          <w:sz w:val="20"/>
          <w:szCs w:val="20"/>
          <w:color w:val="auto"/>
        </w:rPr>
      </w:pPr>
      <w:r>
        <w:rPr>
          <w:rFonts w:ascii="Arial" w:cs="Arial" w:eastAsia="Arial" w:hAnsi="Arial"/>
          <w:sz w:val="16"/>
          <w:szCs w:val="16"/>
          <w:color w:val="auto"/>
        </w:rPr>
        <w:t>Net interest income for the year ended December 31, 2017 was $88.4 million compared to $82.6 million for the year ended December 31, 2016, an increase of $5.8 million, or 7.0%. The increase in net interest income was comprised of a $7.2 million, or</w:t>
      </w:r>
    </w:p>
    <w:p>
      <w:pPr>
        <w:spacing w:after="0" w:line="267" w:lineRule="auto"/>
        <w:rPr>
          <w:sz w:val="20"/>
          <w:szCs w:val="20"/>
          <w:color w:val="auto"/>
        </w:rPr>
      </w:pPr>
      <w:r>
        <w:rPr>
          <w:rFonts w:ascii="Arial" w:cs="Arial" w:eastAsia="Arial" w:hAnsi="Arial"/>
          <w:sz w:val="17"/>
          <w:szCs w:val="17"/>
          <w:color w:val="auto"/>
        </w:rPr>
        <w:t>7.4%, increase in interest income offset by a $1.4 million, or 9.6%, increase in interest expense. The growth in interest income was primarily attributable to a $100.3 million, or 5.9%, increase in average loans outstanding for the year ended December 31, 2017, compared to 2016, and by an 0.08% increase in the yield on total loans. The increase in average loans outstanding was primarily due to organic growth in most loan segments with the largest increase in the indirect dealer loan portion of the consumer sector of our loan portfolio. The $1.4 million increase in interest expense for the year ended December 31, 2017 was primarily related to a 0.10% increase in the rate paid on interest-bearing liabilities, offset by a decrease of $54.8 million, or 2.9%, in average interest-bearing deposits over the same period in 2016. The decrease in average interest-bearing liabilities from 2016 to 2017 was due primarily to a decrease in brokered deposits of $20.8 million and a decrease in federal funds purchased from correspondent banks of $6.5 million. Additionally, average noninterest-bearing demand deposits increased to $464.5 million in 2017 from $431.6 million in 2016. For the year ended December 31, 2017, net interest margin and net interest spread were 3.85% and 3.65%, respectively, compared to 3.60% and 3.44% for the same period in 2016, which reflects the increases in interest income discussed above relative to the increases in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charging the shortfall or excess, if any, to the current quarter’s expense. This has the effect of creating variability 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8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provision for loan losses for the year ended December 31, 2017 was $4.0 million compared to $2.0 million for the year ended December 31, 2016, and the increase of $2.0 million, or 101.5%, was primarily due to an increase in the size of the loan portfolio. The allowance for loan losses as a percentage of gross loans was 1.17% at December 31, 2017 and 1.27% at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79" w:lineRule="exact"/>
        <w:rPr>
          <w:sz w:val="20"/>
          <w:szCs w:val="20"/>
          <w:color w:val="auto"/>
        </w:rPr>
      </w:pPr>
    </w:p>
    <w:p>
      <w:pPr>
        <w:jc w:val="both"/>
        <w:ind w:right="340" w:firstLine="360"/>
        <w:spacing w:after="0" w:line="263" w:lineRule="auto"/>
        <w:rPr>
          <w:sz w:val="20"/>
          <w:szCs w:val="20"/>
          <w:color w:val="auto"/>
        </w:rPr>
      </w:pPr>
      <w:r>
        <w:rPr>
          <w:rFonts w:ascii="Arial" w:cs="Arial" w:eastAsia="Arial" w:hAnsi="Arial"/>
          <w:sz w:val="18"/>
          <w:szCs w:val="18"/>
          <w:color w:val="auto"/>
        </w:rPr>
        <w:t>Noninterest income for the year ended December 31, 2017 was $47.4 million compared to $49.9 million for the year ended December 31, 2016, a decrease of $2.5 million, or 5.0%. The following table sets forth the major components of our noninterest income for the years ended December 31, 2017 and 2016:</w:t>
      </w:r>
    </w:p>
    <w:p>
      <w:pPr>
        <w:spacing w:after="0" w:line="40"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5080</wp:posOffset>
            </wp:positionV>
            <wp:extent cx="10972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6" w:lineRule="exact"/>
        <w:rPr>
          <w:sz w:val="20"/>
          <w:szCs w:val="20"/>
          <w:color w:val="auto"/>
        </w:rPr>
      </w:pPr>
    </w:p>
    <w:tbl>
      <w:tblPr>
        <w:tblLayout w:type="fixed"/>
        <w:tblInd w:w="694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Increase</w:t>
            </w:r>
          </w:p>
        </w:tc>
      </w:tr>
      <w:tr>
        <w:trPr>
          <w:trHeight w:val="186"/>
        </w:trPr>
        <w:tc>
          <w:tcPr>
            <w:tcW w:w="640" w:type="dxa"/>
            <w:vAlign w:val="bottom"/>
          </w:tcPr>
          <w:p>
            <w:pPr>
              <w:jc w:val="right"/>
              <w:ind w:right="268"/>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jc w:val="center"/>
              <w:ind w:left="208"/>
              <w:spacing w:after="0"/>
              <w:rPr>
                <w:sz w:val="20"/>
                <w:szCs w:val="20"/>
                <w:color w:val="auto"/>
              </w:rPr>
            </w:pPr>
            <w:r>
              <w:rPr>
                <w:rFonts w:ascii="Arial" w:cs="Arial" w:eastAsia="Arial" w:hAnsi="Arial"/>
                <w:sz w:val="14"/>
                <w:szCs w:val="14"/>
                <w:b w:val="1"/>
                <w:bCs w:val="1"/>
                <w:color w:val="auto"/>
                <w:w w:val="88"/>
              </w:rPr>
              <w:t>(decrease)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0</wp:posOffset>
            </wp:positionV>
            <wp:extent cx="17570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606933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7,425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8,296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r>
      <w:tr>
        <w:trPr>
          <w:trHeight w:val="250"/>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6,422</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7,235</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7,857</w:t>
            </w:r>
          </w:p>
        </w:tc>
        <w:tc>
          <w:tcPr>
            <w:tcW w:w="2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7,862</w:t>
            </w:r>
          </w:p>
        </w:tc>
        <w:tc>
          <w:tcPr>
            <w:tcW w:w="2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 banking activities</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20,390</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22,140</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43"/>
        </w:trPr>
        <w:tc>
          <w:tcPr>
            <w:tcW w:w="668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Other income and fees</w:t>
            </w:r>
            <w:r>
              <w:rPr>
                <w:rFonts w:ascii="Arial" w:cs="Arial" w:eastAsia="Arial" w:hAnsi="Arial"/>
                <w:sz w:val="28"/>
                <w:szCs w:val="28"/>
                <w:color w:val="auto"/>
                <w:vertAlign w:val="superscript"/>
              </w:rPr>
              <w:t>(1)</w:t>
            </w:r>
          </w:p>
        </w:tc>
        <w:tc>
          <w:tcPr>
            <w:tcW w:w="2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5,295</w:t>
            </w:r>
          </w:p>
        </w:tc>
        <w:tc>
          <w:tcPr>
            <w:tcW w:w="2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4,363</w:t>
            </w:r>
          </w:p>
        </w:tc>
        <w:tc>
          <w:tcPr>
            <w:tcW w:w="26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0"/>
        </w:trPr>
        <w:tc>
          <w:tcPr>
            <w:tcW w:w="1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47,389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49,896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right="480" w:hanging="355"/>
        <w:spacing w:after="0" w:line="273" w:lineRule="auto"/>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income and fees includes income and fees associated with fiduciary activities, investment services, the increase in the cash surrender value of life insurance, safe deposit box rental, check printing, collections, wire transfer and other miscellaneous services.</w:t>
      </w:r>
    </w:p>
    <w:p>
      <w:pPr>
        <w:spacing w:after="0" w:line="5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Income from service charges on deposit accounts include fees for overdraft privilege charges, insufficient funds charges, account analysis service fees on commercial accounts, and monthly account service fees. These fees decreased $871,000, or 10.5%, to $7.4 million for the year ended December 31, 2017 from $8.3 million for the year ended December 31, 2016. The reduction was a continued trend in fewer overdraft privilege and insufficient funds transactions.</w:t>
      </w:r>
    </w:p>
    <w:p>
      <w:pPr>
        <w:spacing w:after="0" w:line="6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Income from insurance activities is primarily derived from our insurance agency subsidiary, Windmark Insurance Agency, Inc., or Windmark Insurance. Insurance income decreased $813,000, or 11.2%, to $6.4 million for the year ended December 31, 2017 from $7.2 million for the year ended December 31, 2016. This decrease was primarily attributable to a non-recurring gain on sale of certain insurance assets of $2.0 million in 2016. These assets were held by a 50%-owned subsidiary of Windmark Insurance. Additionally, the reduction in the non-recurring gain was offset by an increase in commissions and bonuses for insurance sales of $1.0 million during 2017.</w:t>
      </w:r>
    </w:p>
    <w:p>
      <w:pPr>
        <w:spacing w:after="0" w:line="84" w:lineRule="exact"/>
        <w:rPr>
          <w:sz w:val="20"/>
          <w:szCs w:val="20"/>
          <w:color w:val="auto"/>
        </w:rPr>
      </w:pPr>
    </w:p>
    <w:p>
      <w:pPr>
        <w:ind w:right="280" w:firstLine="360"/>
        <w:spacing w:after="0" w:line="255" w:lineRule="auto"/>
        <w:rPr>
          <w:sz w:val="20"/>
          <w:szCs w:val="20"/>
          <w:color w:val="auto"/>
        </w:rPr>
      </w:pPr>
      <w:r>
        <w:rPr>
          <w:rFonts w:ascii="Arial" w:cs="Arial" w:eastAsia="Arial" w:hAnsi="Arial"/>
          <w:sz w:val="18"/>
          <w:szCs w:val="18"/>
          <w:color w:val="auto"/>
        </w:rPr>
        <w:t>Income from mortgage banking activities includes gains on the sale of mortgage loans originated for sale in the secondary market, servicing income on mortgages sold with retained servicing, and related mortgage loan service charges. Income from mortgage banking activities decreased $1.8 million, or 7.9%, to $20.4 million for the year ended December 31, 2017 from $22.1 million for the year ended December 31, 2016. The decrease was due primarily to a decrease in net gain on sales of loans of $1.7 million from 2016 to 2017 as a result of a decrease of $47.4 million in sales of mortgage loans. Production of mortgage loans decreased by 4.5% from 2016 to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60" w:firstLine="360"/>
        <w:spacing w:after="0" w:line="296" w:lineRule="auto"/>
        <w:rPr>
          <w:sz w:val="20"/>
          <w:szCs w:val="20"/>
          <w:color w:val="auto"/>
        </w:rPr>
      </w:pPr>
      <w:r>
        <w:rPr>
          <w:rFonts w:ascii="Arial" w:cs="Arial" w:eastAsia="Arial" w:hAnsi="Arial"/>
          <w:sz w:val="16"/>
          <w:szCs w:val="16"/>
          <w:color w:val="auto"/>
        </w:rPr>
        <w:t>Other noninterest income increased $932,000, or 21.4%, from $4.4 million for the year ended December 31, 2016 to $5.3 million for the year ended December 31, 2017. This increase was due in part to an increase of $346,000 in investment services revenue in 2017 related to the addition of a new investment advisor in late 2016. Additionally, the cash surrender value of life insurance was $398,000 higher in 2017 compared to 2016. There was an approximate $325,000 charge incurred in 2016 for exchanging separate account policies for general account polices which thereby reduced the cash surrender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Noninterest expense for 2017 was $108.1 million compared to $104.4 million for 2016, an increase of $3.7 million, or 3.6%.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major components of our noninterest expense for the years ended December 31, 2017 and 2016:</w:t>
      </w:r>
    </w:p>
    <w:p>
      <w:pPr>
        <w:spacing w:after="0" w:line="90"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5080</wp:posOffset>
            </wp:positionV>
            <wp:extent cx="1200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Increase</w:t>
            </w:r>
          </w:p>
        </w:tc>
      </w:tr>
      <w:tr>
        <w:trPr>
          <w:trHeight w:val="185"/>
        </w:trPr>
        <w:tc>
          <w:tcPr>
            <w:tcW w:w="14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(decrease)</w:t>
            </w:r>
          </w:p>
        </w:tc>
        <w:tc>
          <w:tcPr>
            <w:tcW w:w="8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6"/>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6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67,127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63,210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3,917</w:t>
            </w:r>
          </w:p>
        </w:tc>
      </w:tr>
      <w:tr>
        <w:trPr>
          <w:trHeight w:val="249"/>
        </w:trPr>
        <w:tc>
          <w:tcPr>
            <w:tcW w:w="6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Occupancy expense, net</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12,988</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13,147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r>
      <w:tr>
        <w:trPr>
          <w:trHeight w:val="237"/>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4,544</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r>
      <w:tr>
        <w:trPr>
          <w:trHeight w:val="249"/>
        </w:trPr>
        <w:tc>
          <w:tcPr>
            <w:tcW w:w="6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Marketing and development</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2,994</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2,892</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37"/>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Bankcard expenses</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2,298</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r>
      <w:tr>
        <w:trPr>
          <w:trHeight w:val="249"/>
        </w:trPr>
        <w:tc>
          <w:tcPr>
            <w:tcW w:w="6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FDIC insurance assessment</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1,365</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r>
      <w:tr>
        <w:trPr>
          <w:trHeight w:val="237"/>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Appraisal expenses</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1,534</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49"/>
        </w:trPr>
        <w:tc>
          <w:tcPr>
            <w:tcW w:w="66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2,115</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r>
      <w:tr>
        <w:trPr>
          <w:trHeight w:val="243"/>
        </w:trPr>
        <w:tc>
          <w:tcPr>
            <w:tcW w:w="664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Other expenses</w:t>
            </w:r>
            <w:r>
              <w:rPr>
                <w:rFonts w:ascii="Arial" w:cs="Arial" w:eastAsia="Arial" w:hAnsi="Arial"/>
                <w:sz w:val="28"/>
                <w:szCs w:val="28"/>
                <w:color w:val="auto"/>
                <w:vertAlign w:val="superscript"/>
              </w:rPr>
              <w:t>(1)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13,179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12,554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r>
      <w:tr>
        <w:trPr>
          <w:trHeight w:val="20"/>
        </w:trPr>
        <w:tc>
          <w:tcPr>
            <w:tcW w:w="1440" w:type="dxa"/>
            <w:vAlign w:val="bottom"/>
          </w:tcPr>
          <w:p>
            <w:pPr>
              <w:spacing w:after="0" w:line="20" w:lineRule="exact"/>
              <w:rPr>
                <w:sz w:val="1"/>
                <w:szCs w:val="1"/>
                <w:color w:val="auto"/>
              </w:rPr>
            </w:pPr>
          </w:p>
        </w:tc>
        <w:tc>
          <w:tcPr>
            <w:tcW w:w="5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66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108,144</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104,388</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3,756</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expenses include items such as telephone expenses, postage, courier fees, directors’ fees, and insurance.</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Salaries and employee benefits include (i) amounts paid to employees for base pay, commissions, incentive compensation,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bonuses, (ii) health and other related insurance paid by the Bank on behalf of our employees, and (iii) the annual cost for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liability for non-qualified plans maintained for certain key employees. Salaries and employee benefits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 million, or 6.2%, from $63.2 million for the year ended December 31, 2016 to $67.1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The increase was primarily due to an additional $2.4 million in non-qualified plan expense incurred in 2017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stock appreciation rights plans. These rights are valued based on the fair market value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increased more in 2017 than it had in 2016. Additionally, there were base pay raises of approximately 4% given to employees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2017 which caused base salaries to increase $1.6 million in 2017.</w:t>
      </w:r>
    </w:p>
    <w:p>
      <w:pPr>
        <w:spacing w:after="0" w:line="103"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Net occupancy expenses are comprised of depreciation on property, premises, equipment and software, rent expense for leased facilities and equipment, maintenance agreements on equipment and software, property taxes, and other expenses related to maintaining owned or leased assets. Net occupancy expense for the year ended December 31, 2017 was $13.0 million compared to $13.1 million for the year ended December 31, 2016, a decrease of $159,000, or 1.2%.</w:t>
      </w:r>
    </w:p>
    <w:p>
      <w:pPr>
        <w:spacing w:after="0" w:line="63"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Professional services expenses, which include legal fees, audit and accounting fees, and consulting fees, decreased $737,000 in 2017. This decrease was primarily due to the timing of audits in 2017, the completion of certain consulting engagements in 2016, and fewer corporate activities requiring legal service in 2017. Additionally, our FDIC insurance assessment decreased $413,000 in 2017 as a result of a change in the assessment rate by the FDIC in late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Total assets increased $72.6 million, or 2.9%, to $2.6 billion at December 31, 2017 as compared to $2.5 billion at December 31, 2016. The increase in total assets was primarily the result of our organic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growth. Our gross loans held for investment increased $177.0 million, or 10.7%, to $1.8 billion at December 31, 2017, compared to $1.7 billion at December 31, 2016. Our securities portfolio decreased $40.7 million, or 12.5%, to $284.1 million at December 31, 2017, compared to $324.8 million at December 31, 2016. The decrease in securities was used to help fund the growth in loans held for investment. Total deposits increased $63.2 million, or 3.0% to $2.2 billion at December 31, 2017, compared to $2.1 billion at December 31, 2016. This increase in deposits was also used to help fund our growth in loans held for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79"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following table presents the balance and associated percentage of each major category in our gross loan portfolio at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ind w:left="40"/>
              <w:spacing w:after="0" w:line="160"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160"/>
              <w:spacing w:after="0" w:line="16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7"/>
              </w:rPr>
              <w:t>(Dollars 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1"/>
              </w:rPr>
              <w:t>%  $</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506,894</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462,495</w:t>
            </w:r>
          </w:p>
        </w:tc>
        <w:tc>
          <w:tcPr>
            <w:tcW w:w="18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490,938</w:t>
            </w:r>
          </w:p>
        </w:tc>
        <w:tc>
          <w:tcPr>
            <w:tcW w:w="18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548,755</w:t>
            </w:r>
          </w:p>
        </w:tc>
        <w:tc>
          <w:tcPr>
            <w:tcW w:w="18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20"/>
        </w:trPr>
        <w:tc>
          <w:tcPr>
            <w:tcW w:w="1840" w:type="dxa"/>
            <w:vAlign w:val="bottom"/>
          </w:tcPr>
          <w:p>
            <w:pPr>
              <w:spacing w:after="0"/>
              <w:rPr>
                <w:sz w:val="20"/>
                <w:szCs w:val="20"/>
                <w:color w:val="auto"/>
              </w:rPr>
            </w:pPr>
            <w:r>
              <w:rPr>
                <w:rFonts w:ascii="Arial" w:cs="Arial" w:eastAsia="Arial" w:hAnsi="Arial"/>
                <w:sz w:val="16"/>
                <w:szCs w:val="16"/>
                <w:color w:val="auto"/>
                <w:w w:val="98"/>
              </w:rPr>
              <w:t>Commercial – specialized</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329,119</w:t>
            </w:r>
          </w:p>
        </w:tc>
        <w:tc>
          <w:tcPr>
            <w:tcW w:w="480" w:type="dxa"/>
            <w:vAlign w:val="bottom"/>
          </w:tcPr>
          <w:p>
            <w:pPr>
              <w:jc w:val="right"/>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309,279</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329,561</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297,215</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5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410,057</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395,949</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395,938</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308,506</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840" w:type="dxa"/>
            <w:vAlign w:val="bottom"/>
          </w:tcPr>
          <w:p>
            <w:pPr>
              <w:spacing w:after="0"/>
              <w:rPr>
                <w:sz w:val="20"/>
                <w:szCs w:val="20"/>
                <w:color w:val="auto"/>
              </w:rPr>
            </w:pPr>
            <w:r>
              <w:rPr>
                <w:rFonts w:ascii="Arial" w:cs="Arial" w:eastAsia="Arial" w:hAnsi="Arial"/>
                <w:sz w:val="16"/>
                <w:szCs w:val="16"/>
                <w:color w:val="auto"/>
              </w:rPr>
              <w:t>Consumer</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526,163</w:t>
            </w:r>
          </w:p>
        </w:tc>
        <w:tc>
          <w:tcPr>
            <w:tcW w:w="480" w:type="dxa"/>
            <w:vAlign w:val="bottom"/>
          </w:tcPr>
          <w:p>
            <w:pPr>
              <w:jc w:val="right"/>
              <w:spacing w:after="0"/>
              <w:rPr>
                <w:sz w:val="20"/>
                <w:szCs w:val="20"/>
                <w:color w:val="auto"/>
              </w:rPr>
            </w:pPr>
            <w:r>
              <w:rPr>
                <w:rFonts w:ascii="Arial" w:cs="Arial" w:eastAsia="Arial" w:hAnsi="Arial"/>
                <w:sz w:val="16"/>
                <w:szCs w:val="16"/>
                <w:color w:val="auto"/>
              </w:rPr>
              <w:t>28.6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436,256</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421,866</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369,829</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Construction</w:t>
            </w:r>
          </w:p>
        </w:tc>
        <w:tc>
          <w:tcPr>
            <w:tcW w:w="5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65,922</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57,207</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41,011</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25,728</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6"/>
                <w:szCs w:val="16"/>
                <w:color w:val="auto"/>
              </w:rPr>
              <w:t>Gross Loans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1,838,155</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1,661,186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1,679,314</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1,550,033</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18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Allowance for loan</w:t>
            </w: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(21,461)</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(21,174)</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(24,220)</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(27,940)</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losses</w:t>
            </w: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vMerge w:val="continue"/>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840" w:type="dxa"/>
            <w:vAlign w:val="bottom"/>
          </w:tcPr>
          <w:p>
            <w:pPr>
              <w:ind w:left="180"/>
              <w:spacing w:after="0"/>
              <w:rPr>
                <w:sz w:val="20"/>
                <w:szCs w:val="20"/>
                <w:color w:val="auto"/>
              </w:rPr>
            </w:pPr>
            <w:r>
              <w:rPr>
                <w:rFonts w:ascii="Arial" w:cs="Arial" w:eastAsia="Arial" w:hAnsi="Arial"/>
                <w:sz w:val="16"/>
                <w:szCs w:val="16"/>
                <w:color w:val="auto"/>
              </w:rPr>
              <w:t>Net Loans</w:t>
            </w: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1,816,694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1,640,012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1,655,094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1,522,093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auto"/>
        </w:rPr>
        <w:t>Gross loans increased $177.0 million, or 10.7%, to $1.8 billion at December 31, 2017 as compared to $1.7 billion at December 31, 2016. This increase in our loans was due to continued growth in all of our loan categories, with the largest increase of $89.9 million occurring in the consumer segment.</w:t>
      </w:r>
    </w:p>
    <w:p>
      <w:pPr>
        <w:spacing w:after="0" w:line="76"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following tables show the contractual maturities of our gross loan portfolio and the distribution between fixed and adjustable interest rate loans at December 31, 2017 and December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As of December 31, 2017</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right"/>
              <w:ind w:right="241"/>
              <w:spacing w:after="0" w:line="160" w:lineRule="exact"/>
              <w:rPr>
                <w:sz w:val="20"/>
                <w:szCs w:val="20"/>
                <w:color w:val="auto"/>
              </w:rPr>
            </w:pPr>
            <w:r>
              <w:rPr>
                <w:rFonts w:ascii="Arial" w:cs="Arial" w:eastAsia="Arial" w:hAnsi="Arial"/>
                <w:sz w:val="14"/>
                <w:szCs w:val="14"/>
                <w:b w:val="1"/>
                <w:bCs w:val="1"/>
                <w:color w:val="auto"/>
              </w:rPr>
              <w:t>Due after One Year</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Due in One Year or Less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Through Five Years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9"/>
              </w:rPr>
              <w:t>Due after Five Years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Adjustable</w:t>
            </w:r>
          </w:p>
        </w:tc>
        <w:tc>
          <w:tcPr>
            <w:tcW w:w="140" w:type="dxa"/>
            <w:vAlign w:val="bottom"/>
          </w:tcPr>
          <w:p>
            <w:pPr>
              <w:spacing w:after="0"/>
              <w:rPr>
                <w:sz w:val="13"/>
                <w:szCs w:val="13"/>
                <w:color w:val="auto"/>
              </w:rPr>
            </w:pPr>
          </w:p>
        </w:tc>
        <w:tc>
          <w:tcPr>
            <w:tcW w:w="620" w:type="dxa"/>
            <w:vAlign w:val="bottom"/>
          </w:tcPr>
          <w:p>
            <w:pPr>
              <w:jc w:val="right"/>
              <w:ind w:right="143"/>
              <w:spacing w:after="0" w:line="160" w:lineRule="exact"/>
              <w:rPr>
                <w:sz w:val="20"/>
                <w:szCs w:val="20"/>
                <w:color w:val="auto"/>
              </w:rPr>
            </w:pPr>
            <w:r>
              <w:rPr>
                <w:rFonts w:ascii="Arial" w:cs="Arial" w:eastAsia="Arial" w:hAnsi="Arial"/>
                <w:sz w:val="14"/>
                <w:szCs w:val="14"/>
                <w:b w:val="1"/>
                <w:bCs w:val="1"/>
                <w:color w:val="auto"/>
              </w:rPr>
              <w:t>Fixed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21"/>
              <w:spacing w:after="0" w:line="160" w:lineRule="exact"/>
              <w:rPr>
                <w:sz w:val="20"/>
                <w:szCs w:val="20"/>
                <w:color w:val="auto"/>
              </w:rPr>
            </w:pPr>
            <w:r>
              <w:rPr>
                <w:rFonts w:ascii="Arial" w:cs="Arial" w:eastAsia="Arial" w:hAnsi="Arial"/>
                <w:sz w:val="14"/>
                <w:szCs w:val="14"/>
                <w:b w:val="1"/>
                <w:bCs w:val="1"/>
                <w:color w:val="auto"/>
                <w:w w:val="92"/>
              </w:rPr>
              <w:t>Adjustable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3"/>
                <w:szCs w:val="13"/>
                <w:color w:val="auto"/>
              </w:rPr>
            </w:pPr>
          </w:p>
        </w:tc>
        <w:tc>
          <w:tcPr>
            <w:tcW w:w="780" w:type="dxa"/>
            <w:vAlign w:val="bottom"/>
          </w:tcPr>
          <w:p>
            <w:pPr>
              <w:jc w:val="right"/>
              <w:ind w:right="21"/>
              <w:spacing w:after="0" w:line="160" w:lineRule="exact"/>
              <w:rPr>
                <w:sz w:val="20"/>
                <w:szCs w:val="20"/>
                <w:color w:val="auto"/>
              </w:rPr>
            </w:pPr>
            <w:r>
              <w:rPr>
                <w:rFonts w:ascii="Arial" w:cs="Arial" w:eastAsia="Arial" w:hAnsi="Arial"/>
                <w:sz w:val="14"/>
                <w:szCs w:val="14"/>
                <w:b w:val="1"/>
                <w:bCs w:val="1"/>
                <w:color w:val="auto"/>
                <w:w w:val="92"/>
              </w:rPr>
              <w:t>Adjustable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2"/>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4"/>
              </w:rPr>
              <w:t>(Dollars in thousands)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34,242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7,949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223,396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506,894</w:t>
            </w:r>
          </w:p>
        </w:tc>
        <w:tc>
          <w:tcPr>
            <w:tcW w:w="100" w:type="dxa"/>
            <w:vAlign w:val="bottom"/>
            <w:shd w:val="clear" w:color="auto" w:fill="CCEEFF"/>
          </w:tcPr>
          <w:p>
            <w:pPr>
              <w:spacing w:after="0"/>
              <w:rPr>
                <w:sz w:val="19"/>
                <w:szCs w:val="19"/>
                <w:color w:val="auto"/>
              </w:rPr>
            </w:pPr>
          </w:p>
        </w:tc>
      </w:t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Commercial - specialized</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123,435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81,938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32,816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10,207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65,268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329,119</w:t>
            </w:r>
          </w:p>
        </w:tc>
        <w:tc>
          <w:tcPr>
            <w:tcW w:w="100" w:type="dxa"/>
            <w:vAlign w:val="bottom"/>
          </w:tcPr>
          <w:p>
            <w:pPr>
              <w:spacing w:after="0"/>
              <w:rPr>
                <w:sz w:val="19"/>
                <w:szCs w:val="19"/>
                <w:color w:val="auto"/>
              </w:rPr>
            </w:pPr>
          </w:p>
        </w:tc>
      </w:tr>
      <w:tr>
        <w:trPr>
          <w:trHeight w:val="239"/>
        </w:trPr>
        <w:tc>
          <w:tcPr>
            <w:tcW w:w="2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39,840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77,026</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58,866</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16,676</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193,802</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410,057</w:t>
            </w:r>
          </w:p>
        </w:tc>
        <w:tc>
          <w:tcPr>
            <w:tcW w:w="100" w:type="dxa"/>
            <w:vAlign w:val="bottom"/>
            <w:shd w:val="clear" w:color="auto" w:fill="CCEEFF"/>
          </w:tcPr>
          <w:p>
            <w:pPr>
              <w:spacing w:after="0"/>
              <w:rPr>
                <w:sz w:val="20"/>
                <w:szCs w:val="20"/>
                <w:color w:val="auto"/>
              </w:rPr>
            </w:pPr>
          </w:p>
        </w:tc>
      </w:t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29,482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4,588</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163,703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193,292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124,863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526,163</w:t>
            </w:r>
          </w:p>
        </w:tc>
        <w:tc>
          <w:tcPr>
            <w:tcW w:w="100" w:type="dxa"/>
            <w:vAlign w:val="bottom"/>
          </w:tcPr>
          <w:p>
            <w:pPr>
              <w:spacing w:after="0"/>
              <w:rPr>
                <w:sz w:val="19"/>
                <w:szCs w:val="19"/>
                <w:color w:val="auto"/>
              </w:rPr>
            </w:pPr>
          </w:p>
        </w:tc>
      </w:tr>
      <w:tr>
        <w:trPr>
          <w:trHeight w:val="236"/>
        </w:trPr>
        <w:tc>
          <w:tcPr>
            <w:tcW w:w="2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Construction</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21,682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65,922</w:t>
            </w:r>
          </w:p>
        </w:tc>
        <w:tc>
          <w:tcPr>
            <w:tcW w:w="100" w:type="dxa"/>
            <w:vAlign w:val="bottom"/>
            <w:shd w:val="clear" w:color="auto" w:fill="CCEEFF"/>
          </w:tcPr>
          <w:p>
            <w:pPr>
              <w:spacing w:after="0"/>
              <w:rPr>
                <w:sz w:val="20"/>
                <w:szCs w:val="20"/>
                <w:color w:val="auto"/>
              </w:rPr>
            </w:pPr>
          </w:p>
        </w:tc>
      </w:tr>
      <w:tr>
        <w:trPr>
          <w:trHeight w:val="20"/>
        </w:trPr>
        <w:tc>
          <w:tcPr>
            <w:tcW w:w="23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3"/>
        </w:trPr>
        <w:tc>
          <w:tcPr>
            <w:tcW w:w="2320" w:type="dxa"/>
            <w:vAlign w:val="bottom"/>
          </w:tcPr>
          <w:p>
            <w:pPr>
              <w:ind w:left="180"/>
              <w:spacing w:after="0"/>
              <w:rPr>
                <w:sz w:val="20"/>
                <w:szCs w:val="20"/>
                <w:color w:val="auto"/>
              </w:rPr>
            </w:pPr>
            <w:r>
              <w:rPr>
                <w:rFonts w:ascii="Arial" w:cs="Arial" w:eastAsia="Arial" w:hAnsi="Arial"/>
                <w:sz w:val="16"/>
                <w:szCs w:val="16"/>
                <w:color w:val="auto"/>
              </w:rPr>
              <w:t>Gross loans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145,226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223,787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468,454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157,245</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229,649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613,794</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1,838,155</w:t>
            </w:r>
          </w:p>
        </w:tc>
        <w:tc>
          <w:tcPr>
            <w:tcW w:w="10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left="363"/>
              <w:spacing w:after="0"/>
              <w:rPr>
                <w:sz w:val="20"/>
                <w:szCs w:val="20"/>
                <w:color w:val="auto"/>
              </w:rPr>
            </w:pPr>
            <w:r>
              <w:rPr>
                <w:rFonts w:ascii="Arial" w:cs="Arial" w:eastAsia="Arial" w:hAnsi="Arial"/>
                <w:sz w:val="14"/>
                <w:szCs w:val="14"/>
                <w:b w:val="1"/>
                <w:bCs w:val="1"/>
                <w:color w:val="auto"/>
                <w:w w:val="92"/>
              </w:rPr>
              <w:t>As of December 31, 2016</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1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tcPr>
          <w:p>
            <w:pPr>
              <w:ind w:left="160"/>
              <w:spacing w:after="0" w:line="160" w:lineRule="exact"/>
              <w:rPr>
                <w:sz w:val="20"/>
                <w:szCs w:val="20"/>
                <w:color w:val="auto"/>
              </w:rPr>
            </w:pPr>
            <w:r>
              <w:rPr>
                <w:rFonts w:ascii="Arial" w:cs="Arial" w:eastAsia="Arial" w:hAnsi="Arial"/>
                <w:sz w:val="14"/>
                <w:szCs w:val="14"/>
                <w:b w:val="1"/>
                <w:bCs w:val="1"/>
                <w:color w:val="auto"/>
              </w:rPr>
              <w:t>Due after One Year</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Due in One Year or Less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Through Five Years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9"/>
              </w:rPr>
              <w:t>Due after Five Years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81"/>
              <w:spacing w:after="0" w:line="160" w:lineRule="exact"/>
              <w:rPr>
                <w:sz w:val="20"/>
                <w:szCs w:val="20"/>
                <w:color w:val="auto"/>
              </w:rPr>
            </w:pPr>
            <w:r>
              <w:rPr>
                <w:rFonts w:ascii="Arial" w:cs="Arial" w:eastAsia="Arial" w:hAnsi="Arial"/>
                <w:sz w:val="14"/>
                <w:szCs w:val="14"/>
                <w:b w:val="1"/>
                <w:bCs w:val="1"/>
                <w:color w:val="auto"/>
                <w:w w:val="92"/>
              </w:rPr>
              <w:t>Adjustable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43"/>
              <w:spacing w:after="0" w:line="160" w:lineRule="exact"/>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3"/>
                <w:szCs w:val="13"/>
                <w:color w:val="auto"/>
              </w:rPr>
            </w:pPr>
          </w:p>
        </w:tc>
        <w:tc>
          <w:tcPr>
            <w:tcW w:w="104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7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Fixed</w:t>
            </w:r>
          </w:p>
        </w:tc>
        <w:tc>
          <w:tcPr>
            <w:tcW w:w="104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Adjustable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center"/>
              <w:ind w:left="363"/>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101,626</w:t>
            </w:r>
          </w:p>
        </w:tc>
        <w:tc>
          <w:tcPr>
            <w:tcW w:w="3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78,249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21,703</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204,530</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462,495</w:t>
            </w:r>
          </w:p>
        </w:tc>
        <w:tc>
          <w:tcPr>
            <w:tcW w:w="100" w:type="dxa"/>
            <w:vAlign w:val="bottom"/>
            <w:shd w:val="clear" w:color="auto" w:fill="CCEEFF"/>
          </w:tcPr>
          <w:p>
            <w:pPr>
              <w:spacing w:after="0"/>
              <w:rPr>
                <w:sz w:val="19"/>
                <w:szCs w:val="19"/>
                <w:color w:val="auto"/>
              </w:rPr>
            </w:pPr>
          </w:p>
        </w:tc>
      </w:tr>
      <w:tr>
        <w:trPr>
          <w:trHeight w:val="220"/>
        </w:trPr>
        <w:tc>
          <w:tcPr>
            <w:tcW w:w="2300" w:type="dxa"/>
            <w:vAlign w:val="bottom"/>
            <w:gridSpan w:val="2"/>
          </w:tcPr>
          <w:p>
            <w:pPr>
              <w:spacing w:after="0"/>
              <w:rPr>
                <w:sz w:val="20"/>
                <w:szCs w:val="20"/>
                <w:color w:val="auto"/>
              </w:rPr>
            </w:pPr>
            <w:r>
              <w:rPr>
                <w:rFonts w:ascii="Arial" w:cs="Arial" w:eastAsia="Arial" w:hAnsi="Arial"/>
                <w:sz w:val="16"/>
                <w:szCs w:val="16"/>
                <w:color w:val="auto"/>
              </w:rPr>
              <w:t>Commercial - specialized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121,443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75,641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22,911</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16,101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52,942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309,279</w:t>
            </w:r>
          </w:p>
        </w:tc>
        <w:tc>
          <w:tcPr>
            <w:tcW w:w="100" w:type="dxa"/>
            <w:vAlign w:val="bottom"/>
          </w:tcPr>
          <w:p>
            <w:pPr>
              <w:spacing w:after="0"/>
              <w:rPr>
                <w:sz w:val="19"/>
                <w:szCs w:val="19"/>
                <w:color w:val="auto"/>
              </w:rPr>
            </w:pPr>
          </w:p>
        </w:tc>
      </w:tr>
      <w:tr>
        <w:trPr>
          <w:trHeight w:val="239"/>
        </w:trPr>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2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38,703</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85,591</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90,701</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13,586</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145,095</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395,949</w:t>
            </w:r>
          </w:p>
        </w:tc>
        <w:tc>
          <w:tcPr>
            <w:tcW w:w="100" w:type="dxa"/>
            <w:vAlign w:val="bottom"/>
            <w:shd w:val="clear" w:color="auto" w:fill="CCEEFF"/>
          </w:tcPr>
          <w:p>
            <w:pPr>
              <w:spacing w:after="0"/>
              <w:rPr>
                <w:sz w:val="20"/>
                <w:szCs w:val="20"/>
                <w:color w:val="auto"/>
              </w:rPr>
            </w:pPr>
          </w:p>
        </w:tc>
      </w:tr>
      <w:tr>
        <w:trPr>
          <w:trHeight w:val="220"/>
        </w:trPr>
        <w:tc>
          <w:tcPr>
            <w:tcW w:w="2300" w:type="dxa"/>
            <w:vAlign w:val="bottom"/>
            <w:gridSpan w:val="2"/>
          </w:tcPr>
          <w:p>
            <w:pPr>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28,361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125,414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10,398</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149,919</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116,313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436,256</w:t>
            </w:r>
          </w:p>
        </w:tc>
        <w:tc>
          <w:tcPr>
            <w:tcW w:w="100" w:type="dxa"/>
            <w:vAlign w:val="bottom"/>
          </w:tcPr>
          <w:p>
            <w:pPr>
              <w:spacing w:after="0"/>
              <w:rPr>
                <w:sz w:val="19"/>
                <w:szCs w:val="19"/>
                <w:color w:val="auto"/>
              </w:rPr>
            </w:pPr>
          </w:p>
        </w:tc>
      </w:tr>
      <w:tr>
        <w:trPr>
          <w:trHeight w:val="236"/>
        </w:trPr>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Construction</w:t>
            </w:r>
          </w:p>
        </w:tc>
        <w:tc>
          <w:tcPr>
            <w:tcW w:w="2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26,735</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19,616</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2,871</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1,583</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57,207</w:t>
            </w:r>
          </w:p>
        </w:tc>
        <w:tc>
          <w:tcPr>
            <w:tcW w:w="100" w:type="dxa"/>
            <w:vAlign w:val="bottom"/>
            <w:shd w:val="clear" w:color="auto" w:fill="CCEEFF"/>
          </w:tcPr>
          <w:p>
            <w:pPr>
              <w:spacing w:after="0"/>
              <w:rPr>
                <w:sz w:val="20"/>
                <w:szCs w:val="20"/>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3"/>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Gross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131,333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208,277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390,064</w:t>
            </w:r>
          </w:p>
        </w:tc>
        <w:tc>
          <w:tcPr>
            <w:tcW w:w="18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205,130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202,892</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523,490</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1,661,186</w:t>
            </w:r>
          </w:p>
        </w:tc>
        <w:tc>
          <w:tcPr>
            <w:tcW w:w="100" w:type="dxa"/>
            <w:vAlign w:val="bottom"/>
          </w:tcPr>
          <w:p>
            <w:pPr>
              <w:spacing w:after="0"/>
              <w:rPr>
                <w:sz w:val="18"/>
                <w:szCs w:val="18"/>
                <w:color w:val="auto"/>
              </w:rPr>
            </w:pPr>
          </w:p>
        </w:tc>
      </w:tr>
      <w:tr>
        <w:trPr>
          <w:trHeight w:val="21"/>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64.5% of our gross loans were secured by real property as of December 31, 2017, compared to 66.6% as of December 31, 2016.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27.6% of gross loans as of December 31, 2017 and represented 27.9% of gross loans as of December 31, 2016. The ratio of our commercial real estate loans to total capital was 188.7% as of December 31, 2017 and 182.0% as of December 31, 2016, well below the 300% concentration limit included in regulatory guidance. Further, these loans are geographically diversified, primarily throughout the state of Texas as well as Eastern New Mexico.</w:t>
      </w:r>
    </w:p>
    <w:p>
      <w:pPr>
        <w:spacing w:after="0" w:line="7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80"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i w:val="1"/>
          <w:iCs w:val="1"/>
          <w:color w:val="auto"/>
        </w:rPr>
        <w:t>Commercial Real Estate</w:t>
      </w:r>
      <w:r>
        <w:rPr>
          <w:rFonts w:ascii="Arial" w:cs="Arial" w:eastAsia="Arial" w:hAnsi="Arial"/>
          <w:sz w:val="18"/>
          <w:szCs w:val="18"/>
          <w:color w:val="auto"/>
        </w:rPr>
        <w:t>. Our commercial real estate portfolio includes loans for commercial property that is owned by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88"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Commercial real estate loans increased $44.4 million, or 9.6%, to $506.9 million as of December 31, 2017 from $462.5 million as of December 31, 2016. The increase in commercial real estate loans during this period was mostly driven by a general increase in lending activity, primarily in our Lubbock/South Plains and Dallas markets. As of December 31, 2017, our commercial real estate portfolio was comprised of $377.0 million in non-owner occupied commercial real estate loans and $129.9 million in commercial construction loans.</w:t>
      </w:r>
    </w:p>
    <w:p>
      <w:pPr>
        <w:spacing w:after="0" w:line="80"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i w:val="1"/>
          <w:iCs w:val="1"/>
          <w:color w:val="auto"/>
        </w:rPr>
        <w:t>Commercial – General and Specialized</w:t>
      </w:r>
      <w:r>
        <w:rPr>
          <w:rFonts w:ascii="Arial" w:cs="Arial" w:eastAsia="Arial" w:hAnsi="Arial"/>
          <w:sz w:val="16"/>
          <w:szCs w:val="16"/>
          <w:color w:val="auto"/>
        </w:rPr>
        <w:t>. Commercial loans are underwritten after evaluating and understanding the 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70" w:lineRule="exact"/>
        <w:rPr>
          <w:sz w:val="20"/>
          <w:szCs w:val="20"/>
          <w:color w:val="auto"/>
        </w:rPr>
      </w:pPr>
    </w:p>
    <w:p>
      <w:pPr>
        <w:jc w:val="both"/>
        <w:ind w:right="20" w:firstLine="360"/>
        <w:spacing w:after="0" w:line="311" w:lineRule="auto"/>
        <w:rPr>
          <w:sz w:val="20"/>
          <w:szCs w:val="20"/>
          <w:color w:val="auto"/>
        </w:rPr>
      </w:pPr>
      <w:r>
        <w:rPr>
          <w:rFonts w:ascii="Arial" w:cs="Arial" w:eastAsia="Arial" w:hAnsi="Arial"/>
          <w:sz w:val="16"/>
          <w:szCs w:val="16"/>
          <w:color w:val="auto"/>
        </w:rPr>
        <w:t>Commercial general loans increased $14.1 million, or 3.6%, to $410.1 million as of December 31, 2017 from $395.9 million as of December 31, 2016 due to organic growth in the loan portfolio. As of December 31, 2017, our commercial general portfolio was comprised of $196.4 million in owner-occupied commercial real estate and $213.7 in other commercial general loans.</w:t>
      </w:r>
    </w:p>
    <w:p>
      <w:pPr>
        <w:spacing w:after="0" w:line="4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Commercial specialized loans increased $19.8 million, or 6.4%, to $329.1 million as of December 31, 2017 from $309.3 million as of December 31, 2016 due to organic growth in the loan portfolio. As of December 31, 2017, our commercial specialized portfolio was comprised of $157.5 million agricultural production loans, $69.9 million in farmland loans, $39.6 million in energy loans, and $62.1 million in finance, investment, and insurance loans.</w:t>
      </w:r>
    </w:p>
    <w:p>
      <w:pPr>
        <w:spacing w:after="0" w:line="79"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68" w:lineRule="exact"/>
        <w:rPr>
          <w:sz w:val="20"/>
          <w:szCs w:val="20"/>
          <w:color w:val="auto"/>
        </w:rPr>
      </w:pPr>
    </w:p>
    <w:p>
      <w:pPr>
        <w:ind w:right="80" w:firstLine="360"/>
        <w:spacing w:after="0" w:line="301" w:lineRule="auto"/>
        <w:rPr>
          <w:sz w:val="20"/>
          <w:szCs w:val="20"/>
          <w:color w:val="auto"/>
        </w:rPr>
      </w:pPr>
      <w:r>
        <w:rPr>
          <w:rFonts w:ascii="Arial" w:cs="Arial" w:eastAsia="Arial" w:hAnsi="Arial"/>
          <w:sz w:val="16"/>
          <w:szCs w:val="16"/>
          <w:color w:val="auto"/>
        </w:rPr>
        <w:t>Consumer and other loans increased $89.9 million, or 20.6%, to $526.2 million as of December 31, 2017, from $436.3 million as of December 31, 2016. The increases in these loans were primarily a result of expanded lending in the indirect dealer loan portfolio in the Lubbock/South Plains market. As of December 31, 2017, our consumer loan portfolio was comprised of $299.8 million in 1-4 family residential loans, $146.6 million in indirect auto loans, and $79.7 million in other consumer loans.</w:t>
      </w:r>
    </w:p>
    <w:p>
      <w:pPr>
        <w:spacing w:after="0" w:line="49"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i w:val="1"/>
          <w:iCs w:val="1"/>
          <w:color w:val="auto"/>
        </w:rPr>
        <w:t>Construction</w:t>
      </w:r>
      <w:r>
        <w:rPr>
          <w:rFonts w:ascii="Arial" w:cs="Arial" w:eastAsia="Arial" w:hAnsi="Arial"/>
          <w:sz w:val="18"/>
          <w:szCs w:val="18"/>
          <w:color w:val="auto"/>
        </w:rPr>
        <w:t>. Loans for residential construction are for single-family properties to developers, builders, or end-users.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ind w:right="520" w:firstLine="360"/>
        <w:spacing w:after="0" w:line="308" w:lineRule="auto"/>
        <w:rPr>
          <w:sz w:val="20"/>
          <w:szCs w:val="20"/>
          <w:color w:val="auto"/>
        </w:rPr>
      </w:pPr>
      <w:r>
        <w:rPr>
          <w:rFonts w:ascii="Arial" w:cs="Arial" w:eastAsia="Arial" w:hAnsi="Arial"/>
          <w:sz w:val="17"/>
          <w:szCs w:val="17"/>
          <w:color w:val="auto"/>
        </w:rPr>
        <w:t>Construction loans increased $8.7 million, or 15.2%, to $65.9 million as of December 31, 2017 from $57.2 million as of December 31, 2016. The increase resulted from continued organic growth, especially in our Dallas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Participations</w:t>
      </w:r>
    </w:p>
    <w:p>
      <w:pPr>
        <w:spacing w:after="0" w:line="117"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In the normal course of business, the Company periodically sells participating interests in loans to other banks and investors. All participations are sold on a proportionate (pro-rata) basis with all cash flows divided proportionately among the participating interest holders in an amount subordinate to the interest of another and no party has the right to pledge or exchange the entire financial asset without the consent of all the participating interest holders. Other than standard 90-day prepayment provisions and standard representations and warranties, participating interests are sold without recourse. At December 31, 2017 and 2016, the portion of loans participated to third-parties (which are not included in the accompanying consolidated balance sheets) totaled $88.1 million and $89.3 million, respectively. At December 31, 2017 and 2016, purchased loan participations totaled $53.7 million and $63.9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6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To determine the adequacy of the allowance, the loan portfolio is broken into segments based on loan type. Historical loss experience factors by segment, adjusted for changes in trends and conditions, are used to determine an indicated allowance for each portfolio segment. These factors are evaluated and updated based on the composition of the specific loan segment.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segment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segment.</w:t>
      </w:r>
    </w:p>
    <w:p>
      <w:pPr>
        <w:spacing w:after="0" w:line="77"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auto"/>
        </w:rPr>
        <w:t>The allowance for loan losses was $21.5 million at December 31, 2017 compared to $21.2 million at December 31, 2016, an increase of $287,000, or 1.4%. The increase was primarily due to the provision for loan losses of $4.0 million, net of $3.7 million in net charge-offs.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an analysis of the allowance for loan losses at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w w:val="95"/>
              </w:rPr>
              <w:t>As of December 31,</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45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r>
      <w:tr>
        <w:trPr>
          <w:trHeight w:val="183"/>
        </w:trPr>
        <w:tc>
          <w:tcPr>
            <w:tcW w:w="4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89"/>
              </w:rPr>
              <w:t>(Dollars in thousands)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77"/>
        </w:trPr>
        <w:tc>
          <w:tcPr>
            <w:tcW w:w="4560" w:type="dxa"/>
            <w:vAlign w:val="bottom"/>
            <w:tcBorders>
              <w:right w:val="single" w:sz="8" w:color="CCEEFF"/>
            </w:tcBorders>
            <w:shd w:val="clear" w:color="auto" w:fill="CCEEFF"/>
          </w:tcPr>
          <w:p>
            <w:pPr>
              <w:spacing w:after="0" w:line="230" w:lineRule="exact"/>
              <w:rPr>
                <w:sz w:val="20"/>
                <w:szCs w:val="20"/>
                <w:color w:val="auto"/>
              </w:rPr>
            </w:pPr>
            <w:r>
              <w:rPr>
                <w:rFonts w:ascii="Arial" w:cs="Arial" w:eastAsia="Arial" w:hAnsi="Arial"/>
                <w:sz w:val="16"/>
                <w:szCs w:val="16"/>
                <w:color w:val="auto"/>
              </w:rPr>
              <w:t>Average loans outstanding</w:t>
            </w:r>
            <w:r>
              <w:rPr>
                <w:rFonts w:ascii="Arial" w:cs="Arial" w:eastAsia="Arial" w:hAnsi="Arial"/>
                <w:sz w:val="26"/>
                <w:szCs w:val="26"/>
                <w:color w:val="auto"/>
                <w:vertAlign w:val="superscript"/>
              </w:rPr>
              <w:t>(1)</w:t>
            </w:r>
          </w:p>
        </w:tc>
        <w:tc>
          <w:tcPr>
            <w:tcW w:w="480" w:type="dxa"/>
            <w:vAlign w:val="bottom"/>
            <w:tcBorders>
              <w:right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1,790,201</w:t>
            </w:r>
          </w:p>
        </w:tc>
        <w:tc>
          <w:tcPr>
            <w:tcW w:w="240" w:type="dxa"/>
            <w:vAlign w:val="bottom"/>
            <w:tcBorders>
              <w:left w:val="single" w:sz="8" w:color="CCEEFF"/>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1,689,915</w:t>
            </w:r>
          </w:p>
        </w:tc>
        <w:tc>
          <w:tcPr>
            <w:tcW w:w="260" w:type="dxa"/>
            <w:vAlign w:val="bottom"/>
            <w:tcBorders>
              <w:left w:val="single" w:sz="8" w:color="CCEEFF"/>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1,655,441</w:t>
            </w:r>
          </w:p>
        </w:tc>
        <w:tc>
          <w:tcPr>
            <w:tcW w:w="240" w:type="dxa"/>
            <w:vAlign w:val="bottom"/>
            <w:tcBorders>
              <w:left w:val="single" w:sz="8" w:color="CCEEFF"/>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1,474,519</w:t>
            </w:r>
          </w:p>
        </w:tc>
        <w:tc>
          <w:tcPr>
            <w:tcW w:w="140" w:type="dxa"/>
            <w:vAlign w:val="bottom"/>
            <w:tcBorders>
              <w:left w:val="single" w:sz="8" w:color="CCEEFF"/>
            </w:tcBorders>
            <w:shd w:val="clear" w:color="auto" w:fill="CCEEFF"/>
          </w:tcPr>
          <w:p>
            <w:pPr>
              <w:spacing w:after="0"/>
              <w:rPr>
                <w:sz w:val="24"/>
                <w:szCs w:val="24"/>
                <w:color w:val="auto"/>
              </w:rPr>
            </w:pPr>
          </w:p>
        </w:tc>
      </w:tr>
      <w:tr>
        <w:trPr>
          <w:trHeight w:val="243"/>
        </w:trPr>
        <w:tc>
          <w:tcPr>
            <w:tcW w:w="456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77"/>
        </w:trPr>
        <w:tc>
          <w:tcPr>
            <w:tcW w:w="4560" w:type="dxa"/>
            <w:vAlign w:val="bottom"/>
            <w:tcBorders>
              <w:right w:val="single" w:sz="8" w:color="CCEEFF"/>
            </w:tcBorders>
            <w:shd w:val="clear" w:color="auto" w:fill="CCEEFF"/>
          </w:tcPr>
          <w:p>
            <w:pPr>
              <w:spacing w:after="0" w:line="230" w:lineRule="exact"/>
              <w:rPr>
                <w:sz w:val="20"/>
                <w:szCs w:val="20"/>
                <w:color w:val="auto"/>
              </w:rPr>
            </w:pPr>
            <w:r>
              <w:rPr>
                <w:rFonts w:ascii="Arial" w:cs="Arial" w:eastAsia="Arial" w:hAnsi="Arial"/>
                <w:sz w:val="16"/>
                <w:szCs w:val="16"/>
                <w:color w:val="auto"/>
              </w:rPr>
              <w:t>Gross loans outstanding at end of period</w:t>
            </w:r>
            <w:r>
              <w:rPr>
                <w:rFonts w:ascii="Arial" w:cs="Arial" w:eastAsia="Arial" w:hAnsi="Arial"/>
                <w:sz w:val="26"/>
                <w:szCs w:val="26"/>
                <w:color w:val="auto"/>
                <w:vertAlign w:val="superscript"/>
              </w:rPr>
              <w:t>(2)</w:t>
            </w:r>
          </w:p>
        </w:tc>
        <w:tc>
          <w:tcPr>
            <w:tcW w:w="480" w:type="dxa"/>
            <w:vAlign w:val="bottom"/>
            <w:tcBorders>
              <w:right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1,838,155</w:t>
            </w:r>
          </w:p>
        </w:tc>
        <w:tc>
          <w:tcPr>
            <w:tcW w:w="240" w:type="dxa"/>
            <w:vAlign w:val="bottom"/>
            <w:tcBorders>
              <w:left w:val="single" w:sz="8" w:color="CCEEFF"/>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1,661,186</w:t>
            </w:r>
          </w:p>
        </w:tc>
        <w:tc>
          <w:tcPr>
            <w:tcW w:w="260" w:type="dxa"/>
            <w:vAlign w:val="bottom"/>
            <w:tcBorders>
              <w:left w:val="single" w:sz="8" w:color="CCEEFF"/>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1,679,314</w:t>
            </w:r>
          </w:p>
        </w:tc>
        <w:tc>
          <w:tcPr>
            <w:tcW w:w="240" w:type="dxa"/>
            <w:vAlign w:val="bottom"/>
            <w:tcBorders>
              <w:left w:val="single" w:sz="8" w:color="CCEEFF"/>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1,550,033</w:t>
            </w:r>
          </w:p>
        </w:tc>
        <w:tc>
          <w:tcPr>
            <w:tcW w:w="140" w:type="dxa"/>
            <w:vAlign w:val="bottom"/>
            <w:tcBorders>
              <w:left w:val="single" w:sz="8" w:color="CCEEFF"/>
            </w:tcBorders>
            <w:shd w:val="clear" w:color="auto" w:fill="CCEEFF"/>
          </w:tcPr>
          <w:p>
            <w:pPr>
              <w:spacing w:after="0"/>
              <w:rPr>
                <w:sz w:val="24"/>
                <w:szCs w:val="24"/>
                <w:color w:val="auto"/>
              </w:rPr>
            </w:pPr>
          </w:p>
        </w:tc>
      </w:tr>
      <w:tr>
        <w:trPr>
          <w:trHeight w:val="243"/>
        </w:trPr>
        <w:tc>
          <w:tcPr>
            <w:tcW w:w="456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43"/>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 at beginning of the period</w:t>
            </w:r>
          </w:p>
        </w:tc>
        <w:tc>
          <w:tcPr>
            <w:tcW w:w="480" w:type="dxa"/>
            <w:vAlign w:val="bottom"/>
            <w:tcBorders>
              <w:right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24,220</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29,082</w:t>
            </w:r>
          </w:p>
        </w:tc>
        <w:tc>
          <w:tcPr>
            <w:tcW w:w="140" w:type="dxa"/>
            <w:vAlign w:val="bottom"/>
            <w:tcBorders>
              <w:left w:val="single" w:sz="8" w:color="CCEEFF"/>
            </w:tcBorders>
            <w:shd w:val="clear" w:color="auto" w:fill="CCEEFF"/>
          </w:tcPr>
          <w:p>
            <w:pPr>
              <w:spacing w:after="0"/>
              <w:rPr>
                <w:sz w:val="21"/>
                <w:szCs w:val="21"/>
                <w:color w:val="auto"/>
              </w:rPr>
            </w:pPr>
          </w:p>
        </w:tc>
      </w:tr>
      <w:tr>
        <w:trPr>
          <w:trHeight w:val="235"/>
        </w:trPr>
        <w:tc>
          <w:tcPr>
            <w:tcW w:w="4560" w:type="dxa"/>
            <w:vAlign w:val="bottom"/>
          </w:tcPr>
          <w:p>
            <w:pPr>
              <w:spacing w:after="0"/>
              <w:rPr>
                <w:sz w:val="20"/>
                <w:szCs w:val="20"/>
                <w:color w:val="auto"/>
              </w:rPr>
            </w:pPr>
            <w:r>
              <w:rPr>
                <w:rFonts w:ascii="Arial" w:cs="Arial" w:eastAsia="Arial" w:hAnsi="Arial"/>
                <w:sz w:val="18"/>
                <w:szCs w:val="18"/>
                <w:color w:val="auto"/>
              </w:rPr>
              <w:t>Charge offs: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left w:val="single" w:sz="8" w:color="CCEEFF"/>
            </w:tcBorders>
            <w:shd w:val="clear" w:color="auto" w:fill="CCEEFF"/>
          </w:tcPr>
          <w:p>
            <w:pPr>
              <w:spacing w:after="0"/>
              <w:rPr>
                <w:sz w:val="21"/>
                <w:szCs w:val="21"/>
                <w:color w:val="auto"/>
              </w:rPr>
            </w:pPr>
          </w:p>
        </w:tc>
      </w:tr>
      <w:tr>
        <w:trPr>
          <w:trHeight w:val="235"/>
        </w:trPr>
        <w:tc>
          <w:tcPr>
            <w:tcW w:w="456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r>
      <w:tr>
        <w:trPr>
          <w:trHeight w:val="251"/>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left w:val="single" w:sz="8" w:color="CCEEFF"/>
            </w:tcBorders>
            <w:shd w:val="clear" w:color="auto" w:fill="CCEEFF"/>
          </w:tcPr>
          <w:p>
            <w:pPr>
              <w:spacing w:after="0"/>
              <w:rPr>
                <w:sz w:val="21"/>
                <w:szCs w:val="21"/>
                <w:color w:val="auto"/>
              </w:rPr>
            </w:pPr>
          </w:p>
        </w:tc>
      </w:tr>
      <w:tr>
        <w:trPr>
          <w:trHeight w:val="235"/>
        </w:trPr>
        <w:tc>
          <w:tcPr>
            <w:tcW w:w="45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1,583</w:t>
            </w:r>
          </w:p>
        </w:tc>
        <w:tc>
          <w:tcPr>
            <w:tcW w:w="140" w:type="dxa"/>
            <w:vAlign w:val="bottom"/>
          </w:tcPr>
          <w:p>
            <w:pPr>
              <w:spacing w:after="0"/>
              <w:rPr>
                <w:sz w:val="20"/>
                <w:szCs w:val="20"/>
                <w:color w:val="auto"/>
              </w:rPr>
            </w:pPr>
          </w:p>
        </w:tc>
      </w:tr>
      <w:tr>
        <w:trPr>
          <w:trHeight w:val="250"/>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Total charge-offs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3,355</w:t>
            </w:r>
          </w:p>
        </w:tc>
        <w:tc>
          <w:tcPr>
            <w:tcW w:w="140" w:type="dxa"/>
            <w:vAlign w:val="bottom"/>
          </w:tcPr>
          <w:p>
            <w:pPr>
              <w:spacing w:after="0"/>
              <w:rPr>
                <w:sz w:val="19"/>
                <w:szCs w:val="19"/>
                <w:color w:val="auto"/>
              </w:rPr>
            </w:pPr>
          </w:p>
        </w:tc>
      </w:tr>
      <w:tr>
        <w:trPr>
          <w:trHeight w:val="251"/>
        </w:trPr>
        <w:tc>
          <w:tcPr>
            <w:tcW w:w="456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r>
      <w:tr>
        <w:trPr>
          <w:trHeight w:val="235"/>
        </w:trPr>
        <w:tc>
          <w:tcPr>
            <w:tcW w:w="4560" w:type="dxa"/>
            <w:vAlign w:val="bottom"/>
          </w:tcPr>
          <w:p>
            <w:pPr>
              <w:spacing w:after="0"/>
              <w:rPr>
                <w:sz w:val="20"/>
                <w:szCs w:val="20"/>
                <w:color w:val="auto"/>
              </w:rPr>
            </w:pPr>
            <w:r>
              <w:rPr>
                <w:rFonts w:ascii="Arial" w:cs="Arial" w:eastAsia="Arial" w:hAnsi="Arial"/>
                <w:sz w:val="18"/>
                <w:szCs w:val="18"/>
                <w:color w:val="auto"/>
              </w:rPr>
              <w:t>Recoveries: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left w:val="single" w:sz="8" w:color="CCEEFF"/>
            </w:tcBorders>
            <w:shd w:val="clear" w:color="auto" w:fill="CCEEFF"/>
          </w:tcPr>
          <w:p>
            <w:pPr>
              <w:spacing w:after="0"/>
              <w:rPr>
                <w:sz w:val="21"/>
                <w:szCs w:val="21"/>
                <w:color w:val="auto"/>
              </w:rPr>
            </w:pPr>
          </w:p>
        </w:tc>
      </w:tr>
      <w:tr>
        <w:trPr>
          <w:trHeight w:val="235"/>
        </w:trPr>
        <w:tc>
          <w:tcPr>
            <w:tcW w:w="456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r>
      <w:tr>
        <w:trPr>
          <w:trHeight w:val="251"/>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Borders>
              <w:left w:val="single" w:sz="8" w:color="CCEEFF"/>
            </w:tcBorders>
            <w:shd w:val="clear" w:color="auto" w:fill="CCEEFF"/>
          </w:tcPr>
          <w:p>
            <w:pPr>
              <w:spacing w:after="0"/>
              <w:rPr>
                <w:sz w:val="21"/>
                <w:szCs w:val="21"/>
                <w:color w:val="auto"/>
              </w:rPr>
            </w:pPr>
          </w:p>
        </w:tc>
      </w:tr>
      <w:tr>
        <w:trPr>
          <w:trHeight w:val="235"/>
        </w:trPr>
        <w:tc>
          <w:tcPr>
            <w:tcW w:w="45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r>
      <w:tr>
        <w:trPr>
          <w:trHeight w:val="250"/>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Total recoveries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Pr>
          <w:p>
            <w:pPr>
              <w:spacing w:after="0"/>
              <w:rPr>
                <w:sz w:val="19"/>
                <w:szCs w:val="19"/>
                <w:color w:val="auto"/>
              </w:rPr>
            </w:pPr>
          </w:p>
        </w:tc>
      </w:tr>
      <w:tr>
        <w:trPr>
          <w:trHeight w:val="251"/>
        </w:trPr>
        <w:tc>
          <w:tcPr>
            <w:tcW w:w="456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r>
      <w:tr>
        <w:trPr>
          <w:trHeight w:val="242"/>
        </w:trPr>
        <w:tc>
          <w:tcPr>
            <w:tcW w:w="4560" w:type="dxa"/>
            <w:vAlign w:val="bottom"/>
          </w:tcPr>
          <w:p>
            <w:pPr>
              <w:spacing w:after="0"/>
              <w:rPr>
                <w:sz w:val="20"/>
                <w:szCs w:val="20"/>
                <w:color w:val="auto"/>
              </w:rPr>
            </w:pPr>
            <w:r>
              <w:rPr>
                <w:rFonts w:ascii="Arial" w:cs="Arial" w:eastAsia="Arial" w:hAnsi="Arial"/>
                <w:sz w:val="18"/>
                <w:szCs w:val="18"/>
                <w:color w:val="auto"/>
              </w:rPr>
              <w:t>Net charge-offs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(5,015)</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(4,501)</w:t>
            </w:r>
          </w:p>
        </w:tc>
        <w:tc>
          <w:tcPr>
            <w:tcW w:w="1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(1,791)</w:t>
            </w:r>
          </w:p>
        </w:tc>
      </w:tr>
      <w:tr>
        <w:trPr>
          <w:trHeight w:val="237"/>
        </w:trPr>
        <w:tc>
          <w:tcPr>
            <w:tcW w:w="456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top w:val="single" w:sz="8" w:color="auto"/>
              <w:right w:val="single" w:sz="8" w:color="CCEEFF"/>
            </w:tcBorders>
            <w:shd w:val="clear" w:color="auto" w:fill="CCEEFF"/>
          </w:tcPr>
          <w:p>
            <w:pPr>
              <w:spacing w:after="0"/>
              <w:rPr>
                <w:sz w:val="20"/>
                <w:szCs w:val="20"/>
                <w:color w:val="auto"/>
              </w:rPr>
            </w:pP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r>
      <w:tr>
        <w:trPr>
          <w:trHeight w:val="242"/>
        </w:trPr>
        <w:tc>
          <w:tcPr>
            <w:tcW w:w="45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21"/>
                <w:szCs w:val="21"/>
                <w:color w:val="auto"/>
              </w:rPr>
            </w:pPr>
          </w:p>
        </w:tc>
      </w:tr>
      <w:tr>
        <w:trPr>
          <w:trHeight w:val="20"/>
        </w:trPr>
        <w:tc>
          <w:tcPr>
            <w:tcW w:w="45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2"/>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80" w:type="dxa"/>
            <w:vAlign w:val="bottom"/>
            <w:tcBorders>
              <w:right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240" w:type="dxa"/>
            <w:vAlign w:val="bottom"/>
            <w:tcBorders>
              <w:left w:val="single" w:sz="8" w:color="CCEEFF"/>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40" w:type="dxa"/>
            <w:vAlign w:val="bottom"/>
            <w:tcBorders>
              <w:left w:val="single" w:sz="8" w:color="CCEEFF"/>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260" w:type="dxa"/>
            <w:vAlign w:val="bottom"/>
            <w:tcBorders>
              <w:left w:val="single" w:sz="8" w:color="CCEEFF"/>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24,220</w:t>
            </w:r>
          </w:p>
        </w:tc>
        <w:tc>
          <w:tcPr>
            <w:tcW w:w="240" w:type="dxa"/>
            <w:vAlign w:val="bottom"/>
            <w:tcBorders>
              <w:left w:val="single" w:sz="8" w:color="CCEEFF"/>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140" w:type="dxa"/>
            <w:vAlign w:val="bottom"/>
            <w:tcBorders>
              <w:left w:val="single" w:sz="8" w:color="CCEEFF"/>
            </w:tcBorders>
            <w:shd w:val="clear" w:color="auto" w:fill="CCEEFF"/>
          </w:tcPr>
          <w:p>
            <w:pPr>
              <w:spacing w:after="0"/>
              <w:rPr>
                <w:sz w:val="23"/>
                <w:szCs w:val="23"/>
                <w:color w:val="auto"/>
              </w:rPr>
            </w:pPr>
          </w:p>
        </w:tc>
      </w:tr>
      <w:tr>
        <w:trPr>
          <w:trHeight w:val="243"/>
        </w:trPr>
        <w:tc>
          <w:tcPr>
            <w:tcW w:w="456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43"/>
        </w:trPr>
        <w:tc>
          <w:tcPr>
            <w:tcW w:w="4560" w:type="dxa"/>
            <w:vAlign w:val="bottom"/>
            <w:tcBorders>
              <w:right w:val="single" w:sz="8" w:color="CCEEFF"/>
            </w:tcBorders>
            <w:shd w:val="clear" w:color="auto" w:fill="CCEEFF"/>
          </w:tcPr>
          <w:p>
            <w:pPr>
              <w:spacing w:after="0" w:line="243" w:lineRule="exact"/>
              <w:rPr>
                <w:sz w:val="20"/>
                <w:szCs w:val="20"/>
                <w:color w:val="auto"/>
              </w:rPr>
            </w:pPr>
            <w:r>
              <w:rPr>
                <w:rFonts w:ascii="Arial" w:cs="Arial" w:eastAsia="Arial" w:hAnsi="Arial"/>
                <w:sz w:val="17"/>
                <w:szCs w:val="17"/>
                <w:color w:val="auto"/>
              </w:rPr>
              <w:t>Ratio of allowance to end of period loans</w:t>
            </w:r>
            <w:r>
              <w:rPr>
                <w:rFonts w:ascii="Arial" w:cs="Arial" w:eastAsia="Arial" w:hAnsi="Arial"/>
                <w:sz w:val="28"/>
                <w:szCs w:val="28"/>
                <w:color w:val="auto"/>
                <w:vertAlign w:val="superscript"/>
              </w:rPr>
              <w:t>(2)</w:t>
            </w:r>
          </w:p>
        </w:tc>
        <w:tc>
          <w:tcPr>
            <w:tcW w:w="4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383"/>
        </w:trPr>
        <w:tc>
          <w:tcPr>
            <w:tcW w:w="4560" w:type="dxa"/>
            <w:vAlign w:val="bottom"/>
          </w:tcPr>
          <w:p>
            <w:pPr>
              <w:spacing w:after="0"/>
              <w:rPr>
                <w:sz w:val="20"/>
                <w:szCs w:val="20"/>
                <w:color w:val="auto"/>
              </w:rPr>
            </w:pPr>
            <w:r>
              <w:rPr>
                <w:rFonts w:ascii="Arial" w:cs="Arial" w:eastAsia="Arial" w:hAnsi="Arial"/>
                <w:sz w:val="18"/>
                <w:szCs w:val="18"/>
                <w:color w:val="auto"/>
              </w:rPr>
              <w:t>Ratio of net charge-offs to average loans</w:t>
            </w:r>
            <w:r>
              <w:rPr>
                <w:rFonts w:ascii="Arial" w:cs="Arial" w:eastAsia="Arial" w:hAnsi="Arial"/>
                <w:sz w:val="29"/>
                <w:szCs w:val="29"/>
                <w:color w:val="auto"/>
                <w:vertAlign w:val="superscript"/>
              </w:rPr>
              <w:t>(1)</w:t>
            </w:r>
          </w:p>
        </w:tc>
        <w:tc>
          <w:tcPr>
            <w:tcW w:w="48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908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45" w:lineRule="exact"/>
        <w:rPr>
          <w:sz w:val="20"/>
          <w:szCs w:val="20"/>
          <w:color w:val="auto"/>
        </w:rPr>
      </w:pPr>
    </w:p>
    <w:p>
      <w:pPr>
        <w:ind w:left="360" w:right="100" w:hanging="355"/>
        <w:spacing w:after="0" w:line="273"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average outstanding balances of loans held for sale of $ million, $23.1 million, $30.4 million, $32.5 million and $14.2 million for the years ended December 31, 2018, 2017, 2016, 2015 and 2014, respectively.</w:t>
      </w:r>
    </w:p>
    <w:p>
      <w:pPr>
        <w:sectPr>
          <w:pgSz w:w="11900" w:h="16838" w:orient="portrait"/>
          <w:cols w:equalWidth="0" w:num="1">
            <w:col w:w="9560"/>
          </w:cols>
          <w:pgMar w:left="1160" w:top="279" w:right="117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0" w:hanging="355"/>
        <w:spacing w:after="0" w:line="273"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loans held for sale of $ million, $29.3 million, $25.8 million, $43.4 million and $14.9 million for the years ended December 31, 2018, 2017, 2016, 2015 and 2014, respectively.</w:t>
      </w:r>
    </w:p>
    <w:p>
      <w:pPr>
        <w:spacing w:after="0" w:line="57" w:lineRule="exact"/>
        <w:rPr>
          <w:sz w:val="20"/>
          <w:szCs w:val="20"/>
          <w:color w:val="auto"/>
        </w:rPr>
      </w:pPr>
    </w:p>
    <w:p>
      <w:pPr>
        <w:jc w:val="both"/>
        <w:ind w:right="240" w:firstLine="360"/>
        <w:spacing w:after="0" w:line="263" w:lineRule="auto"/>
        <w:rPr>
          <w:sz w:val="20"/>
          <w:szCs w:val="20"/>
          <w:color w:val="auto"/>
        </w:rPr>
      </w:pPr>
      <w:r>
        <w:rPr>
          <w:rFonts w:ascii="Arial" w:cs="Arial" w:eastAsia="Arial" w:hAnsi="Arial"/>
          <w:sz w:val="18"/>
          <w:szCs w:val="18"/>
          <w:color w:val="auto"/>
        </w:rPr>
        <w:t>Net charge-offs for 2017 totaled $3.7 million, a decrease of $1.3 million from 2016 primarily due to decreases in net charge-offs for commercial (specialized) loans of $2.8 million, offset by increases in net charge-offs for consumer loans of $605,000 and commercial (general) loans of $443,000.</w:t>
      </w:r>
    </w:p>
    <w:p>
      <w:pPr>
        <w:spacing w:after="0" w:line="76" w:lineRule="exact"/>
        <w:rPr>
          <w:sz w:val="20"/>
          <w:szCs w:val="20"/>
          <w:color w:val="auto"/>
        </w:rPr>
      </w:pPr>
    </w:p>
    <w:p>
      <w:pPr>
        <w:ind w:right="260" w:firstLine="360"/>
        <w:spacing w:after="0" w:line="263" w:lineRule="auto"/>
        <w:rPr>
          <w:sz w:val="20"/>
          <w:szCs w:val="20"/>
          <w:color w:val="auto"/>
        </w:rPr>
      </w:pPr>
      <w:r>
        <w:rPr>
          <w:rFonts w:ascii="Arial" w:cs="Arial" w:eastAsia="Arial" w:hAnsi="Arial"/>
          <w:sz w:val="18"/>
          <w:szCs w:val="18"/>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As of December 31,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w w:val="79"/>
              </w:rPr>
              <w:t>$</w:t>
            </w:r>
          </w:p>
        </w:tc>
        <w:tc>
          <w:tcPr>
            <w:tcW w:w="20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8,457</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$ 15,483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Arial" w:cs="Arial" w:eastAsia="Arial" w:hAnsi="Arial"/>
                <w:sz w:val="18"/>
                <w:szCs w:val="18"/>
                <w:color w:val="auto"/>
              </w:rPr>
              <w:t>Commercial –</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specialized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2,367</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3,474</w:t>
            </w: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3,411</w:t>
            </w: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1,120</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10,151</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9,117</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7,676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4,826</w:t>
            </w:r>
          </w:p>
        </w:tc>
        <w:tc>
          <w:tcPr>
            <w:tcW w:w="50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3,910</w:t>
            </w: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3,086</w:t>
            </w: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3,638</w:t>
            </w: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w:t>
            </w:r>
          </w:p>
        </w:tc>
        <w:tc>
          <w:tcPr>
            <w:tcW w:w="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w w:val="79"/>
              </w:rPr>
              <w:t>$</w:t>
            </w: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Arial" w:cs="Arial" w:eastAsia="Arial" w:hAnsi="Arial"/>
                <w:sz w:val="18"/>
                <w:szCs w:val="18"/>
                <w:color w:val="auto"/>
              </w:rPr>
              <w:t>Total allowance for loan</w:t>
            </w:r>
          </w:p>
        </w:tc>
        <w:tc>
          <w:tcPr>
            <w:tcW w:w="560" w:type="dxa"/>
            <w:vAlign w:val="bottom"/>
            <w:vMerge w:val="restart"/>
          </w:tcPr>
          <w:p>
            <w:pPr>
              <w:jc w:val="right"/>
              <w:ind w:right="377"/>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360" w:type="dxa"/>
            <w:vAlign w:val="bottom"/>
            <w:vMerge w:val="restart"/>
          </w:tcPr>
          <w:p>
            <w:pPr>
              <w:spacing w:after="0"/>
              <w:rPr>
                <w:sz w:val="18"/>
                <w:szCs w:val="18"/>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7"/>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21,461</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100.0%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21,174</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100.0%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24,220</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100.0%</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88"/>
              </w:rPr>
              <w:t>$ 27,940</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7"/>
        </w:trPr>
        <w:tc>
          <w:tcPr>
            <w:tcW w:w="1960" w:type="dxa"/>
            <w:vAlign w:val="bottom"/>
          </w:tcPr>
          <w:p>
            <w:pPr>
              <w:ind w:left="180"/>
              <w:spacing w:after="0"/>
              <w:rPr>
                <w:sz w:val="20"/>
                <w:szCs w:val="20"/>
                <w:color w:val="auto"/>
              </w:rPr>
            </w:pPr>
            <w:r>
              <w:rPr>
                <w:rFonts w:ascii="Arial" w:cs="Arial" w:eastAsia="Arial" w:hAnsi="Arial"/>
                <w:sz w:val="18"/>
                <w:szCs w:val="18"/>
                <w:color w:val="auto"/>
              </w:rPr>
              <w:t>losses</w:t>
            </w:r>
          </w:p>
        </w:tc>
        <w:tc>
          <w:tcPr>
            <w:tcW w:w="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70"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7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OREO until sold and is initially recorded at fair value less costs to sell when acquired, establishing a new cost basis. OREO totaled $2.8 million at December 31, 2017 which included $889,000 in construction, land development and other land held and $1.4 million in non-farm nonresidential properties. OREO totaled $7.8 million at December 31, 2016, which included $4.1 million in non-farm nonresidential properties and $2.8 million in construction, land development and other land held.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Nonperforming loans include nonaccrual loans and loans past due 90 days or more. Nonperforming assets consist of nonperforming loans plus OREO.</w:t>
      </w:r>
    </w:p>
    <w:p>
      <w:pPr>
        <w:spacing w:after="0" w:line="62" w:lineRule="exact"/>
        <w:rPr>
          <w:sz w:val="20"/>
          <w:szCs w:val="20"/>
          <w:color w:val="auto"/>
        </w:rPr>
      </w:pPr>
    </w:p>
    <w:p>
      <w:pPr>
        <w:jc w:val="both"/>
        <w:ind w:right="220" w:firstLine="360"/>
        <w:spacing w:after="0" w:line="263" w:lineRule="auto"/>
        <w:rPr>
          <w:sz w:val="20"/>
          <w:szCs w:val="20"/>
          <w:color w:val="auto"/>
        </w:rPr>
      </w:pPr>
      <w:r>
        <w:rPr>
          <w:rFonts w:ascii="Arial" w:cs="Arial" w:eastAsia="Arial" w:hAnsi="Arial"/>
          <w:sz w:val="18"/>
          <w:szCs w:val="18"/>
          <w:color w:val="auto"/>
        </w:rPr>
        <w:t>Nonperforming loans were $13.9 million at December 31, 2017 and $7.2 million at December 31, 2016. The increase in the year ended December 31, 2017 was primarily due to one commercial real estate relationship totaling $5.3 million being placed on nonaccrual status in late 2017 for default.</w:t>
      </w:r>
    </w:p>
    <w:p>
      <w:pPr>
        <w:spacing w:after="0" w:line="76"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At December 31, 2017, our total nonaccrual loans were $12.7 million. This was comprised primarily of $1.2 million in loans to finance agricultural production; $2.1 million in loans secured by 1-4 family residential properties; $7.2 million in non-farm nonresidential property loans; and $1.7 million in commercial loans. These loans were reviewed for impairment and specific valuation allowances were established as necessary and included in the allowance for loan losses as of December 31, 2017 to cover any probable loss.</w:t>
      </w:r>
    </w:p>
    <w:p>
      <w:pPr>
        <w:spacing w:after="0" w:line="80"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At December 31, 2016, our total nonaccrual loans were $6.2 million. This was comprised primarily of $1.3 million in loans secured by 1-4 family residential properties; $2.6 million in non-farm nonresidential properties; and $1.1 million in commercial loans. These loans were reviewed for impairment and specific valuation allowances were established as necessary and included in the allowance for loan losses as of December 31, 2016 to cover any probable loss.</w:t>
      </w:r>
    </w:p>
    <w:p>
      <w:pPr>
        <w:spacing w:after="0" w:line="6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table presents the contractual aging of the recorded investment in current and past due loans by class of loans as of December 31, 2017 and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30-89 Days</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90+ Days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Past Due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Nonaccrual</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2017</w:t>
            </w:r>
          </w:p>
        </w:tc>
        <w:tc>
          <w:tcPr>
            <w:tcW w:w="25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498,722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506,894</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326,959</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329,119</w:t>
            </w: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404,832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3,385</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410,057</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518,643</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526,163</w:t>
            </w: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65,847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65,922</w:t>
            </w:r>
          </w:p>
        </w:tc>
      </w:tr>
      <w:tr>
        <w:trPr>
          <w:trHeight w:val="20"/>
        </w:trPr>
        <w:tc>
          <w:tcPr>
            <w:tcW w:w="146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1,815,003</w:t>
            </w:r>
          </w:p>
        </w:tc>
        <w:tc>
          <w:tcPr>
            <w:tcW w:w="20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1,838,155</w:t>
            </w:r>
          </w:p>
        </w:tc>
      </w:tr>
      <w:tr>
        <w:trPr>
          <w:trHeight w:val="243"/>
        </w:trPr>
        <w:tc>
          <w:tcPr>
            <w:tcW w:w="1460" w:type="dxa"/>
            <w:vAlign w:val="bottom"/>
            <w:tcBorders>
              <w:top w:val="single" w:sz="8" w:color="CCEEFF"/>
            </w:tcBorders>
          </w:tcPr>
          <w:p>
            <w:pPr>
              <w:spacing w:after="0"/>
              <w:rPr>
                <w:sz w:val="21"/>
                <w:szCs w:val="21"/>
                <w:color w:val="auto"/>
              </w:rPr>
            </w:pPr>
          </w:p>
        </w:tc>
        <w:tc>
          <w:tcPr>
            <w:tcW w:w="25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2016</w:t>
            </w:r>
          </w:p>
        </w:tc>
        <w:tc>
          <w:tcPr>
            <w:tcW w:w="25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460,646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462,495</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307,853</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309,279</w:t>
            </w: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389,246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3,249</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395,949</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430,238</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436,256</w:t>
            </w: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54,899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57,207</w:t>
            </w:r>
          </w:p>
        </w:tc>
      </w:tr>
      <w:tr>
        <w:trPr>
          <w:trHeight w:val="20"/>
        </w:trPr>
        <w:tc>
          <w:tcPr>
            <w:tcW w:w="146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1,642,882</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1,661,186</w:t>
            </w:r>
          </w:p>
        </w:tc>
      </w:tr>
      <w:tr>
        <w:trPr>
          <w:trHeight w:val="27"/>
        </w:trPr>
        <w:tc>
          <w:tcPr>
            <w:tcW w:w="146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w w:val="98"/>
              </w:rPr>
              <w:t>As of December 31,</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0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r>
      <w:tr>
        <w:trPr>
          <w:trHeight w:val="183"/>
        </w:trPr>
        <w:tc>
          <w:tcPr>
            <w:tcW w:w="4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19,173</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1,197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13,901</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7,195</w:t>
            </w:r>
          </w:p>
        </w:tc>
        <w:tc>
          <w:tcPr>
            <w:tcW w:w="22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8,805</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20,669</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2,830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7,849</w:t>
            </w:r>
          </w:p>
        </w:tc>
        <w:tc>
          <w:tcPr>
            <w:tcW w:w="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7,681</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7,461</w:t>
            </w: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nonperforming assets</w:t>
            </w: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3"/>
                <w:szCs w:val="23"/>
                <w:color w:val="auto"/>
              </w:rPr>
            </w:pPr>
          </w:p>
        </w:tc>
        <w:tc>
          <w:tcPr>
            <w:tcW w:w="200" w:type="dxa"/>
            <w:vAlign w:val="bottom"/>
            <w:tcBorders>
              <w:right w:val="single" w:sz="8" w:color="CCEEFF"/>
            </w:tcBorders>
            <w:gridSpan w:val="2"/>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16,731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28,130</w:t>
            </w:r>
          </w:p>
        </w:tc>
      </w:tr>
      <w:tr>
        <w:trPr>
          <w:trHeight w:val="432"/>
        </w:trPr>
        <w:tc>
          <w:tcPr>
            <w:tcW w:w="402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60</w:t>
            </w: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020" w:type="dxa"/>
            <w:vAlign w:val="bottom"/>
            <w:tcBorders>
              <w:righ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 of December 31,</w:t>
            </w: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r>
      <w:tr>
        <w:trPr>
          <w:trHeight w:val="182"/>
        </w:trPr>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w w:val="85"/>
              </w:rPr>
              <w:t>(Dollars in thousands)</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rPr>
              <w:t>Nonperforming loans to gross loans</w:t>
            </w:r>
          </w:p>
        </w:tc>
        <w:tc>
          <w:tcPr>
            <w:tcW w:w="8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22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50"/>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Nonperforming assets to total loans and OREO</w:t>
            </w:r>
          </w:p>
        </w:tc>
        <w:tc>
          <w:tcPr>
            <w:tcW w:w="820" w:type="dxa"/>
            <w:vAlign w:val="bottom"/>
            <w:shd w:val="clear" w:color="auto" w:fill="CCEEFF"/>
          </w:tcPr>
          <w:p>
            <w:pPr>
              <w:spacing w:after="0"/>
              <w:rPr>
                <w:sz w:val="21"/>
                <w:szCs w:val="21"/>
                <w:color w:val="auto"/>
              </w:rPr>
            </w:pPr>
          </w:p>
        </w:tc>
        <w:tc>
          <w:tcPr>
            <w:tcW w:w="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w w:val="96"/>
              </w:rPr>
              <w:t>Allowance for loan losses to nonperforming loans</w:t>
            </w:r>
          </w:p>
        </w:tc>
        <w:tc>
          <w:tcPr>
            <w:tcW w:w="8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154.38%</w:t>
            </w:r>
          </w:p>
        </w:tc>
        <w:tc>
          <w:tcPr>
            <w:tcW w:w="22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294.29%</w:t>
            </w: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275.07%</w:t>
            </w: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135.18%</w:t>
            </w:r>
          </w:p>
        </w:tc>
      </w:tr>
      <w:tr>
        <w:trPr>
          <w:trHeight w:val="249"/>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Allowance for loan losses to gross loans</w:t>
            </w:r>
          </w:p>
        </w:tc>
        <w:tc>
          <w:tcPr>
            <w:tcW w:w="820" w:type="dxa"/>
            <w:vAlign w:val="bottom"/>
            <w:shd w:val="clear" w:color="auto" w:fill="CCEEFF"/>
          </w:tcPr>
          <w:p>
            <w:pPr>
              <w:spacing w:after="0"/>
              <w:rPr>
                <w:sz w:val="21"/>
                <w:szCs w:val="21"/>
                <w:color w:val="auto"/>
              </w:rPr>
            </w:pPr>
          </w:p>
        </w:tc>
        <w:tc>
          <w:tcPr>
            <w:tcW w:w="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Nonaccrual loans by category:</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shd w:val="clear" w:color="auto" w:fill="CCEEFF"/>
          </w:tcPr>
          <w:p>
            <w:pPr>
              <w:spacing w:after="0"/>
              <w:rPr>
                <w:sz w:val="21"/>
                <w:szCs w:val="21"/>
                <w:color w:val="auto"/>
              </w:rPr>
            </w:pP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858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r>
      <w:tr>
        <w:trPr>
          <w:trHeight w:val="249"/>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3,249</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21"/>
                <w:szCs w:val="21"/>
                <w:color w:val="auto"/>
              </w:rPr>
            </w:pP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0"/>
                <w:szCs w:val="20"/>
                <w:color w:val="auto"/>
              </w:rPr>
            </w:pPr>
          </w:p>
        </w:tc>
      </w:tr>
      <w:tr>
        <w:trPr>
          <w:trHeight w:val="249"/>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540" w:type="dxa"/>
            <w:vAlign w:val="bottom"/>
            <w:shd w:val="clear" w:color="auto" w:fill="CCEEFF"/>
          </w:tcPr>
          <w:p>
            <w:pPr>
              <w:spacing w:after="0" w:line="20" w:lineRule="exact"/>
              <w:rPr>
                <w:sz w:val="1"/>
                <w:szCs w:val="1"/>
                <w:color w:val="auto"/>
              </w:rPr>
            </w:pPr>
          </w:p>
        </w:tc>
        <w:tc>
          <w:tcPr>
            <w:tcW w:w="22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260" w:type="dxa"/>
            <w:vAlign w:val="bottom"/>
            <w:gridSpan w:val="2"/>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12,704</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6,187</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8,046</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19,173</w:t>
            </w:r>
          </w:p>
        </w:tc>
        <w:tc>
          <w:tcPr>
            <w:tcW w:w="10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84" w:lineRule="exact"/>
        <w:rPr>
          <w:sz w:val="20"/>
          <w:szCs w:val="20"/>
          <w:color w:val="auto"/>
        </w:rPr>
      </w:pPr>
    </w:p>
    <w:p>
      <w:pPr>
        <w:ind w:right="160" w:firstLine="360"/>
        <w:spacing w:after="0" w:line="289" w:lineRule="auto"/>
        <w:rPr>
          <w:sz w:val="20"/>
          <w:szCs w:val="20"/>
          <w:color w:val="auto"/>
        </w:rPr>
      </w:pPr>
      <w:r>
        <w:rPr>
          <w:rFonts w:ascii="Arial" w:cs="Arial" w:eastAsia="Arial" w:hAnsi="Arial"/>
          <w:sz w:val="16"/>
          <w:szCs w:val="16"/>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58"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auto"/>
        </w:rPr>
        <w:t>We had no loans restructured as TDRs during 2017, while there were $7.8 million in loans restructured as TDRs during 2016. TDRs are excluded from our nonperforming loans unless they otherwise meet the definition of nonaccrual loans or past due 90 days or more.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121" w:lineRule="exact"/>
        <w:rPr>
          <w:sz w:val="20"/>
          <w:szCs w:val="20"/>
          <w:color w:val="auto"/>
        </w:rPr>
      </w:pPr>
    </w:p>
    <w:p>
      <w:pPr>
        <w:jc w:val="both"/>
        <w:ind w:right="360" w:firstLine="360"/>
        <w:spacing w:after="0" w:line="263" w:lineRule="auto"/>
        <w:rPr>
          <w:sz w:val="20"/>
          <w:szCs w:val="20"/>
          <w:color w:val="auto"/>
        </w:rPr>
      </w:pPr>
      <w:r>
        <w:rPr>
          <w:rFonts w:ascii="Arial" w:cs="Arial" w:eastAsia="Arial" w:hAnsi="Arial"/>
          <w:sz w:val="18"/>
          <w:szCs w:val="18"/>
          <w:color w:val="auto"/>
        </w:rPr>
        <w:t>In addition to the past due and nonaccrual criteria, the Company also evaluates loans according to its internal risk grading system. Loans are segregated between pass, special mention, substandard, doubtful and loss categories. The definitions of those categories are as follows:</w:t>
      </w:r>
    </w:p>
    <w:p>
      <w:pPr>
        <w:spacing w:after="0" w:line="76"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Loans that do not fit either of the other categories listed below and for which likelihood of loss is considered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remote.</w:t>
      </w:r>
    </w:p>
    <w:p>
      <w:pPr>
        <w:spacing w:after="0" w:line="62" w:lineRule="exact"/>
        <w:rPr>
          <w:sz w:val="20"/>
          <w:szCs w:val="20"/>
          <w:color w:val="auto"/>
        </w:rPr>
      </w:pPr>
    </w:p>
    <w:p>
      <w:pPr>
        <w:ind w:right="140" w:firstLine="360"/>
        <w:spacing w:after="0" w:line="263" w:lineRule="auto"/>
        <w:rPr>
          <w:sz w:val="20"/>
          <w:szCs w:val="20"/>
          <w:color w:val="auto"/>
        </w:rPr>
      </w:pPr>
      <w:r>
        <w:rPr>
          <w:rFonts w:ascii="Arial" w:cs="Arial" w:eastAsia="Arial" w:hAnsi="Arial"/>
          <w:sz w:val="18"/>
          <w:szCs w:val="18"/>
          <w:i w:val="1"/>
          <w:iCs w:val="1"/>
          <w:color w:val="auto"/>
        </w:rPr>
        <w:t>Special mention</w:t>
      </w:r>
      <w:r>
        <w:rPr>
          <w:rFonts w:ascii="Arial" w:cs="Arial" w:eastAsia="Arial" w:hAnsi="Arial"/>
          <w:sz w:val="18"/>
          <w:szCs w:val="18"/>
          <w:color w:val="auto"/>
        </w:rPr>
        <w:t>: Loans with potential for deteriorating into a substandard classification without close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Loans remain in this category on a temporary basis and should be reclassified up or down, depending on improvement or continued deterioration.</w:t>
      </w:r>
    </w:p>
    <w:p>
      <w:pPr>
        <w:spacing w:after="0" w:line="76"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i w:val="1"/>
          <w:iCs w:val="1"/>
          <w:color w:val="auto"/>
        </w:rPr>
        <w:t>Substandard</w:t>
      </w:r>
      <w:r>
        <w:rPr>
          <w:rFonts w:ascii="Arial" w:cs="Arial" w:eastAsia="Arial" w:hAnsi="Arial"/>
          <w:sz w:val="18"/>
          <w:szCs w:val="18"/>
          <w:color w:val="auto"/>
        </w:rPr>
        <w:t>: Loans not adequately protected by sound current net worth or adequate repayment capacity of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and/or of the collateral pledged. Substandard loans have well defined weaknesses that jeopardize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liquidation of the classified debt. A potential for loss exists if the deficiencies or weaknesses are not recognized and corrected.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Substandard loans can be accruing or placed on nonaccrual based on the individual circumstances of each loan.</w:t>
      </w:r>
    </w:p>
    <w:p>
      <w:pPr>
        <w:spacing w:after="0" w:line="103" w:lineRule="exact"/>
        <w:rPr>
          <w:sz w:val="20"/>
          <w:szCs w:val="20"/>
          <w:color w:val="auto"/>
        </w:rPr>
      </w:pPr>
    </w:p>
    <w:p>
      <w:pPr>
        <w:ind w:right="140" w:firstLine="360"/>
        <w:spacing w:after="0" w:line="263" w:lineRule="auto"/>
        <w:rPr>
          <w:sz w:val="20"/>
          <w:szCs w:val="20"/>
          <w:color w:val="auto"/>
        </w:rPr>
      </w:pPr>
      <w:r>
        <w:rPr>
          <w:rFonts w:ascii="Arial" w:cs="Arial" w:eastAsia="Arial" w:hAnsi="Arial"/>
          <w:sz w:val="18"/>
          <w:szCs w:val="18"/>
          <w:i w:val="1"/>
          <w:iCs w:val="1"/>
          <w:color w:val="auto"/>
        </w:rPr>
        <w:t>Doubtful</w:t>
      </w:r>
      <w:r>
        <w:rPr>
          <w:rFonts w:ascii="Arial" w:cs="Arial" w:eastAsia="Arial" w:hAnsi="Arial"/>
          <w:sz w:val="18"/>
          <w:szCs w:val="18"/>
          <w:color w:val="auto"/>
        </w:rPr>
        <w:t>: Doubtful loans have all the weaknesses inherent in substandard loans with the added characteristics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on the basis of currently existing facts, conditions and values highly questionable and improbable. All doubtful loans are on nonaccrual.</w:t>
      </w:r>
    </w:p>
    <w:p>
      <w:pPr>
        <w:spacing w:after="0" w:line="7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Loans that are considered uncollectible and of such little value that their continuance as an active bank-owned asset in</w:t>
      </w:r>
      <w:r>
        <w:rPr>
          <w:rFonts w:ascii="Arial" w:cs="Arial" w:eastAsia="Arial" w:hAnsi="Arial"/>
          <w:sz w:val="18"/>
          <w:szCs w:val="18"/>
          <w:i w:val="1"/>
          <w:iCs w:val="1"/>
          <w:color w:val="auto"/>
        </w:rPr>
        <w:t xml:space="preserve"> </w:t>
      </w:r>
      <w:r>
        <w:rPr>
          <w:rFonts w:ascii="Arial" w:cs="Arial" w:eastAsia="Arial" w:hAnsi="Arial"/>
          <w:sz w:val="18"/>
          <w:szCs w:val="18"/>
          <w:color w:val="auto"/>
        </w:rPr>
        <w:t>not warranted. These loans are immediately charged off.</w:t>
      </w:r>
    </w:p>
    <w:p>
      <w:pPr>
        <w:spacing w:after="0" w:line="62" w:lineRule="exact"/>
        <w:rPr>
          <w:sz w:val="20"/>
          <w:szCs w:val="20"/>
          <w:color w:val="auto"/>
        </w:rPr>
      </w:pPr>
    </w:p>
    <w:p>
      <w:pPr>
        <w:ind w:right="900" w:firstLine="360"/>
        <w:spacing w:after="0" w:line="277" w:lineRule="auto"/>
        <w:rPr>
          <w:sz w:val="20"/>
          <w:szCs w:val="20"/>
          <w:color w:val="auto"/>
        </w:rPr>
      </w:pPr>
      <w:r>
        <w:rPr>
          <w:rFonts w:ascii="Arial" w:cs="Arial" w:eastAsia="Arial" w:hAnsi="Arial"/>
          <w:sz w:val="18"/>
          <w:szCs w:val="18"/>
          <w:color w:val="auto"/>
        </w:rPr>
        <w:t>Outstanding loan balances categorized by internal risk grades as of December 31, 2017 and December 31, 2016 are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Special</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Substandard</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center"/>
              <w:ind w:left="253"/>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2017</w:t>
            </w:r>
          </w:p>
        </w:tc>
        <w:tc>
          <w:tcPr>
            <w:tcW w:w="30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495,860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1,233</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9,801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506,894</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322,424</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6,695</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329,119</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397,390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4,037</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8,150</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410,057</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519,191</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6,972</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526,163</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65,847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65,922</w:t>
            </w:r>
          </w:p>
        </w:tc>
      </w:tr>
      <w:tr>
        <w:trPr>
          <w:trHeight w:val="20"/>
        </w:trPr>
        <w:tc>
          <w:tcPr>
            <w:tcW w:w="146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1,800,712</w:t>
            </w: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5,270</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31,693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1,838,155</w:t>
            </w:r>
          </w:p>
        </w:tc>
      </w:tr>
      <w:tr>
        <w:trPr>
          <w:trHeight w:val="243"/>
        </w:trPr>
        <w:tc>
          <w:tcPr>
            <w:tcW w:w="1460" w:type="dxa"/>
            <w:vAlign w:val="bottom"/>
            <w:tcBorders>
              <w:top w:val="single" w:sz="8" w:color="CCEEFF"/>
            </w:tcBorders>
          </w:tcPr>
          <w:p>
            <w:pPr>
              <w:spacing w:after="0"/>
              <w:rPr>
                <w:sz w:val="21"/>
                <w:szCs w:val="21"/>
                <w:color w:val="auto"/>
              </w:rPr>
            </w:pPr>
          </w:p>
        </w:tc>
        <w:tc>
          <w:tcPr>
            <w:tcW w:w="30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2016</w:t>
            </w:r>
          </w:p>
        </w:tc>
        <w:tc>
          <w:tcPr>
            <w:tcW w:w="30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453,334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9,161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462,495</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298,527</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10,752</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309,279</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387,181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8,768</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395,949</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431,174</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5,082</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436,256</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57,112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57,207</w:t>
            </w:r>
          </w:p>
        </w:tc>
      </w:tr>
      <w:tr>
        <w:trPr>
          <w:trHeight w:val="20"/>
        </w:trPr>
        <w:tc>
          <w:tcPr>
            <w:tcW w:w="146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1,627,328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1,661,186</w:t>
            </w:r>
          </w:p>
        </w:tc>
      </w:tr>
      <w:tr>
        <w:trPr>
          <w:trHeight w:val="27"/>
        </w:trPr>
        <w:tc>
          <w:tcPr>
            <w:tcW w:w="14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following table shows all loans, including nonaccrual loans, by classification and aging, as of December 31, 2017 and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Special</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Substandard</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center"/>
              <w:ind w:left="253"/>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2017</w:t>
            </w:r>
          </w:p>
        </w:tc>
        <w:tc>
          <w:tcPr>
            <w:tcW w:w="30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1,792,879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5,270</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16,854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1,815,003</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Past due 30-89 days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9,251</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Past due 90+ days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Nonaccrual</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12,224</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12,704</w:t>
            </w:r>
          </w:p>
        </w:tc>
      </w:tr>
      <w:tr>
        <w:trPr>
          <w:trHeight w:val="20"/>
        </w:trPr>
        <w:tc>
          <w:tcPr>
            <w:tcW w:w="1460" w:type="dxa"/>
            <w:vAlign w:val="bottom"/>
            <w:shd w:val="clear" w:color="auto" w:fill="CCEEFF"/>
          </w:tcPr>
          <w:p>
            <w:pPr>
              <w:spacing w:after="0" w:line="20" w:lineRule="exact"/>
              <w:rPr>
                <w:sz w:val="1"/>
                <w:szCs w:val="1"/>
                <w:color w:val="auto"/>
              </w:rPr>
            </w:pPr>
          </w:p>
        </w:tc>
        <w:tc>
          <w:tcPr>
            <w:tcW w:w="30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1,800,712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5,270</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31,693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1,838,155</w:t>
            </w:r>
          </w:p>
        </w:tc>
      </w:tr>
      <w:tr>
        <w:trPr>
          <w:trHeight w:val="28"/>
        </w:trPr>
        <w:tc>
          <w:tcPr>
            <w:tcW w:w="14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60" w:type="dxa"/>
            <w:vAlign w:val="bottom"/>
            <w:shd w:val="clear" w:color="auto" w:fill="CCEEFF"/>
          </w:tcPr>
          <w:p>
            <w:pPr>
              <w:spacing w:after="0"/>
              <w:rPr>
                <w:sz w:val="21"/>
                <w:szCs w:val="21"/>
                <w:color w:val="auto"/>
              </w:rPr>
            </w:pPr>
          </w:p>
        </w:tc>
        <w:tc>
          <w:tcPr>
            <w:tcW w:w="30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89"/>
        </w:trPr>
        <w:tc>
          <w:tcPr>
            <w:tcW w:w="45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December 31, 2016</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1460" w:type="dxa"/>
            <w:vAlign w:val="bottom"/>
            <w:tcBorders>
              <w:top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1,618,768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24,114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1,642,882</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Past due 30-89 days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2,909</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11,109</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Past due 90+ days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Nonaccrual</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6,178</w:t>
            </w:r>
          </w:p>
        </w:tc>
        <w:tc>
          <w:tcPr>
            <w:tcW w:w="2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6,187</w:t>
            </w:r>
          </w:p>
        </w:tc>
      </w:tr>
      <w:tr>
        <w:trPr>
          <w:trHeight w:val="20"/>
        </w:trPr>
        <w:tc>
          <w:tcPr>
            <w:tcW w:w="146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1,627,328</w:t>
            </w: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1,661,186</w:t>
            </w:r>
          </w:p>
        </w:tc>
      </w:tr>
      <w:tr>
        <w:trPr>
          <w:trHeight w:val="432"/>
        </w:trPr>
        <w:tc>
          <w:tcPr>
            <w:tcW w:w="146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512"/>
              <w:spacing w:after="0"/>
              <w:rPr>
                <w:sz w:val="20"/>
                <w:szCs w:val="20"/>
                <w:color w:val="auto"/>
              </w:rPr>
            </w:pPr>
            <w:r>
              <w:rPr>
                <w:rFonts w:ascii="Arial" w:cs="Arial" w:eastAsia="Arial" w:hAnsi="Arial"/>
                <w:sz w:val="18"/>
                <w:szCs w:val="18"/>
                <w:color w:val="auto"/>
                <w:w w:val="99"/>
              </w:rPr>
              <w:t>62</w:t>
            </w: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1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1460" w:type="dxa"/>
            <w:vAlign w:val="bottom"/>
            <w:shd w:val="clear" w:color="auto" w:fill="000000"/>
          </w:tcPr>
          <w:p>
            <w:pPr>
              <w:spacing w:after="0"/>
              <w:rPr>
                <w:sz w:val="5"/>
                <w:szCs w:val="5"/>
                <w:color w:val="auto"/>
              </w:rPr>
            </w:pPr>
          </w:p>
        </w:tc>
        <w:tc>
          <w:tcPr>
            <w:tcW w:w="304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70" w:lineRule="exact"/>
        <w:rPr>
          <w:sz w:val="20"/>
          <w:szCs w:val="20"/>
          <w:color w:val="auto"/>
        </w:rPr>
      </w:pPr>
    </w:p>
    <w:p>
      <w:pPr>
        <w:ind w:right="220" w:firstLine="360"/>
        <w:spacing w:after="0" w:line="275"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fair value of the securities portfolio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5"/>
              </w:rPr>
              <w:t>December 31, 2017</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w w:val="90"/>
              </w:rPr>
              <w:t>December 31, 2016</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2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Unrealized</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Unrealized</w:t>
            </w:r>
          </w:p>
        </w:tc>
      </w:t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Gain/(Loss)</w:t>
            </w:r>
          </w:p>
        </w:tc>
        <w:tc>
          <w:tcPr>
            <w:tcW w:w="20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Gain/(Loss)</w:t>
            </w:r>
          </w:p>
        </w:tc>
      </w:tr>
      <w:tr>
        <w:trPr>
          <w:trHeight w:val="20"/>
        </w:trPr>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thousands)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89,920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92,310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2,390</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$103,136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$106,823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3,687</w:t>
            </w:r>
          </w:p>
        </w:tc>
      </w:tr>
      <w:tr>
        <w:trPr>
          <w:trHeight w:val="249"/>
        </w:trPr>
        <w:tc>
          <w:tcPr>
            <w:tcW w:w="4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426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10,302</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10,392</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74,672</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74,859</w:t>
            </w: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74,597</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74,984</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387</w:t>
            </w:r>
          </w:p>
        </w:tc>
        <w:tc>
          <w:tcPr>
            <w:tcW w:w="680" w:type="dxa"/>
            <w:vAlign w:val="bottom"/>
          </w:tcPr>
          <w:p>
            <w:pPr>
              <w:jc w:val="right"/>
              <w:spacing w:after="0"/>
              <w:rPr>
                <w:sz w:val="20"/>
                <w:szCs w:val="20"/>
                <w:color w:val="auto"/>
              </w:rPr>
            </w:pPr>
            <w:r>
              <w:rPr>
                <w:rFonts w:ascii="Arial" w:cs="Arial" w:eastAsia="Arial" w:hAnsi="Arial"/>
                <w:sz w:val="18"/>
                <w:szCs w:val="18"/>
                <w:color w:val="auto"/>
              </w:rPr>
              <w:t>78,287</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78,648</w:t>
            </w:r>
          </w:p>
        </w:tc>
        <w:tc>
          <w:tcPr>
            <w:tcW w:w="2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r>
      <w:tr>
        <w:trPr>
          <w:trHeight w:val="249"/>
        </w:trPr>
        <w:tc>
          <w:tcPr>
            <w:tcW w:w="4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66,373</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65,783</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53,577</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53,296</w:t>
            </w: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r>
      <w:tr>
        <w:trPr>
          <w:trHeight w:val="229"/>
        </w:trPr>
        <w:tc>
          <w:tcPr>
            <w:tcW w:w="4260" w:type="dxa"/>
            <w:vAlign w:val="bottom"/>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43,353</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43,020</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680" w:type="dxa"/>
            <w:vAlign w:val="bottom"/>
          </w:tcPr>
          <w:p>
            <w:pPr>
              <w:jc w:val="right"/>
              <w:spacing w:after="0"/>
              <w:rPr>
                <w:sz w:val="20"/>
                <w:szCs w:val="20"/>
                <w:color w:val="auto"/>
              </w:rPr>
            </w:pPr>
            <w:r>
              <w:rPr>
                <w:rFonts w:ascii="Arial" w:cs="Arial" w:eastAsia="Arial" w:hAnsi="Arial"/>
                <w:sz w:val="18"/>
                <w:szCs w:val="18"/>
                <w:color w:val="auto"/>
              </w:rPr>
              <w:t>14,768</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14,884</w:t>
            </w:r>
          </w:p>
        </w:tc>
        <w:tc>
          <w:tcPr>
            <w:tcW w:w="2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7"/>
        </w:trPr>
        <w:tc>
          <w:tcPr>
            <w:tcW w:w="4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2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194,625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194,179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221,304</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221,687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7"/>
        </w:trPr>
        <w:tc>
          <w:tcPr>
            <w:tcW w:w="42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Certain securities have fair values less than amortized cost and, therefore, contain unrealized losses. At December 31, 2017,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20" w:firstLine="360"/>
        <w:spacing w:after="0" w:line="263"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dated presented. Expected maturities may differ from contractual maturities if borrowers have the right to call or prepay obligation with or without call or prepayment penalties.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As of December 31, 2017</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ind w:left="60"/>
              <w:spacing w:after="0" w:line="160" w:lineRule="exact"/>
              <w:rPr>
                <w:sz w:val="20"/>
                <w:szCs w:val="20"/>
                <w:color w:val="auto"/>
              </w:rPr>
            </w:pPr>
            <w:r>
              <w:rPr>
                <w:rFonts w:ascii="Arial" w:cs="Arial" w:eastAsia="Arial" w:hAnsi="Arial"/>
                <w:sz w:val="14"/>
                <w:szCs w:val="14"/>
                <w:b w:val="1"/>
                <w:bCs w:val="1"/>
                <w:color w:val="auto"/>
              </w:rPr>
              <w:t>Due after One Year</w:t>
            </w:r>
          </w:p>
        </w:tc>
        <w:tc>
          <w:tcPr>
            <w:tcW w:w="140" w:type="dxa"/>
            <w:vAlign w:val="bottom"/>
          </w:tcPr>
          <w:p>
            <w:pPr>
              <w:spacing w:after="0"/>
              <w:rPr>
                <w:sz w:val="13"/>
                <w:szCs w:val="13"/>
                <w:color w:val="auto"/>
              </w:rPr>
            </w:pPr>
          </w:p>
        </w:tc>
        <w:tc>
          <w:tcPr>
            <w:tcW w:w="1620" w:type="dxa"/>
            <w:vAlign w:val="bottom"/>
            <w:gridSpan w:val="5"/>
          </w:tcPr>
          <w:p>
            <w:pPr>
              <w:jc w:val="right"/>
              <w:ind w:right="340"/>
              <w:spacing w:after="0" w:line="160" w:lineRule="exact"/>
              <w:rPr>
                <w:sz w:val="20"/>
                <w:szCs w:val="20"/>
                <w:color w:val="auto"/>
              </w:rPr>
            </w:pPr>
            <w:r>
              <w:rPr>
                <w:rFonts w:ascii="Arial" w:cs="Arial" w:eastAsia="Arial" w:hAnsi="Arial"/>
                <w:sz w:val="14"/>
                <w:szCs w:val="14"/>
                <w:b w:val="1"/>
                <w:bCs w:val="1"/>
                <w:color w:val="auto"/>
                <w:w w:val="93"/>
              </w:rPr>
              <w:t>Due after Five Years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Due in One Year or Less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Through Five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Through Ten Years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Due after Ten Years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ind w:right="60"/>
              <w:spacing w:after="0" w:line="16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Amortized</w:t>
            </w: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5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(Dollars in thousands)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23,283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30,635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3.76%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6,050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29,952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9"/>
        </w:trPr>
        <w:tc>
          <w:tcPr>
            <w:tcW w:w="24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agencies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10,302</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9,058</w:t>
            </w: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15,299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27,505</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22,735</w:t>
            </w: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18,790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8"/>
                <w:szCs w:val="18"/>
                <w:color w:val="auto"/>
              </w:rPr>
              <w:t>Asset-backed and other</w:t>
            </w:r>
          </w:p>
        </w:tc>
        <w:tc>
          <w:tcPr>
            <w:tcW w:w="120" w:type="dxa"/>
            <w:vAlign w:val="bottom"/>
          </w:tcPr>
          <w:p>
            <w:pPr>
              <w:spacing w:after="0"/>
              <w:rPr>
                <w:sz w:val="18"/>
                <w:szCs w:val="18"/>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43,353</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amortizing securities</w:t>
            </w: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9,058</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25,601</w:t>
            </w:r>
          </w:p>
        </w:tc>
        <w:tc>
          <w:tcPr>
            <w:tcW w:w="10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46,295</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113,671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4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79" w:lineRule="exact"/>
        <w:rPr>
          <w:sz w:val="20"/>
          <w:szCs w:val="20"/>
          <w:color w:val="auto"/>
        </w:rPr>
      </w:pPr>
    </w:p>
    <w:p>
      <w:pPr>
        <w:jc w:val="both"/>
        <w:ind w:right="240" w:firstLine="360"/>
        <w:spacing w:after="0" w:line="286" w:lineRule="auto"/>
        <w:rPr>
          <w:sz w:val="20"/>
          <w:szCs w:val="20"/>
          <w:color w:val="auto"/>
        </w:rPr>
      </w:pPr>
      <w:r>
        <w:rPr>
          <w:rFonts w:ascii="Arial" w:cs="Arial" w:eastAsia="Arial" w:hAnsi="Arial"/>
          <w:sz w:val="17"/>
          <w:szCs w:val="17"/>
          <w:color w:val="auto"/>
        </w:rPr>
        <w:t>Total deposits at December 31, 2017 were $2.2 billion, representing an increase of $63.2 million, or 3.0%, compared to $2.1 billion at December 31, 2016. As of December 31, 2017, 22.1% of total deposits were comprised of noninterest-bearing demand accounts, 62.6% of interest-bearing non-maturity accounts and 15.4% of time deposits.</w:t>
      </w:r>
    </w:p>
    <w:p>
      <w:pPr>
        <w:spacing w:after="0" w:line="57"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following table summarizes our average deposit balances and weighted average rates for the years ended December 31, 2017 and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Average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Average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464,518</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431,569</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and money market</w:t>
            </w:r>
          </w:p>
        </w:tc>
        <w:tc>
          <w:tcPr>
            <w:tcW w:w="1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1,306,168</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1,359,438</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7"/>
        </w:trPr>
        <w:tc>
          <w:tcPr>
            <w:tcW w:w="3820" w:type="dxa"/>
            <w:vAlign w:val="bottom"/>
          </w:tcPr>
          <w:p>
            <w:pPr>
              <w:ind w:left="180"/>
              <w:spacing w:after="0"/>
              <w:rPr>
                <w:sz w:val="20"/>
                <w:szCs w:val="20"/>
                <w:color w:val="auto"/>
              </w:rPr>
            </w:pPr>
            <w:r>
              <w:rPr>
                <w:rFonts w:ascii="Arial" w:cs="Arial" w:eastAsia="Arial" w:hAnsi="Arial"/>
                <w:sz w:val="18"/>
                <w:szCs w:val="18"/>
                <w:color w:val="auto"/>
              </w:rPr>
              <w:t>Time deposits (less than $100,000)</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84,540</w:t>
            </w:r>
          </w:p>
        </w:tc>
        <w:tc>
          <w:tcPr>
            <w:tcW w:w="760" w:type="dxa"/>
            <w:vAlign w:val="bottom"/>
          </w:tcPr>
          <w:p>
            <w:pPr>
              <w:jc w:val="right"/>
              <w:spacing w:after="0"/>
              <w:rPr>
                <w:sz w:val="20"/>
                <w:szCs w:val="20"/>
                <w:color w:val="auto"/>
              </w:rPr>
            </w:pPr>
            <w:r>
              <w:rPr>
                <w:rFonts w:ascii="Arial" w:cs="Arial" w:eastAsia="Arial" w:hAnsi="Arial"/>
                <w:sz w:val="18"/>
                <w:szCs w:val="18"/>
                <w:color w:val="auto"/>
              </w:rPr>
              <w:t>0.91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90,611</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 ($100,000 to $250,000)</w:t>
            </w:r>
          </w:p>
        </w:tc>
        <w:tc>
          <w:tcPr>
            <w:tcW w:w="1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117,879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127,966</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Time deposits (more than $250,000)</w:t>
            </w: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153,340</w:t>
            </w: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131,520</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interest-bearing deposits</w:t>
            </w:r>
          </w:p>
        </w:tc>
        <w:tc>
          <w:tcPr>
            <w:tcW w:w="15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1,661,927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1,709,535</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5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Pr>
          <w:p>
            <w:pPr>
              <w:ind w:left="540"/>
              <w:spacing w:after="0"/>
              <w:rPr>
                <w:sz w:val="20"/>
                <w:szCs w:val="20"/>
                <w:color w:val="auto"/>
              </w:rPr>
            </w:pPr>
            <w:r>
              <w:rPr>
                <w:rFonts w:ascii="Arial" w:cs="Arial" w:eastAsia="Arial" w:hAnsi="Arial"/>
                <w:sz w:val="18"/>
                <w:szCs w:val="18"/>
                <w:color w:val="auto"/>
              </w:rPr>
              <w:t>Total deposits</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2,126,445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2,141,104</w:t>
            </w: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540" w:type="dxa"/>
            <w:vAlign w:val="bottom"/>
            <w:vMerge w:val="restart"/>
          </w:tcPr>
          <w:p>
            <w:pPr>
              <w:jc w:val="right"/>
              <w:ind w:right="390"/>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8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20" w:type="dxa"/>
            <w:vAlign w:val="bottom"/>
            <w:shd w:val="clear" w:color="auto" w:fill="000000"/>
          </w:tcPr>
          <w:p>
            <w:pPr>
              <w:spacing w:after="0"/>
              <w:rPr>
                <w:sz w:val="5"/>
                <w:szCs w:val="5"/>
                <w:color w:val="auto"/>
              </w:rPr>
            </w:pPr>
          </w:p>
        </w:tc>
        <w:tc>
          <w:tcPr>
            <w:tcW w:w="154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60" w:type="dxa"/>
            <w:vAlign w:val="bottom"/>
            <w:tcBorders>
              <w:left w:val="single" w:sz="8" w:color="auto"/>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tcBorders>
              <w:lef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maturity of time deposits as of December 31, 2017 and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2017</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0"/>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3"/>
                <w:szCs w:val="13"/>
                <w:color w:val="auto"/>
              </w:rPr>
            </w:pPr>
          </w:p>
        </w:tc>
        <w:tc>
          <w:tcPr>
            <w:tcW w:w="900" w:type="dxa"/>
            <w:vAlign w:val="bottom"/>
          </w:tcPr>
          <w:p>
            <w:pPr>
              <w:jc w:val="center"/>
              <w:ind w:right="58"/>
              <w:spacing w:after="0" w:line="160" w:lineRule="exact"/>
              <w:rPr>
                <w:sz w:val="20"/>
                <w:szCs w:val="20"/>
                <w:color w:val="auto"/>
              </w:rPr>
            </w:pPr>
            <w:r>
              <w:rPr>
                <w:rFonts w:ascii="Arial" w:cs="Arial" w:eastAsia="Arial" w:hAnsi="Arial"/>
                <w:sz w:val="14"/>
                <w:szCs w:val="14"/>
                <w:b w:val="1"/>
                <w:bCs w:val="1"/>
                <w:color w:val="auto"/>
                <w:w w:val="94"/>
              </w:rPr>
              <w:t>Three to Six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After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5"/>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37"/>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82,096</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24,524</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40,789</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109,354</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62,556</w:t>
            </w:r>
          </w:p>
        </w:tc>
        <w:tc>
          <w:tcPr>
            <w:tcW w:w="1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140,063</w:t>
            </w:r>
          </w:p>
        </w:tc>
      </w:tr>
      <w:tr>
        <w:trPr>
          <w:trHeight w:val="20"/>
        </w:trPr>
        <w:tc>
          <w:tcPr>
            <w:tcW w:w="43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Total time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97,525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53,253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120,525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331,513</w:t>
            </w: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2016</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0"/>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3"/>
                <w:szCs w:val="13"/>
                <w:color w:val="auto"/>
              </w:rPr>
            </w:pPr>
          </w:p>
        </w:tc>
        <w:tc>
          <w:tcPr>
            <w:tcW w:w="900" w:type="dxa"/>
            <w:vAlign w:val="bottom"/>
          </w:tcPr>
          <w:p>
            <w:pPr>
              <w:jc w:val="center"/>
              <w:ind w:right="58"/>
              <w:spacing w:after="0" w:line="160" w:lineRule="exact"/>
              <w:rPr>
                <w:sz w:val="20"/>
                <w:szCs w:val="20"/>
                <w:color w:val="auto"/>
              </w:rPr>
            </w:pPr>
            <w:r>
              <w:rPr>
                <w:rFonts w:ascii="Arial" w:cs="Arial" w:eastAsia="Arial" w:hAnsi="Arial"/>
                <w:sz w:val="14"/>
                <w:szCs w:val="14"/>
                <w:b w:val="1"/>
                <w:bCs w:val="1"/>
                <w:color w:val="auto"/>
                <w:w w:val="94"/>
              </w:rPr>
              <w:t>Three to Six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After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5"/>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37"/>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86,950</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45,747</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41,281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124,088</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69,525</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46,368</w:t>
            </w:r>
          </w:p>
        </w:tc>
        <w:tc>
          <w:tcPr>
            <w:tcW w:w="1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133,930</w:t>
            </w:r>
          </w:p>
        </w:tc>
      </w:tr>
      <w:tr>
        <w:trPr>
          <w:trHeight w:val="20"/>
        </w:trPr>
        <w:tc>
          <w:tcPr>
            <w:tcW w:w="43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Total time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51,569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43,143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144,221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106,035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344,968</w:t>
            </w: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420" w:firstLine="360"/>
        <w:spacing w:after="0" w:line="263" w:lineRule="auto"/>
        <w:rPr>
          <w:sz w:val="20"/>
          <w:szCs w:val="20"/>
          <w:color w:val="auto"/>
        </w:rPr>
      </w:pPr>
      <w:r>
        <w:rPr>
          <w:rFonts w:ascii="Arial" w:cs="Arial" w:eastAsia="Arial" w:hAnsi="Arial"/>
          <w:sz w:val="18"/>
          <w:szCs w:val="18"/>
          <w:color w:val="auto"/>
        </w:rPr>
        <w:t>Time deposits issued in amounts of more than $250,000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to deposits, we utilize advances from the FHLB and other borrowings as a supplementary funding source to finance our operations.</w:t>
      </w:r>
    </w:p>
    <w:p>
      <w:pPr>
        <w:spacing w:after="0" w:line="62"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i w:val="1"/>
          <w:iCs w:val="1"/>
          <w:color w:val="auto"/>
        </w:rPr>
        <w:t>FHLB Advances</w:t>
      </w:r>
      <w:r>
        <w:rPr>
          <w:rFonts w:ascii="Arial" w:cs="Arial" w:eastAsia="Arial" w:hAnsi="Arial"/>
          <w:sz w:val="17"/>
          <w:szCs w:val="17"/>
          <w:color w:val="auto"/>
        </w:rPr>
        <w:t>. The FHLB allows us to borrow, both short and long-term, on a blanket floating lien status collateralized by</w:t>
      </w:r>
      <w:r>
        <w:rPr>
          <w:rFonts w:ascii="Arial" w:cs="Arial" w:eastAsia="Arial" w:hAnsi="Arial"/>
          <w:sz w:val="17"/>
          <w:szCs w:val="17"/>
          <w:i w:val="1"/>
          <w:iCs w:val="1"/>
          <w:color w:val="auto"/>
        </w:rPr>
        <w:t xml:space="preserve"> </w:t>
      </w:r>
      <w:r>
        <w:rPr>
          <w:rFonts w:ascii="Arial" w:cs="Arial" w:eastAsia="Arial" w:hAnsi="Arial"/>
          <w:sz w:val="17"/>
          <w:szCs w:val="17"/>
          <w:color w:val="auto"/>
        </w:rPr>
        <w:t>first mortgage loans and commercial real estate loans as well as FHLB stock. At December 31, 2017 and December 31, 2016, we had maximum borrowing capacity from the FHLB of $696.6 million and $642.6 million, respectively. We had $145.0 million in off-balance sheet liabilities for letters of credit at December 31, 2017 and 2016. These letters of credit are used to pledge as collateral for public funds deposits. We had no short-term FHLB borrowings as of December 31, 2017 and 2016. We had long-term FHLB borrowings of $95.0 million as of December 31, 2017 and 2016, with an average interest rate of 1.11% and 0.65%, respectively. As of December 31, 2017 and 2016, total remaining borrowing capacity of $456.6 million and $402.6 million, respectively, was available under this arrangement. Our current FHLB borrowings mature within eight years.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FHLB borrowings as of December 31, 2017 and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2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83"/>
        </w:trPr>
        <w:tc>
          <w:tcPr>
            <w:tcW w:w="7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1"/>
                <w:szCs w:val="21"/>
                <w:color w:val="auto"/>
              </w:rPr>
            </w:pPr>
          </w:p>
        </w:tc>
      </w:t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0.79%</w:t>
            </w:r>
          </w:p>
        </w:tc>
      </w:tr>
      <w:tr>
        <w:trPr>
          <w:trHeight w:val="24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1"/>
                <w:szCs w:val="21"/>
                <w:color w:val="auto"/>
              </w:rPr>
            </w:pPr>
          </w:p>
        </w:tc>
      </w:t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0"/>
                <w:szCs w:val="20"/>
                <w:color w:val="auto"/>
              </w:rPr>
            </w:pPr>
          </w:p>
        </w:tc>
      </w:tr>
      <w:tr>
        <w:trPr>
          <w:trHeight w:val="24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9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amount of the line</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on a monthly basis by the Federal Reserve Bank. The line is collateralized by a blanket floating lien on all agriculture, commercial and consumer loans. The amount of the line was $466.0 million and $359.0 million at December 31, 2017 and 2016, respectively. The line was not used at December 31, 2017 or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520" w:firstLine="360"/>
        <w:spacing w:after="0" w:line="263"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total amount of the lines was $135.0 million as of December 31, 2017 and 2016. The lines were not used at December 31, 2017 and 2016.</w:t>
      </w:r>
    </w:p>
    <w:p>
      <w:pPr>
        <w:spacing w:after="0" w:line="76"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i w:val="1"/>
          <w:iCs w:val="1"/>
          <w:color w:val="auto"/>
        </w:rPr>
        <w:t>Subordinated Debt Securities</w:t>
      </w:r>
      <w:r>
        <w:rPr>
          <w:rFonts w:ascii="Arial" w:cs="Arial" w:eastAsia="Arial" w:hAnsi="Arial"/>
          <w:sz w:val="16"/>
          <w:szCs w:val="16"/>
          <w:color w:val="auto"/>
        </w:rPr>
        <w:t>. In January 2014, the Company issued $20.9 million in subordinated debt securities.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pay interest quarterly and mature January 2024. There was $6.5 million issued at an initial rate of 4.0% and $14.4 million issued at an initial rate of 5.0% at December 31, 2017 and 2016. These rates are fixed for five years from issuance and then float at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prime rate, with a floor of 4.0% and a ceiling of 7.5%. The securities are unsecured and may be called by the Company at any time after January 2019, and they qualify for tier 2 capital treatment, subject to regulatory limitations.</w:t>
      </w:r>
    </w:p>
    <w:p>
      <w:pPr>
        <w:spacing w:after="0" w:line="5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i w:val="1"/>
          <w:iCs w:val="1"/>
          <w:color w:val="auto"/>
        </w:rPr>
        <w:t>Junior Subordinated Deferrable Interest Debentures and Trust Preferred Securities</w:t>
      </w:r>
      <w:r>
        <w:rPr>
          <w:rFonts w:ascii="Arial" w:cs="Arial" w:eastAsia="Arial" w:hAnsi="Arial"/>
          <w:sz w:val="16"/>
          <w:szCs w:val="16"/>
          <w:color w:val="auto"/>
        </w:rPr>
        <w:t>. Between March 2004 and June 2007,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2017 and 2016. Company has the right, as has been exercised in the past, to defer payments of interest on the securities for up to twenty consecutive quarters. During such time, corporate dividends may not be paid.</w:t>
      </w:r>
    </w:p>
    <w:p>
      <w:pPr>
        <w:spacing w:after="0" w:line="58" w:lineRule="exact"/>
        <w:rPr>
          <w:sz w:val="20"/>
          <w:szCs w:val="20"/>
          <w:color w:val="auto"/>
        </w:rPr>
      </w:pPr>
    </w:p>
    <w:p>
      <w:pPr>
        <w:ind w:right="160" w:firstLine="360"/>
        <w:spacing w:after="0" w:line="301" w:lineRule="auto"/>
        <w:rPr>
          <w:sz w:val="20"/>
          <w:szCs w:val="20"/>
          <w:color w:val="auto"/>
        </w:rPr>
      </w:pPr>
      <w:r>
        <w:rPr>
          <w:rFonts w:ascii="Arial" w:cs="Arial" w:eastAsia="Arial" w:hAnsi="Arial"/>
          <w:sz w:val="16"/>
          <w:szCs w:val="16"/>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Stated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of Trust</w:t>
            </w:r>
          </w:p>
        </w:tc>
        <w:tc>
          <w:tcPr>
            <w:tcW w:w="18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Interest Rate of</w:t>
            </w: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of Trust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Trust Preferred</w:t>
            </w:r>
          </w:p>
        </w:tc>
      </w:tr>
      <w:tr>
        <w:trPr>
          <w:trHeight w:val="145"/>
        </w:trPr>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Issue</w:t>
            </w:r>
          </w:p>
        </w:tc>
        <w:tc>
          <w:tcPr>
            <w:tcW w:w="860" w:type="dxa"/>
            <w:vAlign w:val="bottom"/>
            <w:gridSpan w:val="4"/>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Preferred</w:t>
            </w:r>
          </w:p>
        </w:tc>
        <w:tc>
          <w:tcPr>
            <w:tcW w:w="96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Amount of</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 and</w:t>
            </w:r>
          </w:p>
        </w:tc>
        <w:tc>
          <w:tcPr>
            <w:tcW w:w="180" w:type="dxa"/>
            <w:vAlign w:val="bottom"/>
          </w:tcPr>
          <w:p>
            <w:pPr>
              <w:spacing w:after="0"/>
              <w:rPr>
                <w:sz w:val="12"/>
                <w:szCs w:val="12"/>
                <w:color w:val="auto"/>
              </w:rPr>
            </w:pPr>
          </w:p>
        </w:tc>
        <w:tc>
          <w:tcPr>
            <w:tcW w:w="162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89"/>
              </w:rPr>
              <w:t>Securities and</w:t>
            </w:r>
          </w:p>
        </w:tc>
      </w:tr>
      <w:tr>
        <w:trPr>
          <w:trHeight w:val="202"/>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Trust</w:t>
            </w:r>
          </w:p>
        </w:tc>
        <w:tc>
          <w:tcPr>
            <w:tcW w:w="200" w:type="dxa"/>
            <w:vAlign w:val="bottom"/>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Date</w:t>
            </w:r>
          </w:p>
        </w:tc>
        <w:tc>
          <w:tcPr>
            <w:tcW w:w="200" w:type="dxa"/>
            <w:vAlign w:val="bottom"/>
            <w:gridSpan w:val="2"/>
          </w:tcPr>
          <w:p>
            <w:pPr>
              <w:spacing w:after="0"/>
              <w:rPr>
                <w:sz w:val="17"/>
                <w:szCs w:val="17"/>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gridSpan w:val="2"/>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Debentures</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7"/>
              </w:rPr>
              <w:t>Debentures</w:t>
            </w:r>
            <w:r>
              <w:rPr>
                <w:rFonts w:ascii="Arial" w:cs="Arial" w:eastAsia="Arial" w:hAnsi="Arial"/>
                <w:sz w:val="23"/>
                <w:szCs w:val="23"/>
                <w:b w:val="1"/>
                <w:bCs w:val="1"/>
                <w:color w:val="auto"/>
                <w:w w:val="87"/>
                <w:vertAlign w:val="superscript"/>
              </w:rPr>
              <w:t>(1)</w:t>
            </w:r>
          </w:p>
        </w:tc>
        <w:tc>
          <w:tcPr>
            <w:tcW w:w="180" w:type="dxa"/>
            <w:vAlign w:val="bottom"/>
          </w:tcPr>
          <w:p>
            <w:pPr>
              <w:spacing w:after="0"/>
              <w:rPr>
                <w:sz w:val="17"/>
                <w:szCs w:val="17"/>
                <w:color w:val="auto"/>
              </w:rPr>
            </w:pP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Debentures</w:t>
            </w:r>
            <w:r>
              <w:rPr>
                <w:rFonts w:ascii="Arial" w:cs="Arial" w:eastAsia="Arial" w:hAnsi="Arial"/>
                <w:sz w:val="23"/>
                <w:szCs w:val="23"/>
                <w:b w:val="1"/>
                <w:bCs w:val="1"/>
                <w:color w:val="auto"/>
                <w:w w:val="85"/>
                <w:vertAlign w:val="superscript"/>
              </w:rPr>
              <w:t>(2)(3)</w:t>
            </w:r>
          </w:p>
        </w:tc>
        <w:tc>
          <w:tcPr>
            <w:tcW w:w="100" w:type="dxa"/>
            <w:vAlign w:val="bottom"/>
          </w:tcPr>
          <w:p>
            <w:pPr>
              <w:spacing w:after="0"/>
              <w:rPr>
                <w:sz w:val="17"/>
                <w:szCs w:val="17"/>
                <w:color w:val="auto"/>
              </w:rPr>
            </w:pPr>
          </w:p>
        </w:tc>
      </w:tr>
      <w:tr>
        <w:trPr>
          <w:trHeight w:val="182"/>
        </w:trPr>
        <w:tc>
          <w:tcPr>
            <w:tcW w:w="14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3"/>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3-mo. LIBOR</w:t>
            </w:r>
          </w:p>
        </w:tc>
      </w:tr>
      <w:tr>
        <w:trPr>
          <w:trHeight w:val="244"/>
        </w:trPr>
        <w:tc>
          <w:tcPr>
            <w:tcW w:w="14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+ 265 bps; 4.01%</w:t>
            </w: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820" w:type="dxa"/>
            <w:vAlign w:val="bottom"/>
            <w:gridSpan w:val="3"/>
          </w:tcPr>
          <w:p>
            <w:pPr>
              <w:ind w:left="28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20,619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2035</w:t>
            </w:r>
          </w:p>
        </w:tc>
        <w:tc>
          <w:tcPr>
            <w:tcW w:w="1800" w:type="dxa"/>
            <w:vAlign w:val="bottom"/>
            <w:gridSpan w:val="3"/>
          </w:tcPr>
          <w:p>
            <w:pPr>
              <w:ind w:left="140"/>
              <w:spacing w:after="0"/>
              <w:rPr>
                <w:sz w:val="20"/>
                <w:szCs w:val="20"/>
                <w:color w:val="auto"/>
              </w:rPr>
            </w:pPr>
            <w:r>
              <w:rPr>
                <w:rFonts w:ascii="Arial" w:cs="Arial" w:eastAsia="Arial" w:hAnsi="Arial"/>
                <w:sz w:val="18"/>
                <w:szCs w:val="18"/>
                <w:color w:val="auto"/>
              </w:rPr>
              <w:t>3-mo. LIBOR</w:t>
            </w:r>
          </w:p>
        </w:tc>
      </w:tr>
      <w:tr>
        <w:trPr>
          <w:trHeight w:val="237"/>
        </w:trPr>
        <w:tc>
          <w:tcPr>
            <w:tcW w:w="1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color w:val="auto"/>
              </w:rPr>
              <w:t>+ 139 bps; 3.09%</w:t>
            </w:r>
          </w:p>
        </w:tc>
      </w:tr>
      <w:tr>
        <w:trPr>
          <w:trHeight w:val="255"/>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8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2007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3-mo. LIBOR</w:t>
            </w:r>
          </w:p>
        </w:tc>
      </w:tr>
      <w:tr>
        <w:trPr>
          <w:trHeight w:val="196"/>
        </w:trPr>
        <w:tc>
          <w:tcPr>
            <w:tcW w:w="14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gridSpan w:val="3"/>
            <w:shd w:val="clear" w:color="auto" w:fill="CCEEFF"/>
          </w:tcPr>
          <w:p>
            <w:pPr>
              <w:ind w:left="140"/>
              <w:spacing w:after="0" w:line="182" w:lineRule="exact"/>
              <w:rPr>
                <w:sz w:val="20"/>
                <w:szCs w:val="20"/>
                <w:color w:val="auto"/>
              </w:rPr>
            </w:pPr>
            <w:r>
              <w:rPr>
                <w:rFonts w:ascii="Arial" w:cs="Arial" w:eastAsia="Arial" w:hAnsi="Arial"/>
                <w:sz w:val="18"/>
                <w:szCs w:val="18"/>
                <w:color w:val="auto"/>
              </w:rPr>
              <w:t>+ 150 bps; 2.98%</w:t>
            </w: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May be redeemed at the Company’s option.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Interest payable quarterly with principal due at maturity.</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Rate as of last reset date, prior to December 31,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68" w:lineRule="exact"/>
        <w:rPr>
          <w:sz w:val="20"/>
          <w:szCs w:val="20"/>
          <w:color w:val="auto"/>
        </w:rPr>
      </w:pPr>
    </w:p>
    <w:p>
      <w:pPr>
        <w:ind w:right="280" w:firstLine="360"/>
        <w:spacing w:after="0" w:line="263" w:lineRule="auto"/>
        <w:rPr>
          <w:sz w:val="20"/>
          <w:szCs w:val="20"/>
          <w:color w:val="auto"/>
        </w:rPr>
      </w:pPr>
      <w:r>
        <w:rPr>
          <w:rFonts w:ascii="Arial" w:cs="Arial" w:eastAsia="Arial" w:hAnsi="Arial"/>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period due to maturity or changes in market rates. The model is used to project future net interest income under a set of possible interest rate movements. The Company’s Investment/Asset Liability Committee reviews this information to determine if the projected future net interest income levels would be acceptable. The Company attempts to stay within acceptable net interest income levels.</w:t>
      </w:r>
    </w:p>
    <w:p>
      <w:pPr>
        <w:spacing w:after="0" w:line="7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 For further information, see “Supervision and Regulation – Regulatory Capital Requirements” and “Supervision and Regulation – Prompt Corrective Action Framework.”</w:t>
      </w:r>
    </w:p>
    <w:p>
      <w:pPr>
        <w:spacing w:after="0" w:line="60"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In July 2013, the federal bank regulatory agencies adopted revisions to the agencies’ capital adequacy guidelines and prompt corrective action rules, which were designed to enhance such requirements and implement the revised standards of the Basel Committee on Banking Supervision, commonly referred to as Basel III. The final rules generally implemented higher minimum capital requirements, added a new common equity tier 1 capital requirement, and established criteria that instruments must meet to be considered common equity tier 1 capital, additional tier 1 capital or tier 2 capital. The new minimum capital to risk-adjusted assets requirements were a common equity tier 1 capital ratio of 4.5% (6.5% to be considered “well capitalized”) and a tier 1 capital ratio of 6.0%, increased from 4.0% (and increased from 6.0% to 8.0% to be considered “well capitalized”), and the total capital ratio remained at 8.0% under the new rules (10.0% to be considered “well capitalized”). Under the final capital rules that became effective on January 1, 2015, there was a requirement for a common phased-in equity tier 1 capital conservation buffer of 2.5% of risk-weighted assets which is in addition to the other minimum risk-based capital standards in the rule. Institutions that do not maintain this required capital buffer will become subject to progressively more stringent limitations on the percentage of earnings that can be paid out in dividends or used for stock repurchases and on the payment of discretionary bonuses to senior executive management. The capital buffer requirement is being phased in over three years beginning in 2016. We have included the 0.625% increase for 2016 and 2017 in our minimum capital adequacy ratios in the table below. The capital buffer requirement effectively raises the minimum required common equity tier 1 capital ratio to 7.0%, the tier 1 capital ratio to 8.5%, and the total capital ratio to 10.5% on a fully phased-in basis on January 1, 2019.</w:t>
      </w:r>
    </w:p>
    <w:p>
      <w:pPr>
        <w:spacing w:after="0" w:line="72" w:lineRule="exact"/>
        <w:rPr>
          <w:sz w:val="20"/>
          <w:szCs w:val="20"/>
          <w:color w:val="auto"/>
        </w:rPr>
      </w:pPr>
    </w:p>
    <w:p>
      <w:pPr>
        <w:ind w:right="140" w:firstLine="360"/>
        <w:spacing w:after="0" w:line="296" w:lineRule="auto"/>
        <w:rPr>
          <w:sz w:val="20"/>
          <w:szCs w:val="20"/>
          <w:color w:val="auto"/>
        </w:rPr>
      </w:pPr>
      <w:r>
        <w:rPr>
          <w:rFonts w:ascii="Arial" w:cs="Arial" w:eastAsia="Arial" w:hAnsi="Arial"/>
          <w:sz w:val="16"/>
          <w:szCs w:val="16"/>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53" w:lineRule="exact"/>
        <w:rPr>
          <w:sz w:val="20"/>
          <w:szCs w:val="20"/>
          <w:color w:val="auto"/>
        </w:rPr>
      </w:pPr>
    </w:p>
    <w:p>
      <w:pPr>
        <w:ind w:right="360" w:firstLine="360"/>
        <w:spacing w:after="0" w:line="263" w:lineRule="auto"/>
        <w:rPr>
          <w:sz w:val="20"/>
          <w:szCs w:val="20"/>
          <w:color w:val="auto"/>
        </w:rPr>
      </w:pPr>
      <w:r>
        <w:rPr>
          <w:rFonts w:ascii="Arial" w:cs="Arial" w:eastAsia="Arial" w:hAnsi="Arial"/>
          <w:sz w:val="18"/>
          <w:szCs w:val="18"/>
          <w:color w:val="auto"/>
        </w:rPr>
        <w:t>At December 31, 2017, both we and the Bank met all the capital adequacy requirements to which we and the Bank were subject. At December 31, 2017, we and the Bank were “well capitalized” under the regulatory framework for prompt corrective action. Management believes that no conditions or events have occurred since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December 31, 2017 that would materially adversely change such capital classifications. From time to time, we may need to raise additional capital to support our and the Bank’s further growth and to maintain our “well capitalized” status.</w:t>
      </w:r>
    </w:p>
    <w:p>
      <w:pPr>
        <w:spacing w:after="0" w:line="38"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table below also summarizes the capital requirements applicable to us and the Bank in order to be considered “well-capitalized” from a regulatory perspective, as well as our and the Bank’s capital ratios as of December 31, 2017 and December 31, 2016. We and the Bank exceeded all regulatory capital requirements under Basel III and the Bank was considered to be “well-capitalized” as of the dates reflected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Regulatory</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Capital Ratio</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Requirements,</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Regulatory</w:t>
            </w:r>
          </w:p>
        </w:tc>
        <w:tc>
          <w:tcPr>
            <w:tcW w:w="12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Minimum</w:t>
            </w:r>
          </w:p>
        </w:tc>
        <w:tc>
          <w:tcPr>
            <w:tcW w:w="1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including fully</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Capital Ratio</w:t>
            </w:r>
          </w:p>
        </w:tc>
        <w:tc>
          <w:tcPr>
            <w:tcW w:w="12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To be Considered</w:t>
            </w:r>
          </w:p>
        </w:tc>
        <w:tc>
          <w:tcPr>
            <w:tcW w:w="120" w:type="dxa"/>
            <w:vAlign w:val="bottom"/>
          </w:tcPr>
          <w:p>
            <w:pPr>
              <w:spacing w:after="0"/>
              <w:rPr>
                <w:sz w:val="14"/>
                <w:szCs w:val="1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phased in Capital</w:t>
            </w:r>
          </w:p>
        </w:tc>
      </w:tr>
      <w:tr>
        <w:trPr>
          <w:trHeight w:val="185"/>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Actual</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2"/>
              </w:rPr>
              <w:t>Requirements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6"/>
              <w:spacing w:after="0"/>
              <w:rPr>
                <w:sz w:val="20"/>
                <w:szCs w:val="20"/>
                <w:color w:val="auto"/>
              </w:rPr>
            </w:pPr>
            <w:r>
              <w:rPr>
                <w:rFonts w:ascii="Arial" w:cs="Arial" w:eastAsia="Arial" w:hAnsi="Arial"/>
                <w:sz w:val="14"/>
                <w:szCs w:val="14"/>
                <w:b w:val="1"/>
                <w:bCs w:val="1"/>
                <w:color w:val="auto"/>
                <w:w w:val="96"/>
              </w:rPr>
              <w:t>“Well Capitalized”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r>
      <w:tr>
        <w:trPr>
          <w:trHeight w:val="183"/>
        </w:trPr>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Ratio</w:t>
            </w:r>
          </w:p>
        </w:tc>
        <w:tc>
          <w:tcPr>
            <w:tcW w:w="100" w:type="dxa"/>
            <w:vAlign w:val="bottom"/>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(Dollars in thousands)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2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As of December 31, 2017</w:t>
            </w: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34"/>
        </w:trPr>
        <w:tc>
          <w:tcPr>
            <w:tcW w:w="1800" w:type="dxa"/>
            <w:vAlign w:val="bottom"/>
            <w:tcBorders>
              <w:top w:val="single" w:sz="8" w:color="auto"/>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7"/>
                <w:szCs w:val="17"/>
                <w:color w:val="auto"/>
              </w:rPr>
              <w:t>Total capital (to risk-weighted assets)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303,301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185,220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210,250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Bank</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276,153</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184,982</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9.3%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199,980</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209,979</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10.5%</w:t>
            </w:r>
          </w:p>
        </w:tc>
      </w:tr>
      <w:tr>
        <w:trPr>
          <w:trHeight w:val="23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Tier 1 capital (to risk-weighted assets)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260,773</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145,173</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170,202</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8.5%</w:t>
            </w: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Bank</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254,512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144,986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159,984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169,983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3200" w:type="dxa"/>
            <w:vAlign w:val="bottom"/>
            <w:gridSpan w:val="2"/>
          </w:tcPr>
          <w:p>
            <w:pPr>
              <w:spacing w:after="0"/>
              <w:rPr>
                <w:sz w:val="20"/>
                <w:szCs w:val="20"/>
                <w:color w:val="auto"/>
              </w:rPr>
            </w:pPr>
            <w:r>
              <w:rPr>
                <w:rFonts w:ascii="Arial" w:cs="Arial" w:eastAsia="Arial" w:hAnsi="Arial"/>
                <w:sz w:val="17"/>
                <w:szCs w:val="17"/>
                <w:color w:val="auto"/>
              </w:rPr>
              <w:t>CET 1 capital (to risk-weighted assets)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215,773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115,137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140,167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Bank</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254,512</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114,989</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129,987</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139,986</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7.0%</w:t>
            </w:r>
          </w:p>
        </w:tc>
      </w:tr>
      <w:tr>
        <w:trPr>
          <w:trHeight w:val="23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Tier 1 capital (to average assets)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260,773</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103,643</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103,643</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Bank</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254,512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103,484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129,355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103,484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1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Regulatory</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Capital Ratio</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Requirements,</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Regulatory</w:t>
            </w:r>
          </w:p>
        </w:tc>
        <w:tc>
          <w:tcPr>
            <w:tcW w:w="12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Minimum</w:t>
            </w:r>
          </w:p>
        </w:tc>
        <w:tc>
          <w:tcPr>
            <w:tcW w:w="1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including fully</w:t>
            </w:r>
          </w:p>
        </w:tc>
      </w:tr>
      <w:tr>
        <w:trPr>
          <w:trHeight w:val="162"/>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Capital Ratio</w:t>
            </w:r>
          </w:p>
        </w:tc>
        <w:tc>
          <w:tcPr>
            <w:tcW w:w="120" w:type="dxa"/>
            <w:vAlign w:val="bottom"/>
          </w:tcPr>
          <w:p>
            <w:pPr>
              <w:spacing w:after="0"/>
              <w:rPr>
                <w:sz w:val="14"/>
                <w:szCs w:val="14"/>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To be Considered</w:t>
            </w:r>
          </w:p>
        </w:tc>
        <w:tc>
          <w:tcPr>
            <w:tcW w:w="120" w:type="dxa"/>
            <w:vAlign w:val="bottom"/>
          </w:tcPr>
          <w:p>
            <w:pPr>
              <w:spacing w:after="0"/>
              <w:rPr>
                <w:sz w:val="14"/>
                <w:szCs w:val="1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phased in Capital</w:t>
            </w:r>
          </w:p>
        </w:tc>
      </w:tr>
      <w:tr>
        <w:trPr>
          <w:trHeight w:val="185"/>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Actual</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2"/>
              </w:rPr>
              <w:t>Requirements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6"/>
              <w:spacing w:after="0"/>
              <w:rPr>
                <w:sz w:val="20"/>
                <w:szCs w:val="20"/>
                <w:color w:val="auto"/>
              </w:rPr>
            </w:pPr>
            <w:r>
              <w:rPr>
                <w:rFonts w:ascii="Arial" w:cs="Arial" w:eastAsia="Arial" w:hAnsi="Arial"/>
                <w:sz w:val="14"/>
                <w:szCs w:val="14"/>
                <w:b w:val="1"/>
                <w:bCs w:val="1"/>
                <w:color w:val="auto"/>
                <w:w w:val="96"/>
              </w:rPr>
              <w:t>“Well Capitalized”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r>
      <w:tr>
        <w:trPr>
          <w:trHeight w:val="183"/>
        </w:trPr>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Ratio</w:t>
            </w:r>
          </w:p>
        </w:tc>
        <w:tc>
          <w:tcPr>
            <w:tcW w:w="100" w:type="dxa"/>
            <w:vAlign w:val="bottom"/>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(Dollars in thousands)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2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As of December 31, 2016</w:t>
            </w: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34"/>
        </w:trPr>
        <w:tc>
          <w:tcPr>
            <w:tcW w:w="1800" w:type="dxa"/>
            <w:vAlign w:val="bottom"/>
            <w:tcBorders>
              <w:top w:val="single" w:sz="8" w:color="auto"/>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7"/>
                <w:szCs w:val="17"/>
                <w:color w:val="auto"/>
              </w:rPr>
              <w:t>Total capital (to risk-weighted assets)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286,578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157,529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191,774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Bank</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266,096</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157,214</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8.6%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182,278</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191,391</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10.5%</w:t>
            </w:r>
          </w:p>
        </w:tc>
      </w:tr>
      <w:tr>
        <w:trPr>
          <w:trHeight w:val="23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Tier 1 capital (to risk-weighted assets)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244,337</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121,000</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155,246</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8.5%</w:t>
            </w: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Bank</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244,742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120,759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145,822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154,936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3200" w:type="dxa"/>
            <w:vAlign w:val="bottom"/>
            <w:gridSpan w:val="2"/>
          </w:tcPr>
          <w:p>
            <w:pPr>
              <w:spacing w:after="0"/>
              <w:rPr>
                <w:sz w:val="20"/>
                <w:szCs w:val="20"/>
                <w:color w:val="auto"/>
              </w:rPr>
            </w:pPr>
            <w:r>
              <w:rPr>
                <w:rFonts w:ascii="Arial" w:cs="Arial" w:eastAsia="Arial" w:hAnsi="Arial"/>
                <w:sz w:val="17"/>
                <w:szCs w:val="17"/>
                <w:color w:val="auto"/>
              </w:rPr>
              <w:t>CET 1 capital (to risk-weighted assets)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199,337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93,604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127,849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Bank</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244,742</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93,417</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118,480</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127,594</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7.0%</w:t>
            </w:r>
          </w:p>
        </w:tc>
      </w:tr>
      <w:tr>
        <w:trPr>
          <w:trHeight w:val="23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Tier 1 capital (to average assets)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Consolidated</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244,337</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102,263</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102,263</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Bank</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244,742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102,104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127,630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102,104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contain supplemental information regarding our total contractual obligations at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Payments Due at December 31, 2017</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rPr>
              <w:t>Within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One to</w:t>
            </w:r>
          </w:p>
        </w:tc>
        <w:tc>
          <w:tcPr>
            <w:tcW w:w="10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 to</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After Five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One Year</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Three Years</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6"/>
          </w:tcPr>
          <w:p>
            <w:pPr>
              <w:jc w:val="center"/>
              <w:ind w:left="335"/>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210,988</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$ 331,513</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15,550</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20,887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20,887</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4,528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8,804</w:t>
            </w:r>
          </w:p>
        </w:tc>
      </w:tr>
      <w:tr>
        <w:trPr>
          <w:trHeight w:val="27"/>
        </w:trPr>
        <w:tc>
          <w:tcPr>
            <w:tcW w:w="47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228,127</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70,326</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$ 146,808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$ 518,147</w:t>
            </w:r>
          </w:p>
        </w:tc>
      </w:tr>
      <w:tr>
        <w:trPr>
          <w:trHeight w:val="27"/>
        </w:trPr>
        <w:tc>
          <w:tcPr>
            <w:tcW w:w="47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4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Payments Due at December 31, 2016</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rPr>
              <w:t>Within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One to</w:t>
            </w:r>
          </w:p>
        </w:tc>
        <w:tc>
          <w:tcPr>
            <w:tcW w:w="10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 to</w:t>
            </w:r>
          </w:p>
        </w:tc>
        <w:tc>
          <w:tcPr>
            <w:tcW w:w="16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After</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One Year</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Three Years</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200" w:type="dxa"/>
            <w:vAlign w:val="bottom"/>
          </w:tcPr>
          <w:p>
            <w:pPr>
              <w:spacing w:after="0"/>
              <w:rPr>
                <w:sz w:val="14"/>
                <w:szCs w:val="14"/>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6"/>
          </w:tcPr>
          <w:p>
            <w:pPr>
              <w:jc w:val="center"/>
              <w:ind w:left="335"/>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238,931</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$ 344,968</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26,240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26,240</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95,676</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20,887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20,887</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4,941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9,974</w:t>
            </w:r>
          </w:p>
        </w:tc>
      </w:tr>
      <w:tr>
        <w:trPr>
          <w:trHeight w:val="27"/>
        </w:trPr>
        <w:tc>
          <w:tcPr>
            <w:tcW w:w="47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267,490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33,718</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$ 147,221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$ 544,138</w:t>
            </w:r>
          </w:p>
        </w:tc>
      </w:tr>
      <w:tr>
        <w:trPr>
          <w:trHeight w:val="27"/>
        </w:trPr>
        <w:tc>
          <w:tcPr>
            <w:tcW w:w="47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7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firstLine="360"/>
        <w:spacing w:after="0" w:line="301"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commitments we have made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5"/>
                <w:szCs w:val="15"/>
                <w:color w:val="auto"/>
              </w:rPr>
            </w:pPr>
          </w:p>
        </w:tc>
      </w:tr>
      <w:tr>
        <w:trPr>
          <w:trHeight w:val="183"/>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290,441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299,023</w:t>
            </w: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10,149</w:t>
            </w:r>
          </w:p>
        </w:tc>
      </w:tr>
      <w:tr>
        <w:trPr>
          <w:trHeight w:val="20"/>
        </w:trPr>
        <w:tc>
          <w:tcPr>
            <w:tcW w:w="7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299,696</w:t>
            </w:r>
          </w:p>
        </w:tc>
        <w:tc>
          <w:tcPr>
            <w:tcW w:w="18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309,172</w:t>
            </w:r>
          </w:p>
        </w:tc>
      </w:tr>
      <w:tr>
        <w:trPr>
          <w:trHeight w:val="27"/>
        </w:trPr>
        <w:tc>
          <w:tcPr>
            <w:tcW w:w="742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The amount of these letters of credit with the FHLB was $145.0 million at December 31, 2017 and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121"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41"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53"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Our exposure to interest rate risk is managed by the Investment/Asset/Liability Committee, or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77"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22.5% for a +/-300 basis point shift, and 30% for a +/-400 basis point shift.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simulated change in net interest income over a 12-month horizon as of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ind w:left="54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5"/>
                <w:szCs w:val="15"/>
                <w:color w:val="auto"/>
              </w:rPr>
            </w:pPr>
          </w:p>
        </w:tc>
      </w:tr>
      <w:tr>
        <w:trPr>
          <w:trHeight w:val="160"/>
        </w:trPr>
        <w:tc>
          <w:tcPr>
            <w:tcW w:w="7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3"/>
              </w:rPr>
              <w:t>Percent</w:t>
            </w:r>
          </w:p>
        </w:tc>
        <w:tc>
          <w:tcPr>
            <w:tcW w:w="110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3"/>
              </w:rPr>
              <w:t>Percent</w:t>
            </w:r>
          </w:p>
        </w:tc>
      </w:tr>
      <w:tr>
        <w:trPr>
          <w:trHeight w:val="162"/>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Change in</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Change in</w:t>
            </w:r>
          </w:p>
        </w:tc>
      </w:tr>
      <w:tr>
        <w:trPr>
          <w:trHeight w:val="162"/>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w:t>
            </w:r>
          </w:p>
        </w:tc>
      </w:tr>
      <w:tr>
        <w:trPr>
          <w:trHeight w:val="185"/>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Change in Interest Rates (Basis Points)</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r>
      <w:tr>
        <w:trPr>
          <w:trHeight w:val="23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r>
      <w:tr>
        <w:trPr>
          <w:trHeight w:val="24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1"/>
                <w:szCs w:val="21"/>
                <w:color w:val="auto"/>
              </w:rPr>
            </w:pP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r>
      <w:tr>
        <w:trPr>
          <w:trHeight w:val="24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r>
      <w:tr>
        <w:trPr>
          <w:trHeight w:val="243"/>
        </w:trPr>
        <w:tc>
          <w:tcPr>
            <w:tcW w:w="7060" w:type="dxa"/>
            <w:vAlign w:val="bottom"/>
          </w:tcPr>
          <w:p>
            <w:pPr>
              <w:spacing w:after="0" w:line="243" w:lineRule="exact"/>
              <w:rPr>
                <w:sz w:val="20"/>
                <w:szCs w:val="20"/>
                <w:color w:val="auto"/>
              </w:rPr>
            </w:pPr>
            <w:r>
              <w:rPr>
                <w:rFonts w:ascii="Arial" w:cs="Arial" w:eastAsia="Arial" w:hAnsi="Arial"/>
                <w:sz w:val="17"/>
                <w:szCs w:val="17"/>
                <w:color w:val="auto"/>
              </w:rPr>
              <w:t>-200</w:t>
            </w:r>
            <w:r>
              <w:rPr>
                <w:rFonts w:ascii="Arial" w:cs="Arial" w:eastAsia="Arial" w:hAnsi="Arial"/>
                <w:sz w:val="28"/>
                <w:szCs w:val="28"/>
                <w:color w:val="auto"/>
                <w:vertAlign w:val="superscript"/>
              </w:rPr>
              <w:t>(1)</w:t>
            </w:r>
          </w:p>
        </w:tc>
        <w:tc>
          <w:tcPr>
            <w:tcW w:w="200" w:type="dxa"/>
            <w:vAlign w:val="bottom"/>
          </w:tcPr>
          <w:p>
            <w:pPr>
              <w:spacing w:after="0"/>
              <w:rPr>
                <w:sz w:val="21"/>
                <w:szCs w:val="21"/>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3"/>
        </w:trPr>
        <w:tc>
          <w:tcPr>
            <w:tcW w:w="70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-300</w:t>
            </w:r>
            <w:r>
              <w:rPr>
                <w:rFonts w:ascii="Arial" w:cs="Arial" w:eastAsia="Arial" w:hAnsi="Arial"/>
                <w:sz w:val="28"/>
                <w:szCs w:val="28"/>
                <w:color w:val="auto"/>
                <w:vertAlign w:val="superscript"/>
              </w:rPr>
              <w:t>(1)</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390"/>
        </w:trPr>
        <w:tc>
          <w:tcPr>
            <w:tcW w:w="7060" w:type="dxa"/>
            <w:vAlign w:val="bottom"/>
          </w:tcPr>
          <w:p>
            <w:pPr>
              <w:spacing w:after="0"/>
              <w:rPr>
                <w:sz w:val="20"/>
                <w:szCs w:val="20"/>
                <w:color w:val="auto"/>
              </w:rPr>
            </w:pPr>
            <w:r>
              <w:rPr>
                <w:rFonts w:ascii="Arial" w:cs="Arial" w:eastAsia="Arial" w:hAnsi="Arial"/>
                <w:sz w:val="18"/>
                <w:szCs w:val="18"/>
                <w:color w:val="auto"/>
              </w:rPr>
              <w:t>-400</w:t>
            </w:r>
            <w:r>
              <w:rPr>
                <w:rFonts w:ascii="Arial" w:cs="Arial" w:eastAsia="Arial" w:hAnsi="Arial"/>
                <w:sz w:val="29"/>
                <w:szCs w:val="29"/>
                <w:color w:val="auto"/>
                <w:vertAlign w:val="superscript"/>
              </w:rPr>
              <w:t>(1)</w:t>
            </w:r>
          </w:p>
        </w:tc>
        <w:tc>
          <w:tcPr>
            <w:tcW w:w="20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9086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38" w:lineRule="exact"/>
        <w:rPr>
          <w:sz w:val="20"/>
          <w:szCs w:val="20"/>
          <w:color w:val="auto"/>
        </w:rPr>
      </w:pPr>
    </w:p>
    <w:p>
      <w:pPr>
        <w:ind w:left="360" w:hanging="355"/>
        <w:spacing w:after="0"/>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Due to the low interest rate environment that existed in 2016, these changes in interest rates were not modeled.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Our consolidated financial statements and related notes included elsewhere in this prospectus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76"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Our accounting and reporting policies conform to GAAP and the prevailing practices in the banking industry. However, we also evaluate our performance based on certain additional financial measures discussed in this prospectus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73"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non-GAAP financial measures that we discuss in this prospectus should not be considered in isolation or as a substitute for the most directly comparable or other financial measures calculated in accordance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GAAP. Moreover, the manner in which we calculate the non-GAAP financial measures that we discuss in this prospectus may differ from that of other companies reporting measures with similar names. It is important to understand how other banking organizations calculate their financial measures with names similar to the non-GAAP financial measures we have discussed in this prospectus when comparing such non-GAAP financial measures.</w:t>
      </w:r>
    </w:p>
    <w:p>
      <w:pPr>
        <w:spacing w:after="0" w:line="79"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i w:val="1"/>
          <w:iCs w:val="1"/>
          <w:color w:val="auto"/>
        </w:rPr>
        <w:t>Tangible Book Value Per Common Share</w:t>
      </w:r>
      <w:r>
        <w:rPr>
          <w:rFonts w:ascii="Arial" w:cs="Arial" w:eastAsia="Arial" w:hAnsi="Arial"/>
          <w:sz w:val="17"/>
          <w:szCs w:val="17"/>
          <w:color w:val="auto"/>
        </w:rPr>
        <w:t>. Tangible book value per share is a non-GAAP measure generally used by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70"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As we did not have any goodwill or other intangible assets as of the years ended December 31, 2014 to 2018, our tangible book value per common share for such periods ended was the same as our respective book value per common share.</w:t>
      </w:r>
    </w:p>
    <w:p>
      <w:pPr>
        <w:spacing w:after="0" w:line="38"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i w:val="1"/>
          <w:iCs w:val="1"/>
          <w:color w:val="auto"/>
        </w:rPr>
        <w:t>Tangible Common Equity to Tangible Assets</w:t>
      </w:r>
      <w:r>
        <w:rPr>
          <w:rFonts w:ascii="Arial" w:cs="Arial" w:eastAsia="Arial" w:hAnsi="Arial"/>
          <w:sz w:val="16"/>
          <w:szCs w:val="16"/>
          <w:color w:val="auto"/>
        </w:rPr>
        <w:t>. Tangible common equity to tangible assets is a non-GAAP measure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57" w:lineRule="exact"/>
        <w:rPr>
          <w:sz w:val="20"/>
          <w:szCs w:val="20"/>
          <w:color w:val="auto"/>
        </w:rPr>
      </w:pPr>
    </w:p>
    <w:p>
      <w:pPr>
        <w:jc w:val="both"/>
        <w:ind w:right="400" w:firstLine="360"/>
        <w:spacing w:after="0" w:line="263" w:lineRule="auto"/>
        <w:rPr>
          <w:sz w:val="20"/>
          <w:szCs w:val="20"/>
          <w:color w:val="auto"/>
        </w:rPr>
      </w:pPr>
      <w:r>
        <w:rPr>
          <w:rFonts w:ascii="Arial" w:cs="Arial" w:eastAsia="Arial" w:hAnsi="Arial"/>
          <w:sz w:val="18"/>
          <w:szCs w:val="18"/>
          <w:color w:val="auto"/>
        </w:rPr>
        <w:t>As we did not have any goodwill or other intangible assets as of the years ended December 31, 2014 to 2018, our tangible common equity to tangible assets for such periods ended was the same as our respective common shareholders’ equity to total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58" w:lineRule="exact"/>
        <w:rPr>
          <w:sz w:val="20"/>
          <w:szCs w:val="20"/>
          <w:color w:val="auto"/>
        </w:rPr>
      </w:pPr>
    </w:p>
    <w:p>
      <w:pPr>
        <w:ind w:right="180" w:firstLine="360"/>
        <w:spacing w:after="0" w:line="296" w:lineRule="auto"/>
        <w:rPr>
          <w:sz w:val="20"/>
          <w:szCs w:val="20"/>
          <w:color w:val="auto"/>
        </w:rPr>
      </w:pPr>
      <w:r>
        <w:rPr>
          <w:rFonts w:ascii="Arial" w:cs="Arial" w:eastAsia="Arial" w:hAnsi="Arial"/>
          <w:sz w:val="16"/>
          <w:szCs w:val="16"/>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53" w:lineRule="exact"/>
        <w:rPr>
          <w:sz w:val="20"/>
          <w:szCs w:val="20"/>
          <w:color w:val="auto"/>
        </w:rPr>
      </w:pPr>
    </w:p>
    <w:p>
      <w:pPr>
        <w:ind w:right="20" w:firstLine="360"/>
        <w:spacing w:after="0" w:line="263"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2017.</w:t>
      </w:r>
    </w:p>
    <w:p>
      <w:pPr>
        <w:spacing w:after="0" w:line="76"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The consolidated financial statements include the accounts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consolidated subsidiaries. All significant intercompany balances and transactions have been eliminated in consolidation.</w:t>
      </w:r>
    </w:p>
    <w:p>
      <w:pPr>
        <w:spacing w:after="0" w:line="76"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includes all cash on hand, balances due from other banks, and Federal funds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have original maturities within three months, as cash and cash equivalents.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 xml:space="preserve">Securities. </w:t>
      </w:r>
      <w:r>
        <w:rPr>
          <w:rFonts w:ascii="Arial" w:cs="Arial" w:eastAsia="Arial" w:hAnsi="Arial"/>
          <w:sz w:val="17"/>
          <w:szCs w:val="17"/>
          <w:color w:val="auto"/>
        </w:rPr>
        <w:t>Investment securities may be classified into trading, held-to-maturity, or available-for-sale portfolios.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77" w:lineRule="exact"/>
        <w:rPr>
          <w:sz w:val="20"/>
          <w:szCs w:val="20"/>
          <w:color w:val="auto"/>
        </w:rPr>
      </w:pPr>
    </w:p>
    <w:p>
      <w:pPr>
        <w:ind w:right="160" w:firstLine="360"/>
        <w:spacing w:after="0" w:line="296"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Loans that management has the intent and ability to hold for the foreseeable future or until maturity or payoff are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3" w:lineRule="exact"/>
        <w:rPr>
          <w:sz w:val="20"/>
          <w:szCs w:val="20"/>
          <w:color w:val="auto"/>
        </w:rPr>
      </w:pPr>
    </w:p>
    <w:p>
      <w:pPr>
        <w:ind w:right="180" w:firstLine="360"/>
        <w:spacing w:after="0" w:line="275"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8" w:lineRule="exact"/>
        <w:rPr>
          <w:sz w:val="20"/>
          <w:szCs w:val="20"/>
          <w:color w:val="auto"/>
        </w:rPr>
      </w:pPr>
    </w:p>
    <w:p>
      <w:pPr>
        <w:ind w:right="300" w:firstLine="360"/>
        <w:spacing w:after="0" w:line="293"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6"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7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8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and in April 2016, the FASB issued ASU 2016-14, Revenue from Contracts with Customers (Topic 606) - Deferral of the Effective Date. The FASB amended existing guidance related to revenue from contracts with 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for financial statements as of December 31, 2019 and for interim financial statements beginning January 1, 2020. The adoption of this standard is not expected to have a material impact on the Company’s operating results or financial condition as the majority of the Company’s revenue sources are covered by other sections of the FASB codification.</w:t>
      </w:r>
    </w:p>
    <w:p>
      <w:pPr>
        <w:spacing w:after="0" w:line="6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In February 2016, the FASB issued ASU 2016-02 Leases (Topic 842). The FASB amended existing guidance that requires that lessees recognize lease assets and lease liabilities on the balance sheet and disclose key information about leasing arrangements. The Company is in the process of determining the effect of the standard on its consolidated operating results and financial condition.</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These amendments are effective for financial statements as of December 31, 2020 and for interim periods beginning January 1, 2021.</w:t>
      </w:r>
    </w:p>
    <w:p>
      <w:pPr>
        <w:spacing w:after="0" w:line="77"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In January 2016, the FASB issued ASU 2016-13, Financial Instruments - Credit Losses (Topic 326). 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held-to-maturity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84" w:lineRule="exact"/>
        <w:rPr>
          <w:sz w:val="20"/>
          <w:szCs w:val="20"/>
          <w:color w:val="auto"/>
        </w:rPr>
      </w:pPr>
    </w:p>
    <w:p>
      <w:pPr>
        <w:ind w:right="80" w:firstLine="360"/>
        <w:spacing w:after="0" w:line="301" w:lineRule="auto"/>
        <w:rPr>
          <w:sz w:val="20"/>
          <w:szCs w:val="20"/>
          <w:color w:val="auto"/>
        </w:rPr>
      </w:pPr>
      <w:r>
        <w:rPr>
          <w:rFonts w:ascii="Arial" w:cs="Arial" w:eastAsia="Arial" w:hAnsi="Arial"/>
          <w:sz w:val="16"/>
          <w:szCs w:val="16"/>
          <w:color w:val="auto"/>
        </w:rPr>
        <w:t>In August 2016, the FASB issued ASU 2016-15, Statement of Cash Flows (Topic 320). The FASB issued guidance to address the diversity in how certain cash receipts and cash payments are presented and classified in the statement of cash flows. The adoption of this standard is not expected to have a material impact on the Company’s operating results or financial condition. These amendments are effective for financial statements as of December 31, 2019 and interim periods beginning January 1,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August 2017, the FASB issued ASU 2017-12, Derivatives and Hedging (Topic 815). The FASB issued guidance to improve the financial reporting of hedging 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These amendments are effective for financial statements as of December 31, 20120 and for interim periods beginning January 1, 2021. The adoption of this standard is not expected to have a material impact on the Company’s operating results or financial condition.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color w:val="auto"/>
        </w:rPr>
        <w:t>We are a bank holding company headquartered in Lubbock, Texas, and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53"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We had total assets of $2.6 billion, gross loans held for investment of $1.8 billion, total deposits of $2.2 billion, and total shareholders’ equity of $215.3 million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7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6" w:lineRule="exact"/>
        <w:rPr>
          <w:sz w:val="20"/>
          <w:szCs w:val="20"/>
          <w:color w:val="auto"/>
        </w:rPr>
      </w:pPr>
    </w:p>
    <w:p>
      <w:pPr>
        <w:jc w:val="both"/>
        <w:ind w:right="80" w:firstLine="360"/>
        <w:spacing w:after="0" w:line="263"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6" w:lineRule="exact"/>
        <w:rPr>
          <w:sz w:val="20"/>
          <w:szCs w:val="20"/>
          <w:color w:val="auto"/>
        </w:rPr>
      </w:pPr>
    </w:p>
    <w:p>
      <w:pPr>
        <w:ind w:left="700" w:hanging="34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growth, with a CAGR of 11.7% in net income for the five years ended December 31, 2017;</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 growth, with a CAGR of 5.9% for the period January 1, 2013 to December 31, 2017;</w:t>
      </w:r>
    </w:p>
    <w:p>
      <w:pPr>
        <w:spacing w:after="0" w:line="117" w:lineRule="exact"/>
        <w:rPr>
          <w:rFonts w:ascii="Arial" w:cs="Arial" w:eastAsia="Arial" w:hAnsi="Arial"/>
          <w:sz w:val="18"/>
          <w:szCs w:val="18"/>
          <w:color w:val="auto"/>
        </w:rPr>
      </w:pPr>
    </w:p>
    <w:p>
      <w:pPr>
        <w:ind w:left="700" w:right="80" w:hanging="344"/>
        <w:spacing w:after="0" w:line="342"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Strong asset quality metrics, with a net charge-offs to average loans ratio of 0.21% for the year ended December 31, 2017 and our nonperforming assets representing less than 0.91% of our loans and OREO as of December 31, 2017; and</w:t>
      </w:r>
    </w:p>
    <w:p>
      <w:pPr>
        <w:spacing w:after="0" w:line="15" w:lineRule="exact"/>
        <w:rPr>
          <w:rFonts w:ascii="Arial" w:cs="Arial" w:eastAsia="Arial" w:hAnsi="Arial"/>
          <w:sz w:val="16"/>
          <w:szCs w:val="16"/>
          <w:color w:val="auto"/>
        </w:rPr>
      </w:pPr>
    </w:p>
    <w:p>
      <w:pPr>
        <w:ind w:left="700" w:right="440" w:hanging="344"/>
        <w:spacing w:after="0" w:line="311"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88.4% of total deposits as of December 31, 2017, and our cost of total deposits, which was 0.58% for the year ended December 31, 2017.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6" w:lineRule="exact"/>
        <w:rPr>
          <w:sz w:val="20"/>
          <w:szCs w:val="20"/>
          <w:color w:val="auto"/>
        </w:rPr>
      </w:pPr>
    </w:p>
    <w:p>
      <w:pPr>
        <w:ind w:left="700" w:right="320" w:hanging="344"/>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Organic Growth. </w:t>
      </w:r>
      <w:r>
        <w:rPr>
          <w:rFonts w:ascii="Arial" w:cs="Arial" w:eastAsia="Arial" w:hAnsi="Arial"/>
          <w:sz w:val="18"/>
          <w:szCs w:val="18"/>
          <w:color w:val="auto"/>
        </w:rPr>
        <w:t>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2017, which we believe illustrates this strategy.</w:t>
      </w:r>
    </w:p>
    <w:p>
      <w:pPr>
        <w:spacing w:after="0" w:line="43"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Deposits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2"/>
              </w:rPr>
              <w:t>Loans</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Loans/</w:t>
            </w:r>
          </w:p>
        </w:tc>
      </w:tr>
      <w:tr>
        <w:trPr>
          <w:trHeight w:val="18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Overall %</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2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7"/>
                <w:szCs w:val="27"/>
                <w:color w:val="auto"/>
                <w:vertAlign w:val="superscript"/>
              </w:rPr>
              <w:t>(1)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387,140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518,718</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w:t>
            </w:r>
          </w:p>
        </w:tc>
      </w:tr>
      <w:tr>
        <w:trPr>
          <w:trHeight w:val="390"/>
        </w:trPr>
        <w:tc>
          <w:tcPr>
            <w:tcW w:w="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1,820,817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1,319,437</w:t>
            </w: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26670</wp:posOffset>
            </wp:positionV>
            <wp:extent cx="8483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Note: Dollar amounts in thousands.</w:t>
      </w:r>
    </w:p>
    <w:p>
      <w:pPr>
        <w:spacing w:after="0" w:line="109" w:lineRule="exact"/>
        <w:rPr>
          <w:sz w:val="20"/>
          <w:szCs w:val="20"/>
          <w:color w:val="auto"/>
        </w:rPr>
      </w:pPr>
    </w:p>
    <w:p>
      <w:pPr>
        <w:ind w:left="1080" w:hanging="360"/>
        <w:spacing w:after="0"/>
        <w:tabs>
          <w:tab w:leader="none" w:pos="10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080" w:right="380" w:hanging="360"/>
        <w:spacing w:after="0" w:line="273" w:lineRule="auto"/>
        <w:tabs>
          <w:tab w:leader="none" w:pos="10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720" w:right="2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700" w:hanging="344"/>
        <w:spacing w:after="0" w:line="290" w:lineRule="auto"/>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Growth Through Acquisitions</w:t>
      </w:r>
      <w:r>
        <w:rPr>
          <w:rFonts w:ascii="Arial" w:cs="Arial" w:eastAsia="Arial" w:hAnsi="Arial"/>
          <w:sz w:val="16"/>
          <w:szCs w:val="16"/>
          <w:color w:val="auto"/>
        </w:rPr>
        <w:t>. We intend to take advantage of strategic acquisition opportunities, including using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as public currency to become a logical consolidator in our market areas. As of September 30, 2018, there were more than 140 banks in Texas and New Mexico with between $250 million and $1.0 billion in total assets, which provides us with ample opportunities to make acquisitions that increase shareholder value both in our existing markets and in attractive new markets in those states.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w:t>
      </w:r>
    </w:p>
    <w:p>
      <w:pPr>
        <w:spacing w:after="0" w:line="57" w:lineRule="exact"/>
        <w:rPr>
          <w:rFonts w:ascii="Arial" w:cs="Arial" w:eastAsia="Arial" w:hAnsi="Arial"/>
          <w:sz w:val="16"/>
          <w:szCs w:val="16"/>
          <w:color w:val="auto"/>
        </w:rPr>
      </w:pPr>
    </w:p>
    <w:p>
      <w:pPr>
        <w:ind w:left="700" w:hanging="344"/>
        <w:spacing w:after="0" w:line="287" w:lineRule="auto"/>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Operational Improvements Through Enterprise Risk Management</w:t>
      </w:r>
      <w:r>
        <w:rPr>
          <w:rFonts w:ascii="Arial" w:cs="Arial" w:eastAsia="Arial" w:hAnsi="Arial"/>
          <w:sz w:val="16"/>
          <w:szCs w:val="16"/>
          <w:color w:val="auto"/>
        </w:rPr>
        <w:t>. We implemented a rigorous ERM system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aftermath of the financial crisis, and view this development as a defining event for our institution. This system delivers a systematic approach to risk 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 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63" w:lineRule="exact"/>
        <w:rPr>
          <w:rFonts w:ascii="Arial" w:cs="Arial" w:eastAsia="Arial" w:hAnsi="Arial"/>
          <w:sz w:val="16"/>
          <w:szCs w:val="16"/>
          <w:color w:val="auto"/>
        </w:rPr>
      </w:pPr>
    </w:p>
    <w:p>
      <w:pPr>
        <w:ind w:left="700" w:right="80" w:hanging="344"/>
        <w:spacing w:after="0" w:line="25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Efficiency and Profitability</w:t>
      </w:r>
      <w:r>
        <w:rPr>
          <w:rFonts w:ascii="Arial" w:cs="Arial" w:eastAsia="Arial" w:hAnsi="Arial"/>
          <w:sz w:val="18"/>
          <w:szCs w:val="18"/>
          <w:color w:val="auto"/>
        </w:rPr>
        <w:t>. We have invested in a number of systems and processes that we believe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 account tools, and technologies that facilitate more efficient item processing. We believe these investments will allow us to scale our business without commensurate additional expenses and help us further reduce our efficiency ratio over time.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44"/>
        <w:spacing w:after="0" w:line="270" w:lineRule="auto"/>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Emphasize Community Banking</w:t>
      </w:r>
      <w:r>
        <w:rPr>
          <w:rFonts w:ascii="Arial" w:cs="Arial" w:eastAsia="Arial" w:hAnsi="Arial"/>
          <w:sz w:val="17"/>
          <w:szCs w:val="17"/>
          <w:color w:val="auto"/>
        </w:rPr>
        <w:t>. We intend to continue operating our subsidiary bank as a community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00" w:right="40" w:hanging="344"/>
        <w:spacing w:after="0" w:line="254"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Management Depth and Experience</w:t>
      </w:r>
      <w:r>
        <w:rPr>
          <w:rFonts w:ascii="Arial" w:cs="Arial" w:eastAsia="Arial" w:hAnsi="Arial"/>
          <w:sz w:val="18"/>
          <w:szCs w:val="18"/>
          <w:color w:val="auto"/>
        </w:rPr>
        <w:t>. Our executive management team has an average of 31 years of commercial banking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pacing w:after="0" w:line="86" w:lineRule="exact"/>
        <w:rPr>
          <w:rFonts w:ascii="Arial" w:cs="Arial" w:eastAsia="Arial" w:hAnsi="Arial"/>
          <w:sz w:val="18"/>
          <w:szCs w:val="18"/>
          <w:color w:val="auto"/>
        </w:rPr>
      </w:pPr>
    </w:p>
    <w:p>
      <w:pPr>
        <w:ind w:left="1080" w:hanging="360"/>
        <w:spacing w:after="0" w:line="244" w:lineRule="auto"/>
        <w:tabs>
          <w:tab w:leader="none" w:pos="108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 xml:space="preserve">Curtis C. Griffith </w:t>
      </w:r>
      <w:r>
        <w:rPr>
          <w:rFonts w:ascii="Arial" w:cs="Arial" w:eastAsia="Arial" w:hAnsi="Arial"/>
          <w:sz w:val="18"/>
          <w:szCs w:val="18"/>
          <w:i w:val="1"/>
          <w:iCs w:val="1"/>
          <w:color w:val="auto"/>
        </w:rPr>
        <w:t>– Chairman and Chief Executive Officer – Age 66</w:t>
      </w:r>
      <w:r>
        <w:rPr>
          <w:rFonts w:ascii="Arial" w:cs="Arial" w:eastAsia="Arial" w:hAnsi="Arial"/>
          <w:sz w:val="18"/>
          <w:szCs w:val="18"/>
          <w:color w:val="auto"/>
        </w:rPr>
        <w:t>. Mr. Griffith has been with the Company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inception and has worked with the Bank and its predecessor institutions for over 47 years. Mr. Griffith has served as Chairman and President of the Company since 1993. In 1972, he was elected to the board of directors of First State Bank of Morton, Texas, a predecessor institution to the Bank, and continues to serve on the board of directors of the Bank. He has served on the board of directors of IBAT and continues to serve on the Legislative and PAC committees for IBAT</w:t>
      </w:r>
    </w:p>
    <w:p>
      <w:pPr>
        <w:sectPr>
          <w:pgSz w:w="11900" w:h="16838" w:orient="portrait"/>
          <w:cols w:equalWidth="0" w:num="1">
            <w:col w:w="9560"/>
          </w:cols>
          <w:pgMar w:left="1160" w:top="279" w:right="1179" w:bottom="1440" w:gutter="0" w:footer="0" w:header="0"/>
        </w:sectPr>
      </w:pPr>
    </w:p>
    <w:p>
      <w:pPr>
        <w:spacing w:after="0" w:line="99"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Cory T. Newsom </w:t>
      </w:r>
      <w:r>
        <w:rPr>
          <w:rFonts w:ascii="Arial" w:cs="Arial" w:eastAsia="Arial" w:hAnsi="Arial"/>
          <w:sz w:val="18"/>
          <w:szCs w:val="18"/>
          <w:i w:val="1"/>
          <w:iCs w:val="1"/>
          <w:color w:val="auto"/>
        </w:rPr>
        <w:t>– Director and President – Age 52</w:t>
      </w:r>
      <w:r>
        <w:rPr>
          <w:rFonts w:ascii="Arial" w:cs="Arial" w:eastAsia="Arial" w:hAnsi="Arial"/>
          <w:sz w:val="18"/>
          <w:szCs w:val="18"/>
          <w:color w:val="auto"/>
        </w:rPr>
        <w:t>. Mr. Newsom began his 36-year career in banking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progressing through our lending and operations areas. He currently serves as President 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Steven B. Crockett </w:t>
      </w:r>
      <w:r>
        <w:rPr>
          <w:rFonts w:ascii="Arial" w:cs="Arial" w:eastAsia="Arial" w:hAnsi="Arial"/>
          <w:sz w:val="18"/>
          <w:szCs w:val="18"/>
          <w:i w:val="1"/>
          <w:iCs w:val="1"/>
          <w:color w:val="auto"/>
        </w:rPr>
        <w:t>– Chief Financial Officer and Treasurer – Age 47</w:t>
      </w:r>
      <w:r>
        <w:rPr>
          <w:rFonts w:ascii="Arial" w:cs="Arial" w:eastAsia="Arial" w:hAnsi="Arial"/>
          <w:sz w:val="18"/>
          <w:szCs w:val="18"/>
          <w:color w:val="auto"/>
        </w:rPr>
        <w:t>. Mr. Crockett has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 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Kevin R. Bass </w:t>
      </w:r>
      <w:r>
        <w:rPr>
          <w:rFonts w:ascii="Arial" w:cs="Arial" w:eastAsia="Arial" w:hAnsi="Arial"/>
          <w:sz w:val="18"/>
          <w:szCs w:val="18"/>
          <w:i w:val="1"/>
          <w:iCs w:val="1"/>
          <w:color w:val="auto"/>
        </w:rPr>
        <w:t>– Chief Credit Officer – Age 52</w:t>
      </w:r>
      <w:r>
        <w:rPr>
          <w:rFonts w:ascii="Arial" w:cs="Arial" w:eastAsia="Arial" w:hAnsi="Arial"/>
          <w:sz w:val="18"/>
          <w:szCs w:val="18"/>
          <w:color w:val="auto"/>
        </w:rPr>
        <w:t>. Mr. Bass began his 31-year career in banking as a credit analyst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79" w:lineRule="exact"/>
        <w:rPr>
          <w:sz w:val="20"/>
          <w:szCs w:val="20"/>
          <w:color w:val="auto"/>
        </w:rPr>
      </w:pPr>
    </w:p>
    <w:p>
      <w:pPr>
        <w:sectPr>
          <w:pgSz w:w="11900" w:h="16838" w:orient="portrait"/>
          <w:cols w:equalWidth="0" w:num="2">
            <w:col w:w="780" w:space="300"/>
            <w:col w:w="8480"/>
          </w:cols>
          <w:pgMar w:left="1160" w:top="279" w:right="1179" w:bottom="1440" w:gutter="0" w:footer="0" w:header="0"/>
          <w:type w:val="continuous"/>
        </w:sectPr>
      </w:pPr>
    </w:p>
    <w:p>
      <w:pPr>
        <w:ind w:left="1080" w:right="20" w:hanging="360"/>
        <w:spacing w:after="0" w:line="244" w:lineRule="auto"/>
        <w:tabs>
          <w:tab w:leader="none" w:pos="108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44</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 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44"/>
        <w:spacing w:after="0" w:line="25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customers in our market areas. We offer retail deposit services through our existing branch network, as well as digital banking products. Core deposits totaled $1.9 billion, or 88.4% of total deposits, and noninterest bearing deposits totaled $475.2 million, or 22.1% of total deposits as of December 31, 2017. Our cost of total deposits was 0.58%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59690</wp:posOffset>
            </wp:positionV>
            <wp:extent cx="4294505" cy="22459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9450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00" w:right="60" w:hanging="344"/>
        <w:spacing w:after="0" w:line="259"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71.4% of loans made 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28.6% of loans made to individual customers as of December 31, 2017. The Bank establishes a personal relationship with its customers and their businesses, with the goal of creating the right loans for the right borrowers and the right properties.</w:t>
      </w:r>
    </w:p>
    <w:p>
      <w:pPr>
        <w:spacing w:after="0" w:line="78" w:lineRule="exact"/>
        <w:rPr>
          <w:rFonts w:ascii="Arial" w:cs="Arial" w:eastAsia="Arial" w:hAnsi="Arial"/>
          <w:sz w:val="18"/>
          <w:szCs w:val="18"/>
          <w:color w:val="auto"/>
        </w:rPr>
      </w:pPr>
    </w:p>
    <w:p>
      <w:pPr>
        <w:ind w:left="700" w:right="20" w:hanging="344"/>
        <w:spacing w:after="0" w:line="296"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Strong Asset Quality</w:t>
      </w:r>
      <w:r>
        <w:rPr>
          <w:rFonts w:ascii="Arial" w:cs="Arial" w:eastAsia="Arial" w:hAnsi="Arial"/>
          <w:sz w:val="16"/>
          <w:szCs w:val="16"/>
          <w:color w:val="auto"/>
        </w:rPr>
        <w:t>. We believe our in-depth knowledge of our markets and customers, as well as the implementation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and conservative underwriting, has allowed us to maintain strong asset quality over time. Our nonperforming assets were $16.7 million as of December 31, 2017, which represents less than 0.91% of our loans and OREO. Our net charge-offs as a percentage of average loans was 0.21% for the year ended December 31, 2017. Additionally, our loan loss reserve to nonperforming loans ratio was 154.4%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43180</wp:posOffset>
            </wp:positionV>
            <wp:extent cx="4808855" cy="1697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0885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00" w:hanging="344"/>
        <w:spacing w:after="0" w:line="296" w:lineRule="auto"/>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Fee Income</w:t>
      </w:r>
      <w:r>
        <w:rPr>
          <w:rFonts w:ascii="Arial" w:cs="Arial" w:eastAsia="Arial" w:hAnsi="Arial"/>
          <w:sz w:val="16"/>
          <w:szCs w:val="16"/>
          <w:color w:val="auto"/>
        </w:rPr>
        <w:t>. Our fee income is primarily driven by our mortgage operations, debit card and other bank service charge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income for our insurance, trust and investment services business. Fee income comprised 34.9% of our total revenue for the year ended December 31, 2017. This compares to a median fee income of 11.4% of total revenue for major exchange-traded banks headquartered in Texas with total assets between $1.0 billion and $5.0 billion and 16.7% of total revenue for all banks headquartered in Texas with total assets between $1.0 billion and $5.0 billion.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320"/>
        <w:spacing w:after="0" w:line="263" w:lineRule="auto"/>
        <w:rPr>
          <w:sz w:val="20"/>
          <w:szCs w:val="20"/>
          <w:color w:val="auto"/>
        </w:rPr>
      </w:pPr>
      <w:r>
        <w:rPr>
          <w:rFonts w:ascii="Arial" w:cs="Arial" w:eastAsia="Arial" w:hAnsi="Arial"/>
          <w:sz w:val="18"/>
          <w:szCs w:val="18"/>
          <w:color w:val="auto"/>
        </w:rPr>
        <w:t>Our fee income provides shareholders with a recurring and diversified earnings stream. Total fee income was $47.4 million for the year ended December 31, 2017 and has increased significantly over the past five years due primarily to growth and improved performance in our mortgage banking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57150</wp:posOffset>
            </wp:positionV>
            <wp:extent cx="4517390" cy="2211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1739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0" w:right="40" w:hanging="344"/>
        <w:spacing w:after="0" w:line="25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2017. We believe that we provide excellent pay and benefits to our employees as well as a safe and inviting workplace. Our employees respond with extraordinary loyalty and by making us known in our communities as a bank that does the right things for the right reasons.</w:t>
      </w:r>
    </w:p>
    <w:p>
      <w:pPr>
        <w:spacing w:after="0" w:line="79" w:lineRule="exact"/>
        <w:rPr>
          <w:rFonts w:ascii="Arial" w:cs="Arial" w:eastAsia="Arial" w:hAnsi="Arial"/>
          <w:sz w:val="18"/>
          <w:szCs w:val="18"/>
          <w:color w:val="auto"/>
        </w:rPr>
      </w:pPr>
    </w:p>
    <w:p>
      <w:pPr>
        <w:ind w:left="700" w:right="60" w:hanging="344"/>
        <w:spacing w:after="0" w:line="259"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We operate 12 branches holding $1.6 billion of deposits in the Lubbock MSA and the surrounding South Plains region as of December 31, 2017.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Fall 2017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3.1% for 2017 according to Forbes, which also listed Lubbock as one of its “Best Places for Business and Careers” during 2018, with a gross metro product of more than $17 billion during 2017. Major employers in the Lubbock MSA include Texas Tech University, United Super Market, Covenant Health System, UMC Health System and Lubbock ISD, according to the Lubbock Economic Development Alliance.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operate three branches with $241.3 million of deposits as of December 31, 2017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is responsible for producing 33% of the state’s total gross domestic product in 2017.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firstLine="360"/>
        <w:spacing w:after="0" w:line="233" w:lineRule="auto"/>
        <w:rPr>
          <w:sz w:val="20"/>
          <w:szCs w:val="20"/>
          <w:color w:val="auto"/>
        </w:rPr>
      </w:pPr>
      <w:r>
        <w:rPr>
          <w:rFonts w:ascii="Arial" w:cs="Arial" w:eastAsia="Arial" w:hAnsi="Arial"/>
          <w:sz w:val="17"/>
          <w:szCs w:val="17"/>
          <w:color w:val="auto"/>
        </w:rPr>
        <w:t>We operate two bank branches with $98.2 million of deposits as of December 31, 2017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Armored Division, the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Army Air and Missile Defense Command and the 402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We operate one branch with $22.0 million of deposits in the city of Houston as of December 31, 2017. The Houston-The Woodlands-Sugarland MSA, which we refer to as Greater Houston, is the corporate headquarters for 20 Fortune 500 companies, ranking fourth among metro areas according to the Greater Houston Partnership. Greater Houston had the sixth largest gross domestic product in the U.S. in 2016, according to the U.S. Bureau of Economic Analysis. While Houston is known as the “Energy Capital of the World,” the metropolitan area also boasts the largest medical complex in the world, has the second busiest port in the United States in 2017,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right="60" w:firstLine="360"/>
        <w:spacing w:after="0" w:line="253" w:lineRule="auto"/>
        <w:rPr>
          <w:sz w:val="20"/>
          <w:szCs w:val="20"/>
          <w:color w:val="auto"/>
        </w:rPr>
      </w:pPr>
      <w:r>
        <w:rPr>
          <w:rFonts w:ascii="Arial" w:cs="Arial" w:eastAsia="Arial" w:hAnsi="Arial"/>
          <w:sz w:val="18"/>
          <w:szCs w:val="18"/>
          <w:color w:val="auto"/>
        </w:rPr>
        <w:t>We operate one branch and one mortgage office in the city of College Station, Texas, which has $63.0 million in deposits as of December 31, 2017.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2017 with job growth of 10.3% from 2015 to 2018, according to Forbes.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color w:val="auto"/>
        </w:rPr>
        <w:t>We operate two branches with $108.1 million of deposits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and Loan Portfolio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The lending activities of our subsidiary, City Bank, focus primarily on providing small and medium-sized businesses and consumers in our market area with a variety of loan products. Commercial real estate lending includes development of office buildings, apartments, hotels, and shopping centers. Other loan types include loans secured by farms and ranches and various consumer loans, such as residential real estate loans and home equity loans. We lend to both individual and business borrowers, with 71.4% of loans made to business customers, and 28.6% of loans made to individual customers as of December 31, 2017. The Bank establishes a personal relationship with its customers and their businesses, with the goal of creating the right loans for the right borrowers and the right properties.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loan portfolio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83185</wp:posOffset>
            </wp:positionV>
            <wp:extent cx="3317240" cy="3728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1724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our loan portfolio, excluding loans held for sale,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69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83"/>
        </w:trPr>
        <w:tc>
          <w:tcPr>
            <w:tcW w:w="6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Commercial real estate, non-owner-occupied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376,961</w:t>
            </w:r>
          </w:p>
        </w:tc>
        <w:tc>
          <w:tcPr>
            <w:tcW w:w="20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343,765</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129,933</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118,730</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 owner-occupied</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196,352</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193,190</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Other commercial − general</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213,705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202,759</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Agricultural production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157,499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156,222</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69,882</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61,463</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39,592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24,542</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commercial – Finance, Investment, and Insurance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62,146</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67,052</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299,840</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285,727</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76,215</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79,701</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74,314</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construction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57,207</w:t>
            </w:r>
          </w:p>
        </w:tc>
      </w:tr>
      <w:tr>
        <w:trPr>
          <w:trHeight w:val="20"/>
        </w:trPr>
        <w:tc>
          <w:tcPr>
            <w:tcW w:w="69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1,838,155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1,661,186</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(21,461)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(21,174)</w:t>
            </w:r>
          </w:p>
        </w:tc>
      </w:tr>
      <w:tr>
        <w:trPr>
          <w:trHeight w:val="20"/>
        </w:trPr>
        <w:tc>
          <w:tcPr>
            <w:tcW w:w="69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Loans,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1,816,694</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1,640,012</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b w:val="1"/>
          <w:bCs w:val="1"/>
          <w:i w:val="1"/>
          <w:iCs w:val="1"/>
          <w:color w:val="auto"/>
        </w:rPr>
        <w:t>Commercial Real Estate Loans</w:t>
      </w:r>
      <w:r>
        <w:rPr>
          <w:rFonts w:ascii="Arial" w:cs="Arial" w:eastAsia="Arial" w:hAnsi="Arial"/>
          <w:sz w:val="16"/>
          <w:szCs w:val="16"/>
          <w:color w:val="auto"/>
        </w:rPr>
        <w:t>. We offer real estate loans for commercial property that is owned by real estate investors.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real estate loan terms are generally five years or less and amortization is generally limited to 20 years or less, although payments may be structured on a longer amortization basis in unusual cases. The interest rates on our commercial real estate loans may be fixed or adjustable, although rates typically are not fixed for a period exceeding five years. We charge an origination fee for our services on the majority of these loans. Our practice is to obtain personal guarantees from the principal owners of the business supported by a review of the principal owners’ personal financial statements and global debt service obligations. We also make construction loans to small and medium-sized business to construct owner-occupied properties and loans to developers of commercial real estate investment properties and residential developments.</w:t>
      </w:r>
    </w:p>
    <w:p>
      <w:pPr>
        <w:spacing w:after="0" w:line="57" w:lineRule="exact"/>
        <w:rPr>
          <w:sz w:val="20"/>
          <w:szCs w:val="20"/>
          <w:color w:val="auto"/>
        </w:rPr>
      </w:pPr>
    </w:p>
    <w:p>
      <w:pPr>
        <w:jc w:val="both"/>
        <w:ind w:right="40" w:firstLine="360"/>
        <w:spacing w:after="0" w:line="263" w:lineRule="auto"/>
        <w:rPr>
          <w:sz w:val="20"/>
          <w:szCs w:val="20"/>
          <w:color w:val="auto"/>
        </w:rPr>
      </w:pPr>
      <w:r>
        <w:rPr>
          <w:rFonts w:ascii="Arial" w:cs="Arial" w:eastAsia="Arial" w:hAnsi="Arial"/>
          <w:sz w:val="18"/>
          <w:szCs w:val="18"/>
          <w:color w:val="auto"/>
        </w:rPr>
        <w:t>Commercial real estate loans increased $44.4 million, or 9.6%, to $506.9 million as of December 31, 2017 from $462.5 million as of December 31, 2016. The increase in commercial real estate loans during this period was mostly driven by a general increase in lending activity, primarily in our Lubbock/South Plains and Dallas markets.</w:t>
      </w:r>
    </w:p>
    <w:p>
      <w:pPr>
        <w:spacing w:after="0" w:line="76"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b w:val="1"/>
          <w:bCs w:val="1"/>
          <w:i w:val="1"/>
          <w:iCs w:val="1"/>
          <w:color w:val="auto"/>
        </w:rPr>
        <w:t>Commercial – General</w:t>
      </w:r>
      <w:r>
        <w:rPr>
          <w:rFonts w:ascii="Arial" w:cs="Arial" w:eastAsia="Arial" w:hAnsi="Arial"/>
          <w:sz w:val="16"/>
          <w:szCs w:val="16"/>
          <w:color w:val="auto"/>
        </w:rPr>
        <w:t>. We make general commercial loans, including commercial lines of credit, working capital loans,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loans, equipment financing, asset acquisition, expansion and development loans, borrowing base loans, letters of credit and other loan products, primarily in our target markets that are underwritten on the basis of the borrower’s ability to service the debt from cash flows. Our policy requires liens on general business assets including, among other things, available real estate, accounts receivable, promissory notes, inventory and equipment and our practice is to obtain a personal guaranty from the borrower or the principal. Our commercial loans generally have variable interest rates and terms that typically range from one to five years depending on factors such as the type and size of the loan, the financial strength of the borrower/guarantor and the age, type and value of the collateral. Fixed rate commercial loan maturities are generally short-term, with one to five year maturities, or include periodic interest rate resets. Commercial loans that are secured by owner occupied commercial real estate and depend primarily on operating cash flows for repayment are also included in this category of loan.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Commercial loans categorized as “general” increased $14.1 million, or 3.6%, to $410.1 million as of December 31, 2017 from $395.9 million as of December 31, 2016.</w:t>
      </w:r>
    </w:p>
    <w:p>
      <w:pPr>
        <w:spacing w:after="0" w:line="62"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b w:val="1"/>
          <w:bCs w:val="1"/>
          <w:i w:val="1"/>
          <w:iCs w:val="1"/>
          <w:color w:val="auto"/>
        </w:rPr>
        <w:t>Commercial – Specialized</w:t>
      </w:r>
      <w:r>
        <w:rPr>
          <w:rFonts w:ascii="Arial" w:cs="Arial" w:eastAsia="Arial" w:hAnsi="Arial"/>
          <w:sz w:val="16"/>
          <w:szCs w:val="16"/>
          <w:color w:val="auto"/>
        </w:rPr>
        <w:t>. Commercial related segments that are categorized as “specialized” include agricultural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real estate loans, energy loans, and finance, investment, and insurance loans. We offer both fixed-rate and adjustable-rate agricultural real estate loans to finance the borrower’s operating expenses, such as feed, fertilizer and irrigation costs. Generally, our agricultural real estate loans amortize over periods not in excess of 20 years and have a loan-to-value ratio of 80.0% or less. We generally require agricultural borrowers to obtain multi-peril crop insurance coverage through a program partially subsidized by the federal government to help mitigate the risk of crop failures. Agricultural operating loans are generally originated at an adjustable-or fixed-rate of interest and generally for a term of one year, unless secured by breeding livestock or farm equipment, which may have a term of up to five years. Lastly, within our specialized commercial loan categories, our energy loans consist primarily of oil and gas exploration and production loans, together with loans to oil and gas service providers. Our energy loans comprise only 2.2% of our gross loans held for investment as of December 31, 2017.</w:t>
      </w:r>
    </w:p>
    <w:p>
      <w:pPr>
        <w:spacing w:after="0" w:line="60"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Commercial loans categorized as “specialized” increased $19.8 million, or 6.4%, to $329.1 million as of December 31, 2017 from $309.3 million as of December 31, 2016 due to organic growth.</w:t>
      </w:r>
    </w:p>
    <w:p>
      <w:pPr>
        <w:spacing w:after="0" w:line="62"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b w:val="1"/>
          <w:bCs w:val="1"/>
          <w:i w:val="1"/>
          <w:iCs w:val="1"/>
          <w:color w:val="auto"/>
        </w:rPr>
        <w:t>Consumer Loans</w:t>
      </w:r>
      <w:r>
        <w:rPr>
          <w:rFonts w:ascii="Arial" w:cs="Arial" w:eastAsia="Arial" w:hAnsi="Arial"/>
          <w:sz w:val="16"/>
          <w:szCs w:val="16"/>
          <w:color w:val="auto"/>
        </w:rPr>
        <w:t>. We make a variety of loans to individuals, including auto loans, through both direct and indirect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owner-occupied 1-4 family real estate loans. We also offer finance and investment loans to individuals and entities investing in</w:t>
      </w:r>
    </w:p>
    <w:p>
      <w:pPr>
        <w:spacing w:after="0" w:line="288" w:lineRule="auto"/>
        <w:rPr>
          <w:sz w:val="20"/>
          <w:szCs w:val="20"/>
          <w:color w:val="auto"/>
        </w:rPr>
      </w:pPr>
      <w:r>
        <w:rPr>
          <w:rFonts w:ascii="Arial" w:cs="Arial" w:eastAsia="Arial" w:hAnsi="Arial"/>
          <w:sz w:val="16"/>
          <w:szCs w:val="16"/>
          <w:color w:val="auto"/>
        </w:rPr>
        <w:t>1-4 family real estate investment vehicles. Consumer loans are underwritten based on the individual borrower’s income, current debt level, past credit history and the value of any available collateral. The terms of consumer loans vary considerably based upon the loan type, nature of collateral and size of the loan. Indirect dealer loans, which include primarily automobile loans, but also loans for recreational vehicles, boats, and personal watercraft, are the fastest growing portion of our consumer loans. However, residential real estate loans comprise the largest portion of our consumer loans. We offer first and second lien one-to-four family mortgage loans, as well as home equity lines of credit, in each case primarily on owner occupied primary residences. Our retail consumer real estate lending products are offered primarily to consumer customers within our geographic markets.</w:t>
      </w:r>
    </w:p>
    <w:p>
      <w:pPr>
        <w:spacing w:after="0" w:line="60"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Consumer and other loans increased $89.9 million, or 20.6%, to $526.2 million as of December 31, 2017, from $436.3 million as of December 31, 2016. The increases in these loans were primarily a result of expanded lending in the indirect dealer loan portfolio in the Lubbock/South Plains market.</w:t>
      </w:r>
    </w:p>
    <w:p>
      <w:pPr>
        <w:spacing w:after="0" w:line="76"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b w:val="1"/>
          <w:bCs w:val="1"/>
          <w:i w:val="1"/>
          <w:iCs w:val="1"/>
          <w:color w:val="auto"/>
        </w:rPr>
        <w:t>Construction Loans</w:t>
      </w:r>
      <w:r>
        <w:rPr>
          <w:rFonts w:ascii="Arial" w:cs="Arial" w:eastAsia="Arial" w:hAnsi="Arial"/>
          <w:sz w:val="18"/>
          <w:szCs w:val="18"/>
          <w:color w:val="auto"/>
        </w:rPr>
        <w:t>. Our construction portfolio includes loans to individual clients for construction of single family homes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market areas. These construction loans are generally made with a term of one to two years with interest paid monthly. Our underwriting policy does allow for exceptions in which the term of a construction and development loan may be longer than two years, however, the term must be realistic and consistent with the borrower’s documented ability to repay. The ratio of the loan principal to the value of the collateral, as established by independent appraisal, typically will not exceed regulatory supervisory guidelines. Loan proceeds are generally disbursed based on the percentage of completion and after the project has been reviewed by an independent internal or external inspector.</w:t>
      </w:r>
    </w:p>
    <w:p>
      <w:pPr>
        <w:spacing w:after="0" w:line="87" w:lineRule="exact"/>
        <w:rPr>
          <w:sz w:val="20"/>
          <w:szCs w:val="20"/>
          <w:color w:val="auto"/>
        </w:rPr>
      </w:pPr>
    </w:p>
    <w:p>
      <w:pPr>
        <w:ind w:right="540" w:firstLine="360"/>
        <w:spacing w:after="0" w:line="308" w:lineRule="auto"/>
        <w:rPr>
          <w:sz w:val="20"/>
          <w:szCs w:val="20"/>
          <w:color w:val="auto"/>
        </w:rPr>
      </w:pPr>
      <w:r>
        <w:rPr>
          <w:rFonts w:ascii="Arial" w:cs="Arial" w:eastAsia="Arial" w:hAnsi="Arial"/>
          <w:sz w:val="17"/>
          <w:szCs w:val="17"/>
          <w:color w:val="auto"/>
        </w:rPr>
        <w:t>Construction loans increased $8.7 million, or 15.2%, to $65.9 million as of December 31, 2017 from $57.2 million as of December 31, 2016. The increase resulted from continued organic growth, especially in our Dallas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The principal economic risk associated with our loans is creditworthiness of our borrowers and collateral support for our loans. We limit our risk by monitoring and analyzing borrowers’ cash flow and collateral value. We actively monitor potential credit risk on individual loans, which may include the reassignment of marginal credits and development of intervention plans for problem loans. We carefully maintain and manage credit risk on a portfolio basis as well, including through management of key asset quality ratios. Our classified assets to capital ratio as of December 31, 2017 was 14.99%. We also seek to improve and expand within our loan staff, most recently through expansion of our in-house appraisal department to incorporate additional commercial and residential appraisals.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risks associated with specific types of loans in our portfolio, see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Policies and Procedures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We adhere to what we believe are disciplined underwriting standards, but also remain cognizant of serving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Our lending policies do not provide for loans that are highly speculative, subprime or that have high loan-to-value ratios. These components, together with active credit management, are the foundation of our credit culture, which we believe is critical to enhancing the long-term value of our organization to our customers, employees, shareholders and communities.</w:t>
      </w:r>
    </w:p>
    <w:p>
      <w:pPr>
        <w:spacing w:after="0" w:line="5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Credit Concentrations</w:t>
      </w:r>
      <w:r>
        <w:rPr>
          <w:rFonts w:ascii="Arial" w:cs="Arial" w:eastAsia="Arial" w:hAnsi="Arial"/>
          <w:sz w:val="18"/>
          <w:szCs w:val="18"/>
          <w:color w:val="auto"/>
        </w:rPr>
        <w:t>. In connection with the management of our credit portfolio, we actively manage the composition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portfolio, including credit concentrations. Our loan approval policies establish concentrations limits with respect to industry and loan product type to enhance portfolio diversification. These limits are reviewed bi-monthly as part of our credit analytics Board Credit Risk Committee program. Commercial real estate concentrations are monitored by the Board of Directors at least quarterly. The Board Credit Risk Committee is comprised of outside directors and two Bank officers, including the Chairman of the Board and the Bank’s Chief Executive Officer.</w:t>
      </w:r>
    </w:p>
    <w:p>
      <w:pPr>
        <w:spacing w:after="0" w:line="84"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Loan Approval Process</w:t>
      </w:r>
      <w:r>
        <w:rPr>
          <w:rFonts w:ascii="Arial" w:cs="Arial" w:eastAsia="Arial" w:hAnsi="Arial"/>
          <w:sz w:val="18"/>
          <w:szCs w:val="18"/>
          <w:color w:val="auto"/>
        </w:rPr>
        <w:t>. We seek to achieve an appropriate balance between prudent, disciplined underwriting and flexibility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decision-making and responsiveness to our customers. Our board requires loans to relationships in excess of $15 million to be approved by the Board Credit Risk Committee. As of December 31, 2017, the Bank had a legal lending limit of approximately $38 million. As of that date, our largest 20 largest borrowing relationships ranged from approximately $13 million to $23 million (including unfunded commitments) and totaled approximately $365 million in total commitments (representing, in the aggregate, 17.1% of our total outstanding commitments).</w:t>
      </w:r>
    </w:p>
    <w:p>
      <w:pPr>
        <w:spacing w:after="0" w:line="84"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Our credit approval policies provide for various levels of officer and senior management lending authority for new credits and renewals, which are based on position, capability and experience. Loans in excess of an individual officer’s lending limit up to $1 million may be approved by one of three lending and credit senior officers. Loans to relationships between $1 million and $15 million are approved by our Lending Market Committee or the Executive Loan Committee depending on size. These limits are reviewed periodically by the Bank’s board of directors. We believe that our credit approval process provides for thorough underwriting and efficient decision making.</w:t>
      </w:r>
    </w:p>
    <w:p>
      <w:pPr>
        <w:spacing w:after="0" w:line="84"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b w:val="1"/>
          <w:bCs w:val="1"/>
          <w:i w:val="1"/>
          <w:iCs w:val="1"/>
          <w:color w:val="auto"/>
        </w:rPr>
        <w:t>Credit Risk Management</w:t>
      </w:r>
      <w:r>
        <w:rPr>
          <w:rFonts w:ascii="Arial" w:cs="Arial" w:eastAsia="Arial" w:hAnsi="Arial"/>
          <w:sz w:val="16"/>
          <w:szCs w:val="16"/>
          <w:color w:val="auto"/>
        </w:rPr>
        <w:t>. Credit risk management involves a partnership between our loan officers and our credit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administration and collections personnel. Loan delinquencies and exceptions are constantly monitored by credit personnel and consultations with lenders occur as often as daily. Our evaluation program for our loan officers includes significant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53"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Our policies require rapid notification of delinquency and prompt initiation of collection actions. Loan officers, credit administration personnel and senior management proactively support collection activities.</w:t>
      </w:r>
    </w:p>
    <w:p>
      <w:pPr>
        <w:spacing w:after="0" w:line="62"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In accordance with our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three to four visits per year and attempts to achieve a penetration of 60%.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color w:val="auto"/>
        </w:rPr>
        <w:t>We fund the majority of our loans using our low-cost core deposit base and do not rely heavily on wholesale funding or other more volatile sources of liquidity. Core deposits include deposits obtained directly from depositors and exclude time deposits in excess of $250,000, deposits obtained from listing services, and brokered deposits obtained through an intermediary. We consider our core deposits to be our primary and most valuable low-cost funding source for our lending business. We believe our markets provide a stable source of funding and will be a greater source of core deposits as interest rates continue to increase and core deposits become increasingly difficult to attract. As of December 31, 2017, core deposits and noninterest-bearing deposits represented 88.4% and 22.1% of our total deposits, respectively.</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deposit base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83185</wp:posOffset>
            </wp:positionV>
            <wp:extent cx="2717165" cy="24174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71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our deposits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69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196"/>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Noninterest-Bearing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475,162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432,725</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NOW &amp; Other Trans. Accounts</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277,053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288,480</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MMDA &amp; Other Savings</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960,637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948,863</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Brokered Deposits</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109,716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75,887</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Time Deposits</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191,450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211,038</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Jumbo Time Deposits</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140,063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133,930</w:t>
            </w:r>
          </w:p>
        </w:tc>
      </w:tr>
      <w:tr>
        <w:trPr>
          <w:trHeight w:val="27"/>
        </w:trPr>
        <w:tc>
          <w:tcPr>
            <w:tcW w:w="69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2,154,081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2,090,923</w:t>
            </w:r>
          </w:p>
        </w:tc>
      </w:tr>
      <w:tr>
        <w:trPr>
          <w:trHeight w:val="27"/>
        </w:trPr>
        <w:tc>
          <w:tcPr>
            <w:tcW w:w="698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We offer customers traditional deposit products through our branch network and the ability to access their accounts through online and mobile banking platforms. Our deposit services include retail and commercial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products, including a competitive array of treasury management products. We offer a variety of deposit accounts with a range of interest rates and terms including demand, savings, money market and certificates of deposit with the goal of attracting a wide variety of customers, including individuals, small- to medium-sized businesses, associations, financial institutions and government entities in our geographic markets. We strive to retain an attractive deposit mix from both large and small customers as well as a broad market reach. We believe our competitive pricing and products, convenient branch locations and quality personal customer service enable us to attract and retain deposits. We employ conventional marketing initiatives and advertising and, in addition, leverage our community commitment activities to generate new accounts. We generally seek a full banking relationship from our customers, which has contributed to our internal deposit growth. This often includes encouraging a new customer to consider both business and personal checking accounts and other deposit services. Our bankers offer our deposit products to our loan customers in an effort to cross-sell our services to existing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Portfolio</w:t>
      </w:r>
    </w:p>
    <w:p>
      <w:pPr>
        <w:spacing w:after="0" w:line="12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We manage our securities portfolio primarily for liquidity purposes, including depositor and borrower funding requirements and availability as collateral for public fund deposits, with a secondary focus on interest income. Our portfolio is classified as either available-for-sale or held-to-maturity and can be used for pledging on public deposits, selling under repurchase agreements and meeting unforeseen liquidity needs. The investments are a variety of high-grade securities, including government agency securities, government guaranteed mortgage backed securities and municipal securities. Prior to December 2017, we historically have sold few securities. We did reposition the portfolio from December 2017 to August 2018 as a response to the passage of the Tax Reform Act as well as our conversion to a Subchapter C corporation. We adjusted the concentration of our securities portfolio from a municipal and lower yield agency securities base into a mortgage-backed and other asset-backed securities composition.</w:t>
      </w:r>
    </w:p>
    <w:p>
      <w:pPr>
        <w:spacing w:after="0" w:line="57"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Our investment policy is reviewed annually by the Bank’s board of directors. Overall investment goals are established by the Bank’s board of directors and the Bank’s Investment/Asset Liability Committee. The Bank’s board of directors has delegated the responsibility of monitoring our investment activities to the Investment/Asset Liability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Fee Income</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noninterest income comprises a significant portion of our total revenue and represented 34.9% of such in 2017. The largest components of our noninterest income include revenues from our mortgage banking activities, service charges on deposit accounts, income from insurance activities, and bank card services and interchange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57150</wp:posOffset>
            </wp:positionV>
            <wp:extent cx="4740275" cy="2417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4027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w:t>
      </w:r>
    </w:p>
    <w:p>
      <w:pPr>
        <w:spacing w:after="0" w:line="11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Our mortgage originations totaled $526.7 million for the year ended December 31, 2017. In 2017, we sold approximately 94% of the mortgages we originated. We originate mortgages primarily from our branches or loan production offices in Lubbock, El Paso, College Station, Abilene, Arlington, Beaumont, Dallas, Forney, Grand Prairie, Houston, Plano, and Southlake, Texas, and Overland Park, Kansas. We refer to our loan production offices as mortgage offices. While our mortgage operation represents a sizable component of our total revenue, comprising 15.0%, or $20.4 million, for the year ended December 31, 2017, we view the mortgage business as an ancillary part of our operations. Within our mortgage origination portfolio, refinances of existing mortgages represented 21% of total mortgage originations in 2017. We retain mortgage servicing rights from time to time when we sell mortgages to third parties. We did not service any mortgages that we originated and sold to third parties in 2017.</w:t>
      </w:r>
    </w:p>
    <w:p>
      <w:pPr>
        <w:spacing w:after="0" w:line="57"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We leverage a variety of digital reporting tools to increase the efficiency of the underwriting process, enhance loan production and boost overall margins while keeping expenses to a minimum. We have recently added mortgage offices in the Austin/Round Rock metropolitan area and further expansion opportunities will continue to be explored. New market expansion will depend primarily on opportunities to hire and retain high quality loan origination staff. We recently acquired an online mortgage platform and staff from an Overland Park, Kansas-based mortgage company, which originates consumer direct loans in 48 states. We acquired this platform as part of our strategy to enhance our consumer-direct business model for our mortgage operations to accompany our traditional brick-and-mortar delivery channels. We believe this operational strategy will improve profitability through reduced costs and increased mortgage origination volume.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Windmark Insurance, a wholly-owned subsidiary of the Bank, offers a variety of crop insurance products through our offices in Texas and Colorado and by acting as the general agency for independent agents in seventeen states. Windmark Insurance’s operations contributed $6.2 million of total revenues for the year ended December 31, 2017. That revenue was derived from a total premium base of over $132 million. Crop insurance is offered to producers of many different crops from sixteen approved providers who operate under agreements with the USDA. We conduct business with six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Services</w:t>
      </w:r>
    </w:p>
    <w:p>
      <w:pPr>
        <w:spacing w:after="0" w:line="117"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City Bank Trust, a division of the Bank, has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IRAs, simplified employee pensions plans, ESOPs, defined benefit plans, profit-sharing plans, Keoghs and managed IRAs. Our trust department had $264.3 million of assets under management at December 31, 2017, and contributed $1.3 million of fee income for the year ended December 31, 2017. Trust assets under management have grown at a CAGR of 9.3% since December 31, 2013.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Services</w:t>
      </w:r>
    </w:p>
    <w:p>
      <w:pPr>
        <w:spacing w:after="0" w:line="117" w:lineRule="exact"/>
        <w:rPr>
          <w:sz w:val="20"/>
          <w:szCs w:val="20"/>
          <w:color w:val="auto"/>
        </w:rPr>
      </w:pPr>
    </w:p>
    <w:p>
      <w:pPr>
        <w:ind w:right="160" w:firstLine="360"/>
        <w:spacing w:after="0" w:line="301" w:lineRule="auto"/>
        <w:rPr>
          <w:sz w:val="20"/>
          <w:szCs w:val="20"/>
          <w:color w:val="auto"/>
        </w:rPr>
      </w:pPr>
      <w:r>
        <w:rPr>
          <w:rFonts w:ascii="Arial" w:cs="Arial" w:eastAsia="Arial" w:hAnsi="Arial"/>
          <w:sz w:val="16"/>
          <w:szCs w:val="16"/>
          <w:color w:val="auto"/>
        </w:rPr>
        <w:t>The Investment Center at City Bank provides a variety of investments offered through Raymond James Financial Services (Member FINRA/SIPC) including self-directed IRAs, money market funds, 401(k) plans, mutual funds, annuities and tax-deferred annuities, stocks and bonds, investments for non-U.S. residents, treasury bills, treasury notes and bonds and tax-exempt municipal bonds. Gross revenue for 2017 was $1.5 million with $417.3 million in assets under management at December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Services</w:t>
      </w:r>
    </w:p>
    <w:p>
      <w:pPr>
        <w:spacing w:after="0" w:line="121" w:lineRule="exact"/>
        <w:rPr>
          <w:sz w:val="20"/>
          <w:szCs w:val="20"/>
          <w:color w:val="auto"/>
        </w:rPr>
      </w:pPr>
    </w:p>
    <w:p>
      <w:pPr>
        <w:ind w:right="80" w:firstLine="360"/>
        <w:spacing w:after="0" w:line="263" w:lineRule="auto"/>
        <w:rPr>
          <w:sz w:val="20"/>
          <w:szCs w:val="20"/>
          <w:color w:val="auto"/>
        </w:rPr>
      </w:pPr>
      <w:r>
        <w:rPr>
          <w:rFonts w:ascii="Arial" w:cs="Arial" w:eastAsia="Arial" w:hAnsi="Arial"/>
          <w:sz w:val="18"/>
          <w:szCs w:val="18"/>
          <w:color w:val="auto"/>
        </w:rPr>
        <w:t>We offer banking products and services that are competitively priced with a focus on convenience and accessibility. We offer a full suite of online banking solutions including access to account balances, online transfers, online bill payment and electronic delivery of customer statements, mobile banking solutions, including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remote check deposit with mobile bill pay. We offer ATMs and banking by telephone, mail and personal appointment. We offer debit cards with no ATM surcharges within our network for checking customers, direct deposit, cashier’s checks, as well as wire transfer services and automated clearing house, or ACH, services.</w:t>
      </w:r>
    </w:p>
    <w:p>
      <w:pPr>
        <w:spacing w:after="0" w:line="7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offer a full array of commercial treasury management services designed to be competitive with banks of all sizes. Treasury management services include balance reporting (including current day and previous day activity), transfers between accounts, wire transfer initiation, ACH origination and stop payments. Cash management deposit products consist of remote deposit capture, positive pay, zero balance accounts and sweep accounts.</w:t>
      </w:r>
    </w:p>
    <w:p>
      <w:pPr>
        <w:spacing w:after="0" w:line="79"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auto"/>
        </w:rPr>
        <w:t>We evaluate our services on an ongoing basis, and will add or remove services based upon the perceived needs and financial requirements of our customers, competitive factors and our financial and other capabilities. Future services may also be significantly influenced by improvements and developments in technology and evolving state and federal laws and regulations.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360"/>
        <w:spacing w:after="0" w:line="296" w:lineRule="auto"/>
        <w:rPr>
          <w:sz w:val="20"/>
          <w:szCs w:val="20"/>
          <w:color w:val="auto"/>
        </w:rPr>
      </w:pPr>
      <w:r>
        <w:rPr>
          <w:rFonts w:ascii="Arial" w:cs="Arial" w:eastAsia="Arial" w:hAnsi="Arial"/>
          <w:sz w:val="16"/>
          <w:szCs w:val="16"/>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5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12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We have made and continue to make significant investments in our information technology systems and staff for our banking and lending operations and treasury management activities. We believe that these investments are essential to enhancing our capabilities to offer new products and the overall customer experience, to provide scale for future growth and acquisitions and to increase controls and efficiencies in our back-office operations. We have obtained our core data processing platform from a nationally recognized bank processing vendor providing us with capabilities to support the continued growth of the Bank. Our internal network and e-mail systems are maintained in-house. We leverage the capabilities of a third-party service provider to provide the technical expertise around network design and architecture that is required for us to operate as an effective and efficient organization. We actively manage our business continuity plan. We strive to follow all recommendations outlined by the Federal Financial Institutions Examination Council in an effort to establish that we have effectively identified our risks and documented contingency plans for key functions and systems, including providing for back-up sites for all critical applications. We perform tests of the adequacy of these contingency plans on at least an annual basis.</w:t>
      </w:r>
    </w:p>
    <w:p>
      <w:pPr>
        <w:spacing w:after="0" w:line="74" w:lineRule="exact"/>
        <w:rPr>
          <w:sz w:val="20"/>
          <w:szCs w:val="20"/>
          <w:color w:val="auto"/>
        </w:rPr>
      </w:pPr>
    </w:p>
    <w:p>
      <w:pPr>
        <w:ind w:right="400" w:firstLine="360"/>
        <w:spacing w:after="0" w:line="279" w:lineRule="auto"/>
        <w:rPr>
          <w:sz w:val="20"/>
          <w:szCs w:val="20"/>
          <w:color w:val="auto"/>
        </w:rPr>
      </w:pPr>
      <w:r>
        <w:rPr>
          <w:rFonts w:ascii="Arial" w:cs="Arial" w:eastAsia="Arial" w:hAnsi="Arial"/>
          <w:sz w:val="17"/>
          <w:szCs w:val="17"/>
          <w:color w:val="auto"/>
        </w:rPr>
        <w:t>We utilize other select third-party providers to enhance our in-house data processing activities. The scalability of this infrastructure is designed to support our growth strategy. We regularly test our ability to automatically switch over to standby systems to allow us to recover our systems and provide business continuity quickly in case of a disaster. These critical business applications and processes are included in the business continuity plans referenced above.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place significant emphasis on risk mitigation as an integral component of our organizational culture. Our comprehensive risk management framework and risk identification is a continuous process and occurs at both the transaction level and the portfolio level. We control risks through limits that are communicated through policies, standards, procedures and processes that define responsibility and authority. Such limits serve as a means to control exposures to the various risks associated with our activities, and are meaningful management tools that can be adjusted if conditions or risk tolerances change. In addition, we maintain a process to authorize exceptions or changes to risk limits when warranted. These risk management practices help to ensure effective reporting, compliance with all laws, rules and regulations, avoid damage to our reputation and related consequences, and attain our strategic goals while avoiding pitfalls and surprises along the way.</w:t>
      </w:r>
    </w:p>
    <w:p>
      <w:pPr>
        <w:spacing w:after="0" w:line="70"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color w:val="auto"/>
        </w:rPr>
        <w:t>The board of directors of the Bank approves policies that set operational standards and risk limits, and any changes require approval by the Bank’s board of directors. Executive Management is responsible for the implementation, integrity and maintenance of our risk management systems ensuring the directives are implemented and administered in compliance with the approved policy.</w:t>
      </w:r>
    </w:p>
    <w:p>
      <w:pPr>
        <w:spacing w:after="0" w:line="4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Our focus on risk management covers all major functions within the Bank, including the loan underwriting function, continuous asset quality monitoring, asset/liability management, regulatory compliance, strategic and operational risk, cyber risk, and reputational risk. With regard to interest rate risk, we have implemented an extensive asset/liability management process, and utilize a well-known interest rate risk model to evaluate interest rate risk on a quarterly basis. We have also established a management compliance committee that is responsible for the Bank’s state and federal regulatory compliance performance. Major functions of the committee include oversight of all consumer related compliance, including, but not limited to: the Home Mortgage Disclosure Act, the CRA, the Truth-in-Lending Act / Real Estate Settlement Procedures Act, the Truth in Savings Act, Regulation H (flood matters), the Fair Credit Reporting Act / Fair and Accurate Credit Transactions Act, Fair Lending and Redlining. The committee members are stakeholders from all areas of the Bank who work together to execute, monitor, and report on all compliance related aspects of the Bank’s operation. The full committee meets on a monthly basis to report on the previous month’s activities, review open action items, and to discuss upcoming regulatory implementations and changes. A selected member of the committee reports the activities of the committee to the Bank’s board of directors on a monthly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As of December 31, 2017, we had approximately 628 full-time equivalent employees. None of our employees are represented by any collective bargaining unit or is a party to a collective bargaining agreement. We consider our relationship with our employees to be satisfactory and have not experienced interruptions of operations due to labor disagreements.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jc w:val="both"/>
        <w:ind w:right="200" w:firstLine="360"/>
        <w:spacing w:after="0" w:line="263" w:lineRule="auto"/>
        <w:rPr>
          <w:sz w:val="20"/>
          <w:szCs w:val="20"/>
          <w:color w:val="auto"/>
        </w:rPr>
      </w:pPr>
      <w:r>
        <w:rPr>
          <w:rFonts w:ascii="Arial" w:cs="Arial" w:eastAsia="Arial" w:hAnsi="Arial"/>
          <w:sz w:val="18"/>
          <w:szCs w:val="18"/>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Lubbock/South Plains</w:t>
            </w:r>
          </w:p>
        </w:tc>
        <w:tc>
          <w:tcPr>
            <w:tcW w:w="10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Dallas</w:t>
            </w:r>
          </w:p>
        </w:tc>
        <w:tc>
          <w:tcPr>
            <w:tcW w:w="20" w:type="dxa"/>
            <w:vAlign w:val="bottom"/>
          </w:tcPr>
          <w:p>
            <w:pPr>
              <w:spacing w:after="0"/>
              <w:rPr>
                <w:sz w:val="14"/>
                <w:szCs w:val="14"/>
                <w:color w:val="auto"/>
              </w:rPr>
            </w:pPr>
          </w:p>
        </w:tc>
      </w:tr>
      <w:tr>
        <w:trPr>
          <w:trHeight w:val="183"/>
        </w:trPr>
        <w:tc>
          <w:tcPr>
            <w:tcW w:w="14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Location</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c>
          <w:tcPr>
            <w:tcW w:w="100" w:type="dxa"/>
            <w:vAlign w:val="bottom"/>
          </w:tcPr>
          <w:p>
            <w:pPr>
              <w:spacing w:after="0"/>
              <w:rPr>
                <w:sz w:val="15"/>
                <w:szCs w:val="15"/>
                <w:color w:val="auto"/>
              </w:rPr>
            </w:pPr>
          </w:p>
        </w:tc>
        <w:tc>
          <w:tcPr>
            <w:tcW w:w="18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Location</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c>
          <w:tcPr>
            <w:tcW w:w="20" w:type="dxa"/>
            <w:vAlign w:val="bottom"/>
          </w:tcPr>
          <w:p>
            <w:pPr>
              <w:spacing w:after="0"/>
              <w:rPr>
                <w:sz w:val="15"/>
                <w:szCs w:val="15"/>
                <w:color w:val="auto"/>
              </w:rPr>
            </w:pPr>
          </w:p>
        </w:tc>
      </w:tr>
      <w:tr>
        <w:trPr>
          <w:trHeight w:val="236"/>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Main Branch</w:t>
            </w:r>
          </w:p>
        </w:tc>
        <w:tc>
          <w:tcPr>
            <w:tcW w:w="10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Plano</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20" w:type="dxa"/>
            <w:vAlign w:val="bottom"/>
          </w:tcPr>
          <w:p>
            <w:pPr>
              <w:spacing w:after="0"/>
              <w:rPr>
                <w:sz w:val="20"/>
                <w:szCs w:val="20"/>
                <w:color w:val="auto"/>
              </w:rPr>
            </w:pPr>
          </w:p>
        </w:tc>
      </w:tr>
      <w:tr>
        <w:trPr>
          <w:trHeight w:val="246"/>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line="246" w:lineRule="exact"/>
              <w:rPr>
                <w:sz w:val="20"/>
                <w:szCs w:val="20"/>
                <w:color w:val="auto"/>
              </w:rPr>
            </w:pPr>
            <w:r>
              <w:rPr>
                <w:rFonts w:ascii="Arial" w:cs="Arial" w:eastAsia="Arial" w:hAnsi="Arial"/>
                <w:sz w:val="17"/>
                <w:szCs w:val="17"/>
                <w:color w:val="auto"/>
                <w:w w:val="92"/>
              </w:rPr>
              <w:t>4</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Street Branch</w:t>
            </w:r>
          </w:p>
        </w:tc>
        <w:tc>
          <w:tcPr>
            <w:tcW w:w="10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Dallas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2"/>
              <w:spacing w:after="0"/>
              <w:rPr>
                <w:sz w:val="20"/>
                <w:szCs w:val="20"/>
                <w:color w:val="auto"/>
              </w:rPr>
            </w:pPr>
            <w:r>
              <w:rPr>
                <w:rFonts w:ascii="Arial" w:cs="Arial" w:eastAsia="Arial" w:hAnsi="Arial"/>
                <w:sz w:val="18"/>
                <w:szCs w:val="18"/>
                <w:color w:val="auto"/>
                <w:w w:val="92"/>
              </w:rPr>
              <w:t>Uptown Branch</w:t>
            </w:r>
          </w:p>
        </w:tc>
        <w:tc>
          <w:tcPr>
            <w:tcW w:w="20" w:type="dxa"/>
            <w:vAlign w:val="bottom"/>
          </w:tcPr>
          <w:p>
            <w:pPr>
              <w:spacing w:after="0"/>
              <w:rPr>
                <w:sz w:val="21"/>
                <w:szCs w:val="21"/>
                <w:color w:val="auto"/>
              </w:rPr>
            </w:pPr>
          </w:p>
        </w:tc>
      </w:tr>
      <w:tr>
        <w:trPr>
          <w:trHeight w:val="253"/>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line="252" w:lineRule="exact"/>
              <w:rPr>
                <w:sz w:val="20"/>
                <w:szCs w:val="20"/>
                <w:color w:val="auto"/>
              </w:rPr>
            </w:pPr>
            <w:r>
              <w:rPr>
                <w:rFonts w:ascii="Arial" w:cs="Arial" w:eastAsia="Arial" w:hAnsi="Arial"/>
                <w:sz w:val="18"/>
                <w:szCs w:val="18"/>
                <w:color w:val="auto"/>
                <w:w w:val="88"/>
              </w:rPr>
              <w:t>50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and Indiana Branch</w:t>
            </w:r>
          </w:p>
        </w:tc>
        <w:tc>
          <w:tcPr>
            <w:tcW w:w="10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Forney</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20" w:type="dxa"/>
            <w:vAlign w:val="bottom"/>
          </w:tcPr>
          <w:p>
            <w:pPr>
              <w:spacing w:after="0"/>
              <w:rPr>
                <w:sz w:val="21"/>
                <w:szCs w:val="2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Kingsgate Branch</w:t>
            </w:r>
          </w:p>
        </w:tc>
        <w:tc>
          <w:tcPr>
            <w:tcW w:w="10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Arlington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jc w:val="center"/>
              <w:ind w:left="12"/>
              <w:spacing w:after="0"/>
              <w:rPr>
                <w:sz w:val="20"/>
                <w:szCs w:val="20"/>
                <w:color w:val="auto"/>
              </w:rPr>
            </w:pPr>
            <w:r>
              <w:rPr>
                <w:rFonts w:ascii="Arial" w:cs="Arial" w:eastAsia="Arial" w:hAnsi="Arial"/>
                <w:sz w:val="18"/>
                <w:szCs w:val="18"/>
                <w:color w:val="auto"/>
                <w:w w:val="94"/>
              </w:rPr>
              <w:t>LPO</w:t>
            </w:r>
          </w:p>
        </w:tc>
        <w:tc>
          <w:tcPr>
            <w:tcW w:w="20" w:type="dxa"/>
            <w:vAlign w:val="bottom"/>
          </w:tcPr>
          <w:p>
            <w:pPr>
              <w:spacing w:after="0"/>
              <w:rPr>
                <w:sz w:val="20"/>
                <w:szCs w:val="20"/>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Milwaukee Branch</w:t>
            </w:r>
          </w:p>
        </w:tc>
        <w:tc>
          <w:tcPr>
            <w:tcW w:w="10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Dallas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Hillcrest LPO</w:t>
            </w:r>
          </w:p>
        </w:tc>
        <w:tc>
          <w:tcPr>
            <w:tcW w:w="20" w:type="dxa"/>
            <w:vAlign w:val="bottom"/>
          </w:tcPr>
          <w:p>
            <w:pPr>
              <w:spacing w:after="0"/>
              <w:rPr>
                <w:sz w:val="21"/>
                <w:szCs w:val="21"/>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Overton Branch</w:t>
            </w:r>
          </w:p>
        </w:tc>
        <w:tc>
          <w:tcPr>
            <w:tcW w:w="10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Dallas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Addison Baldwin LPO</w:t>
            </w:r>
          </w:p>
        </w:tc>
        <w:tc>
          <w:tcPr>
            <w:tcW w:w="20" w:type="dxa"/>
            <w:vAlign w:val="bottom"/>
          </w:tcPr>
          <w:p>
            <w:pPr>
              <w:spacing w:after="0"/>
              <w:rPr>
                <w:sz w:val="21"/>
                <w:szCs w:val="21"/>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University Branch</w:t>
            </w:r>
          </w:p>
        </w:tc>
        <w:tc>
          <w:tcPr>
            <w:tcW w:w="10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Plano</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2"/>
              <w:spacing w:after="0"/>
              <w:rPr>
                <w:sz w:val="20"/>
                <w:szCs w:val="20"/>
                <w:color w:val="auto"/>
              </w:rPr>
            </w:pPr>
            <w:r>
              <w:rPr>
                <w:rFonts w:ascii="Arial" w:cs="Arial" w:eastAsia="Arial" w:hAnsi="Arial"/>
                <w:sz w:val="18"/>
                <w:szCs w:val="18"/>
                <w:color w:val="auto"/>
                <w:w w:val="94"/>
              </w:rPr>
              <w:t>LPO</w:t>
            </w:r>
          </w:p>
        </w:tc>
        <w:tc>
          <w:tcPr>
            <w:tcW w:w="20" w:type="dxa"/>
            <w:vAlign w:val="bottom"/>
          </w:tcPr>
          <w:p>
            <w:pPr>
              <w:spacing w:after="0"/>
              <w:rPr>
                <w:sz w:val="21"/>
                <w:szCs w:val="21"/>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Frankford Ave. Branch</w:t>
            </w:r>
          </w:p>
        </w:tc>
        <w:tc>
          <w:tcPr>
            <w:tcW w:w="10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Grand Prairie</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2"/>
              <w:spacing w:after="0"/>
              <w:rPr>
                <w:sz w:val="20"/>
                <w:szCs w:val="20"/>
                <w:color w:val="auto"/>
              </w:rPr>
            </w:pPr>
            <w:r>
              <w:rPr>
                <w:rFonts w:ascii="Arial" w:cs="Arial" w:eastAsia="Arial" w:hAnsi="Arial"/>
                <w:sz w:val="18"/>
                <w:szCs w:val="18"/>
                <w:color w:val="auto"/>
                <w:w w:val="94"/>
              </w:rPr>
              <w:t>LPO</w:t>
            </w:r>
          </w:p>
        </w:tc>
        <w:tc>
          <w:tcPr>
            <w:tcW w:w="20" w:type="dxa"/>
            <w:vAlign w:val="bottom"/>
          </w:tcPr>
          <w:p>
            <w:pPr>
              <w:spacing w:after="0"/>
              <w:rPr>
                <w:sz w:val="21"/>
                <w:szCs w:val="21"/>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Morton</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100" w:type="dxa"/>
            <w:vAlign w:val="bottom"/>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Southlake</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2"/>
              <w:spacing w:after="0"/>
              <w:rPr>
                <w:sz w:val="20"/>
                <w:szCs w:val="20"/>
                <w:color w:val="auto"/>
              </w:rPr>
            </w:pPr>
            <w:r>
              <w:rPr>
                <w:rFonts w:ascii="Arial" w:cs="Arial" w:eastAsia="Arial" w:hAnsi="Arial"/>
                <w:sz w:val="18"/>
                <w:szCs w:val="18"/>
                <w:color w:val="auto"/>
                <w:w w:val="94"/>
              </w:rPr>
              <w:t>LPO</w:t>
            </w:r>
          </w:p>
        </w:tc>
        <w:tc>
          <w:tcPr>
            <w:tcW w:w="20" w:type="dxa"/>
            <w:vAlign w:val="bottom"/>
          </w:tcPr>
          <w:p>
            <w:pPr>
              <w:spacing w:after="0"/>
              <w:rPr>
                <w:sz w:val="21"/>
                <w:szCs w:val="21"/>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Springlake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Idalou</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Levelland</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46"/>
        </w:trPr>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60" w:type="dxa"/>
            <w:vAlign w:val="bottom"/>
            <w:gridSpan w:val="2"/>
          </w:tcPr>
          <w:p>
            <w:pPr>
              <w:jc w:val="right"/>
              <w:ind w:right="1632"/>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4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18"/>
        </w:trPr>
        <w:tc>
          <w:tcPr>
            <w:tcW w:w="154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El Paso</w:t>
            </w:r>
          </w:p>
        </w:tc>
        <w:tc>
          <w:tcPr>
            <w:tcW w:w="1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center"/>
              <w:ind w:right="1337"/>
              <w:spacing w:after="0"/>
              <w:rPr>
                <w:sz w:val="20"/>
                <w:szCs w:val="20"/>
                <w:color w:val="auto"/>
              </w:rPr>
            </w:pPr>
            <w:r>
              <w:rPr>
                <w:rFonts w:ascii="Arial" w:cs="Arial" w:eastAsia="Arial" w:hAnsi="Arial"/>
                <w:sz w:val="14"/>
                <w:szCs w:val="14"/>
                <w:b w:val="1"/>
                <w:bCs w:val="1"/>
                <w:color w:val="auto"/>
                <w:w w:val="91"/>
              </w:rPr>
              <w:t>Houston</w:t>
            </w:r>
          </w:p>
        </w:tc>
      </w:tr>
      <w:tr>
        <w:trPr>
          <w:trHeight w:val="183"/>
        </w:trPr>
        <w:tc>
          <w:tcPr>
            <w:tcW w:w="16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Location</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615"/>
              <w:spacing w:after="0"/>
              <w:rPr>
                <w:sz w:val="20"/>
                <w:szCs w:val="20"/>
                <w:color w:val="auto"/>
              </w:rPr>
            </w:pPr>
            <w:r>
              <w:rPr>
                <w:rFonts w:ascii="Arial" w:cs="Arial" w:eastAsia="Arial" w:hAnsi="Arial"/>
                <w:sz w:val="14"/>
                <w:szCs w:val="14"/>
                <w:b w:val="1"/>
                <w:bCs w:val="1"/>
                <w:color w:val="auto"/>
                <w:w w:val="97"/>
              </w:rPr>
              <w:t>Branch or LPO</w:t>
            </w:r>
          </w:p>
        </w:tc>
        <w:tc>
          <w:tcPr>
            <w:tcW w:w="100" w:type="dxa"/>
            <w:vAlign w:val="bottom"/>
          </w:tcPr>
          <w:p>
            <w:pPr>
              <w:spacing w:after="0"/>
              <w:rPr>
                <w:sz w:val="15"/>
                <w:szCs w:val="15"/>
                <w:color w:val="auto"/>
              </w:rPr>
            </w:pPr>
          </w:p>
        </w:tc>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5"/>
              </w:rPr>
              <w:t>Location</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66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tcPr>
          <w:p>
            <w:pPr>
              <w:jc w:val="center"/>
              <w:ind w:right="595"/>
              <w:spacing w:after="0"/>
              <w:rPr>
                <w:sz w:val="20"/>
                <w:szCs w:val="20"/>
                <w:color w:val="auto"/>
              </w:rPr>
            </w:pPr>
            <w:r>
              <w:rPr>
                <w:rFonts w:ascii="Arial" w:cs="Arial" w:eastAsia="Arial" w:hAnsi="Arial"/>
                <w:sz w:val="18"/>
                <w:szCs w:val="18"/>
                <w:color w:val="auto"/>
                <w:w w:val="87"/>
              </w:rPr>
              <w:t>East Branch</w:t>
            </w:r>
          </w:p>
        </w:tc>
        <w:tc>
          <w:tcPr>
            <w:tcW w:w="10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Houston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2"/>
        </w:trPr>
        <w:tc>
          <w:tcPr>
            <w:tcW w:w="166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jc w:val="center"/>
              <w:ind w:right="615"/>
              <w:spacing w:after="0"/>
              <w:rPr>
                <w:sz w:val="20"/>
                <w:szCs w:val="20"/>
                <w:color w:val="auto"/>
              </w:rPr>
            </w:pPr>
            <w:r>
              <w:rPr>
                <w:rFonts w:ascii="Arial" w:cs="Arial" w:eastAsia="Arial" w:hAnsi="Arial"/>
                <w:sz w:val="18"/>
                <w:szCs w:val="18"/>
                <w:color w:val="auto"/>
                <w:w w:val="89"/>
              </w:rPr>
              <w:t>West Branch</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5"/>
              </w:rPr>
              <w:t>Mesa Hills LPO</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57"/>
        </w:trPr>
        <w:tc>
          <w:tcPr>
            <w:tcW w:w="1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Bryan/College State</w:t>
            </w:r>
          </w:p>
        </w:tc>
        <w:tc>
          <w:tcPr>
            <w:tcW w:w="1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3"/>
          </w:tcPr>
          <w:p>
            <w:pPr>
              <w:jc w:val="center"/>
              <w:ind w:right="1357"/>
              <w:spacing w:after="0"/>
              <w:rPr>
                <w:sz w:val="20"/>
                <w:szCs w:val="20"/>
                <w:color w:val="auto"/>
              </w:rPr>
            </w:pPr>
            <w:r>
              <w:rPr>
                <w:rFonts w:ascii="Arial" w:cs="Arial" w:eastAsia="Arial" w:hAnsi="Arial"/>
                <w:sz w:val="14"/>
                <w:szCs w:val="14"/>
                <w:b w:val="1"/>
                <w:bCs w:val="1"/>
                <w:color w:val="auto"/>
                <w:w w:val="93"/>
              </w:rPr>
              <w:t>Ruidoso/Eastern New Mexico</w:t>
            </w:r>
          </w:p>
        </w:tc>
      </w:tr>
      <w:tr>
        <w:trPr>
          <w:trHeight w:val="183"/>
        </w:trPr>
        <w:tc>
          <w:tcPr>
            <w:tcW w:w="16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Location</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615"/>
              <w:spacing w:after="0"/>
              <w:rPr>
                <w:sz w:val="20"/>
                <w:szCs w:val="20"/>
                <w:color w:val="auto"/>
              </w:rPr>
            </w:pPr>
            <w:r>
              <w:rPr>
                <w:rFonts w:ascii="Arial" w:cs="Arial" w:eastAsia="Arial" w:hAnsi="Arial"/>
                <w:sz w:val="14"/>
                <w:szCs w:val="14"/>
                <w:b w:val="1"/>
                <w:bCs w:val="1"/>
                <w:color w:val="auto"/>
                <w:w w:val="97"/>
              </w:rPr>
              <w:t>Branch or LPO</w:t>
            </w:r>
          </w:p>
        </w:tc>
        <w:tc>
          <w:tcPr>
            <w:tcW w:w="100" w:type="dxa"/>
            <w:vAlign w:val="bottom"/>
          </w:tcPr>
          <w:p>
            <w:pPr>
              <w:spacing w:after="0"/>
              <w:rPr>
                <w:sz w:val="15"/>
                <w:szCs w:val="15"/>
                <w:color w:val="auto"/>
              </w:rPr>
            </w:pPr>
          </w:p>
        </w:tc>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5"/>
              </w:rPr>
              <w:t>Location</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660" w:type="dxa"/>
            <w:vAlign w:val="bottom"/>
            <w:gridSpan w:val="2"/>
          </w:tcPr>
          <w:p>
            <w:pPr>
              <w:spacing w:after="0"/>
              <w:rPr>
                <w:sz w:val="20"/>
                <w:szCs w:val="20"/>
                <w:color w:val="auto"/>
              </w:rPr>
            </w:pPr>
            <w:r>
              <w:rPr>
                <w:rFonts w:ascii="Arial" w:cs="Arial" w:eastAsia="Arial" w:hAnsi="Arial"/>
                <w:sz w:val="18"/>
                <w:szCs w:val="18"/>
                <w:color w:val="auto"/>
              </w:rPr>
              <w:t>College Station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tcPr>
          <w:p>
            <w:pPr>
              <w:jc w:val="center"/>
              <w:ind w:right="615"/>
              <w:spacing w:after="0"/>
              <w:rPr>
                <w:sz w:val="20"/>
                <w:szCs w:val="20"/>
                <w:color w:val="auto"/>
              </w:rPr>
            </w:pPr>
            <w:r>
              <w:rPr>
                <w:rFonts w:ascii="Arial" w:cs="Arial" w:eastAsia="Arial" w:hAnsi="Arial"/>
                <w:sz w:val="18"/>
                <w:szCs w:val="18"/>
                <w:color w:val="auto"/>
                <w:w w:val="91"/>
              </w:rPr>
              <w:t>Branch</w:t>
            </w:r>
          </w:p>
        </w:tc>
        <w:tc>
          <w:tcPr>
            <w:tcW w:w="10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Ruidoso</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Gateway Branch</w:t>
            </w:r>
          </w:p>
        </w:tc>
      </w:tr>
      <w:tr>
        <w:trPr>
          <w:trHeight w:val="242"/>
        </w:trPr>
        <w:tc>
          <w:tcPr>
            <w:tcW w:w="1660" w:type="dxa"/>
            <w:vAlign w:val="bottom"/>
            <w:gridSpan w:val="2"/>
          </w:tcPr>
          <w:p>
            <w:pPr>
              <w:spacing w:after="0"/>
              <w:rPr>
                <w:sz w:val="20"/>
                <w:szCs w:val="20"/>
                <w:color w:val="auto"/>
              </w:rPr>
            </w:pPr>
            <w:r>
              <w:rPr>
                <w:rFonts w:ascii="Arial" w:cs="Arial" w:eastAsia="Arial" w:hAnsi="Arial"/>
                <w:sz w:val="18"/>
                <w:szCs w:val="18"/>
                <w:color w:val="auto"/>
              </w:rPr>
              <w:t>College Station</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jc w:val="center"/>
              <w:ind w:right="595"/>
              <w:spacing w:after="0"/>
              <w:rPr>
                <w:sz w:val="20"/>
                <w:szCs w:val="20"/>
                <w:color w:val="auto"/>
              </w:rPr>
            </w:pPr>
            <w:r>
              <w:rPr>
                <w:rFonts w:ascii="Arial" w:cs="Arial" w:eastAsia="Arial" w:hAnsi="Arial"/>
                <w:sz w:val="18"/>
                <w:szCs w:val="18"/>
                <w:color w:val="auto"/>
                <w:w w:val="94"/>
              </w:rPr>
              <w:t>LPO</w:t>
            </w:r>
          </w:p>
        </w:tc>
        <w:tc>
          <w:tcPr>
            <w:tcW w:w="100" w:type="dxa"/>
            <w:vAlign w:val="bottom"/>
          </w:tcPr>
          <w:p>
            <w:pPr>
              <w:spacing w:after="0"/>
              <w:rPr>
                <w:sz w:val="21"/>
                <w:szCs w:val="21"/>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Ruidoso</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River Crossing Branch</w:t>
            </w:r>
          </w:p>
        </w:tc>
      </w:tr>
      <w:tr>
        <w:trPr>
          <w:trHeight w:val="257"/>
        </w:trPr>
        <w:tc>
          <w:tcPr>
            <w:tcW w:w="1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Other Markets</w:t>
            </w:r>
          </w:p>
        </w:tc>
        <w:tc>
          <w:tcPr>
            <w:tcW w:w="1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183"/>
        </w:trPr>
        <w:tc>
          <w:tcPr>
            <w:tcW w:w="16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Location</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615"/>
              <w:spacing w:after="0"/>
              <w:rPr>
                <w:sz w:val="20"/>
                <w:szCs w:val="20"/>
                <w:color w:val="auto"/>
              </w:rPr>
            </w:pPr>
            <w:r>
              <w:rPr>
                <w:rFonts w:ascii="Arial" w:cs="Arial" w:eastAsia="Arial" w:hAnsi="Arial"/>
                <w:sz w:val="14"/>
                <w:szCs w:val="14"/>
                <w:b w:val="1"/>
                <w:bCs w:val="1"/>
                <w:color w:val="auto"/>
                <w:w w:val="97"/>
              </w:rPr>
              <w:t>Branch or LPO</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24"/>
        </w:trPr>
        <w:tc>
          <w:tcPr>
            <w:tcW w:w="1660" w:type="dxa"/>
            <w:vAlign w:val="bottom"/>
            <w:gridSpan w:val="2"/>
          </w:tcPr>
          <w:p>
            <w:pPr>
              <w:spacing w:after="0"/>
              <w:rPr>
                <w:sz w:val="20"/>
                <w:szCs w:val="20"/>
                <w:color w:val="auto"/>
              </w:rPr>
            </w:pPr>
            <w:r>
              <w:rPr>
                <w:rFonts w:ascii="Arial" w:cs="Arial" w:eastAsia="Arial" w:hAnsi="Arial"/>
                <w:sz w:val="18"/>
                <w:szCs w:val="18"/>
                <w:color w:val="auto"/>
              </w:rPr>
              <w:t>Abilene, Texas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tcPr>
          <w:p>
            <w:pPr>
              <w:jc w:val="center"/>
              <w:ind w:right="595"/>
              <w:spacing w:after="0"/>
              <w:rPr>
                <w:sz w:val="20"/>
                <w:szCs w:val="20"/>
                <w:color w:val="auto"/>
              </w:rPr>
            </w:pPr>
            <w:r>
              <w:rPr>
                <w:rFonts w:ascii="Arial" w:cs="Arial" w:eastAsia="Arial" w:hAnsi="Arial"/>
                <w:sz w:val="18"/>
                <w:szCs w:val="18"/>
                <w:color w:val="auto"/>
                <w:w w:val="94"/>
              </w:rPr>
              <w:t>LPO</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42"/>
        </w:trPr>
        <w:tc>
          <w:tcPr>
            <w:tcW w:w="1660" w:type="dxa"/>
            <w:vAlign w:val="bottom"/>
            <w:gridSpan w:val="2"/>
          </w:tcPr>
          <w:p>
            <w:pPr>
              <w:spacing w:after="0"/>
              <w:rPr>
                <w:sz w:val="20"/>
                <w:szCs w:val="20"/>
                <w:color w:val="auto"/>
              </w:rPr>
            </w:pPr>
            <w:r>
              <w:rPr>
                <w:rFonts w:ascii="Arial" w:cs="Arial" w:eastAsia="Arial" w:hAnsi="Arial"/>
                <w:sz w:val="18"/>
                <w:szCs w:val="18"/>
                <w:color w:val="auto"/>
              </w:rPr>
              <w:t>Austin, Texas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jc w:val="center"/>
              <w:ind w:right="595"/>
              <w:spacing w:after="0"/>
              <w:rPr>
                <w:sz w:val="20"/>
                <w:szCs w:val="20"/>
                <w:color w:val="auto"/>
              </w:rPr>
            </w:pPr>
            <w:r>
              <w:rPr>
                <w:rFonts w:ascii="Arial" w:cs="Arial" w:eastAsia="Arial" w:hAnsi="Arial"/>
                <w:sz w:val="18"/>
                <w:szCs w:val="18"/>
                <w:color w:val="auto"/>
                <w:w w:val="94"/>
              </w:rPr>
              <w:t>LPO</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Beaumont, Texas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jc w:val="center"/>
              <w:ind w:right="595"/>
              <w:spacing w:after="0"/>
              <w:rPr>
                <w:sz w:val="20"/>
                <w:szCs w:val="20"/>
                <w:color w:val="auto"/>
              </w:rPr>
            </w:pPr>
            <w:r>
              <w:rPr>
                <w:rFonts w:ascii="Arial" w:cs="Arial" w:eastAsia="Arial" w:hAnsi="Arial"/>
                <w:sz w:val="18"/>
                <w:szCs w:val="18"/>
                <w:color w:val="auto"/>
                <w:w w:val="94"/>
              </w:rPr>
              <w:t>LPO</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43"/>
        </w:trPr>
        <w:tc>
          <w:tcPr>
            <w:tcW w:w="2940" w:type="dxa"/>
            <w:vAlign w:val="bottom"/>
            <w:gridSpan w:val="5"/>
          </w:tcPr>
          <w:p>
            <w:pPr>
              <w:spacing w:after="0"/>
              <w:rPr>
                <w:sz w:val="20"/>
                <w:szCs w:val="20"/>
                <w:color w:val="auto"/>
              </w:rPr>
            </w:pPr>
            <w:r>
              <w:rPr>
                <w:rFonts w:ascii="Arial" w:cs="Arial" w:eastAsia="Arial" w:hAnsi="Arial"/>
                <w:sz w:val="18"/>
                <w:szCs w:val="18"/>
                <w:color w:val="auto"/>
              </w:rPr>
              <w:t>Dripping Springs, Texas</w:t>
            </w:r>
          </w:p>
        </w:tc>
        <w:tc>
          <w:tcPr>
            <w:tcW w:w="1700" w:type="dxa"/>
            <w:vAlign w:val="bottom"/>
          </w:tcPr>
          <w:p>
            <w:pPr>
              <w:jc w:val="center"/>
              <w:ind w:right="595"/>
              <w:spacing w:after="0"/>
              <w:rPr>
                <w:sz w:val="20"/>
                <w:szCs w:val="20"/>
                <w:color w:val="auto"/>
              </w:rPr>
            </w:pPr>
            <w:r>
              <w:rPr>
                <w:rFonts w:ascii="Arial" w:cs="Arial" w:eastAsia="Arial" w:hAnsi="Arial"/>
                <w:sz w:val="18"/>
                <w:szCs w:val="18"/>
                <w:color w:val="auto"/>
                <w:w w:val="94"/>
              </w:rPr>
              <w:t>LPO</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w w:val="88"/>
              </w:rPr>
              <w:t>Overland Park, Kansas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jc w:val="center"/>
              <w:ind w:right="595"/>
              <w:spacing w:after="0"/>
              <w:rPr>
                <w:sz w:val="20"/>
                <w:szCs w:val="20"/>
                <w:color w:val="auto"/>
              </w:rPr>
            </w:pPr>
            <w:r>
              <w:rPr>
                <w:rFonts w:ascii="Arial" w:cs="Arial" w:eastAsia="Arial" w:hAnsi="Arial"/>
                <w:sz w:val="18"/>
                <w:szCs w:val="18"/>
                <w:color w:val="auto"/>
                <w:w w:val="94"/>
              </w:rPr>
              <w:t>LPO</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r>
    </w:tbl>
    <w:p>
      <w:pPr>
        <w:spacing w:after="0" w:line="10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76"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 most significant litigation in which the Bank is currently involved has been brought by a townhome association and an owner of one of the townhomes. The Bank was the lender on property acquisition and construction loans on a townhome project in Arlington, Texas. After the developer defaulted on the loans, the Bank took title to the property in 2011 and later sold the remaining unsold townhouse units. The townhome association alleges on behalf of the individual homeowners that the developer, the developer’s general partner, the general contractor, and the Bank are liable for damages suffered in connection with the townhome project. The townhome association plaintiff asserts causes of action for negligence, breach of implied warranties, violations of the Texas Deceptive Trade Practices Act, or the DTPA, fraud, negligent misrepresentation, breach of fiduciary duty, equitable estoppel, and breach of contract. The plaintiff seeks actual damages, including costs of repair that the plaintiff’s expert estimates to be approximately $8,000,000; treble damages under the DTPA; exemplary damages; attorneys’ fees; expert fees; and court costs. The individual owner is also asserting similar causes of action. The Bank has filed cross-claims against the other defendants, and a third-party claim against a repair company that worked on the property after the deed in lieu of foreclosure.</w:t>
      </w:r>
    </w:p>
    <w:p>
      <w:pPr>
        <w:spacing w:after="0" w:line="64"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The Bank’s general liability and directors and officers liability insurance carriers have acknowledged their obligation to defend the Bank in this matter. The general liability policies during the relevant policy years have limits of $1,000,000, and potentially up to $2,000,000, and the related excess policies have limits of $15,000,000. The directors and officers liability insurance policy has a limit of $10,000,000 and a retention of $250,000. Each of those insurance carriers has issued one or more “Reservation of Rights” letters, asserting that certain terms of the insurance policies might relieve them of the obligation to indemnify the Bank in the event it suffers a loss in the litigation. While the litigation is pending, the insurers may choose to seek an out-of-court settlement of the claims against the Bank. Furthermore, the Bank has tendered this matter to other insurance carriers that issued policies to the townhome association, the developer or the general contractor, and who might be obligated to provide coverage to the Bank under an additional insured endorsement or other obligation, and the Bank continues to conduct discovery of other insurance policies that may be applicable to this matter. At this time those other insurance companies have not agreed to defend or indemnify the Bank.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6" w:right="119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SUPERVISION AND REGULATION</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firstLine="360"/>
        <w:spacing w:after="0" w:line="271" w:lineRule="auto"/>
        <w:rPr>
          <w:sz w:val="20"/>
          <w:szCs w:val="20"/>
          <w:color w:val="auto"/>
        </w:rPr>
      </w:pPr>
      <w:r>
        <w:rPr>
          <w:rFonts w:ascii="Arial" w:cs="Arial" w:eastAsia="Arial" w:hAnsi="Arial"/>
          <w:sz w:val="17"/>
          <w:szCs w:val="17"/>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TDB, the Federal Reserve, the FDIC and the CFPB. Furthermore, tax laws administered by the IRS, and state taxing authorities, accounting rules developed by the FASB, securities laws administered by the SEC and state securities authorities and AML laws enforced by the U.S. Department of the Treasury, or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70"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56"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5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70" w:lineRule="exact"/>
        <w:rPr>
          <w:sz w:val="20"/>
          <w:szCs w:val="20"/>
          <w:color w:val="auto"/>
        </w:rPr>
      </w:pPr>
    </w:p>
    <w:p>
      <w:pPr>
        <w:ind w:right="80" w:firstLine="360"/>
        <w:spacing w:after="0" w:line="263" w:lineRule="auto"/>
        <w:rPr>
          <w:sz w:val="20"/>
          <w:szCs w:val="20"/>
          <w:color w:val="auto"/>
        </w:rPr>
      </w:pPr>
      <w:r>
        <w:rPr>
          <w:rFonts w:ascii="Arial" w:cs="Arial" w:eastAsia="Arial" w:hAnsi="Arial"/>
          <w:sz w:val="18"/>
          <w:szCs w:val="18"/>
          <w:color w:val="auto"/>
        </w:rPr>
        <w:t>The Basel III Capital Rules require the Bank and, upon completion of this offering, the Company, to comply with four minimum capital standards: a Tier 1 leverage ratio of at least 4.0%; a CET1 to risk-weighted assets of 4.5%; a Tier 1 capital to risk-weighted assets of at least 6.0%; and a total capital to risk-weighted assets of 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64"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Basel III Capital Rules also establish a “capital conservation buffer” of 2.5% above the regulatory minimum risk-based capital requirements. The capital conservation buffer requirement was phased in beginning in January 2016 and, as of January 2019, is now fully implemented. An institution is subject to limitations on certain activities, including payment of dividends, share repurchases and discretionary bonuses to executive officers, if its capital level is below the buffered ratio.</w:t>
      </w:r>
    </w:p>
    <w:p>
      <w:pPr>
        <w:spacing w:after="0" w:line="63"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Basel III minimum capital ratios as applicable to the Bank, and to the Company upon completion of this offering, in 2019 after the full phase-in period of the capital conservation buffer are summarized in the table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Basel III Minimum</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Basel III</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Basel III Ratio</w:t>
            </w:r>
          </w:p>
        </w:tc>
      </w:tr>
      <w:tr>
        <w:trPr>
          <w:trHeight w:val="162"/>
        </w:trPr>
        <w:tc>
          <w:tcPr>
            <w:tcW w:w="53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for Capital</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Additional Capital</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with Capital</w:t>
            </w:r>
          </w:p>
        </w:tc>
      </w:tr>
      <w:tr>
        <w:trPr>
          <w:trHeight w:val="162"/>
        </w:trPr>
        <w:tc>
          <w:tcPr>
            <w:tcW w:w="53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Adequacy</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Conservation</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Conservation</w:t>
            </w:r>
          </w:p>
        </w:tc>
      </w:tr>
      <w:tr>
        <w:trPr>
          <w:trHeight w:val="185"/>
        </w:trPr>
        <w:tc>
          <w:tcPr>
            <w:tcW w:w="53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Purposes</w:t>
            </w:r>
          </w:p>
        </w:tc>
        <w:tc>
          <w:tcPr>
            <w:tcW w:w="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00" w:type="dxa"/>
            <w:vAlign w:val="bottom"/>
          </w:tcPr>
          <w:p>
            <w:pPr>
              <w:spacing w:after="0"/>
              <w:rPr>
                <w:sz w:val="16"/>
                <w:szCs w:val="16"/>
                <w:color w:val="auto"/>
              </w:rPr>
            </w:pPr>
          </w:p>
        </w:tc>
      </w:tr>
      <w:tr>
        <w:trPr>
          <w:trHeight w:val="23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8.50%</w:t>
            </w:r>
          </w:p>
        </w:tc>
      </w:tr>
      <w:tr>
        <w:trPr>
          <w:trHeight w:val="24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equity tier 1 risk based capital (CET1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Tier 1 leverage ratio (tier 1 to average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4.00%</w:t>
            </w:r>
          </w:p>
        </w:tc>
      </w:tr>
    </w:tbl>
    <w:p>
      <w:pPr>
        <w:spacing w:after="0" w:line="10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CRE mortgages. Additional aspects of the Basel III Capital Rules’ risk-weighting requirements that are relevant to the Company and the Bank include:</w:t>
      </w:r>
    </w:p>
    <w:p>
      <w:pPr>
        <w:spacing w:after="0" w:line="77" w:lineRule="exact"/>
        <w:rPr>
          <w:sz w:val="20"/>
          <w:szCs w:val="20"/>
          <w:color w:val="auto"/>
        </w:rPr>
      </w:pPr>
    </w:p>
    <w:p>
      <w:pPr>
        <w:ind w:left="700" w:hanging="344"/>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assigning exposures secured by single-family residential properties to either a 50% risk weight for first-lien mortgages that meet prudent underwriting standards or a 100% risk weight category for all other mortgages;</w:t>
      </w:r>
    </w:p>
    <w:p>
      <w:pPr>
        <w:spacing w:after="0" w:line="62" w:lineRule="exact"/>
        <w:rPr>
          <w:rFonts w:ascii="Arial" w:cs="Arial" w:eastAsia="Arial" w:hAnsi="Arial"/>
          <w:sz w:val="18"/>
          <w:szCs w:val="18"/>
          <w:color w:val="auto"/>
        </w:rPr>
      </w:pPr>
    </w:p>
    <w:p>
      <w:pPr>
        <w:ind w:left="700" w:right="40" w:hanging="344"/>
        <w:spacing w:after="0" w:line="308"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38" w:lineRule="exact"/>
        <w:rPr>
          <w:rFonts w:ascii="Arial" w:cs="Arial" w:eastAsia="Arial" w:hAnsi="Arial"/>
          <w:sz w:val="17"/>
          <w:szCs w:val="17"/>
          <w:color w:val="auto"/>
        </w:rPr>
      </w:pPr>
    </w:p>
    <w:p>
      <w:pPr>
        <w:ind w:left="700" w:hanging="344"/>
        <w:spacing w:after="0" w:line="263"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00" w:hanging="344"/>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high-volatility commercial real estate, or HVCRE, ADC loans; and</w:t>
      </w:r>
    </w:p>
    <w:p>
      <w:pPr>
        <w:spacing w:after="0" w:line="62" w:lineRule="exact"/>
        <w:rPr>
          <w:rFonts w:ascii="Arial" w:cs="Arial" w:eastAsia="Arial" w:hAnsi="Arial"/>
          <w:sz w:val="18"/>
          <w:szCs w:val="18"/>
          <w:color w:val="auto"/>
        </w:rPr>
      </w:pPr>
    </w:p>
    <w:p>
      <w:pPr>
        <w:ind w:left="700" w:right="280" w:hanging="344"/>
        <w:spacing w:after="0" w:line="26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76"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As of December 31, 2017, the Company’s and the Bank’s capital ratios exceeded the minimum capital adequacy guideline percentage requirements under the Basel III Capital Rules on a fully phased-in basis.</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On November 21, 2018, federal regulators released a proposed rulemaking that would, if enacted, provide certain banks and their holding companies with the option to elect out of complying with the Basel III Capital Rules. Under the proposal, a qualifying community banking organization would be eligible to elect the community bank leverage ratio framework if it has a community bank leverage ratio, or CBLR, greater than 9% at the time of election.</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qualifying community banking organization, or QCBO, is defined as a bank, a savings association, a bank holding company or a savings and loan holding company with:</w:t>
      </w:r>
    </w:p>
    <w:p>
      <w:pPr>
        <w:spacing w:after="0" w:line="62" w:lineRule="exact"/>
        <w:rPr>
          <w:sz w:val="20"/>
          <w:szCs w:val="20"/>
          <w:color w:val="auto"/>
        </w:rPr>
      </w:pPr>
    </w:p>
    <w:p>
      <w:pPr>
        <w:ind w:left="700" w:hanging="34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117" w:lineRule="exact"/>
        <w:rPr>
          <w:rFonts w:ascii="Arial" w:cs="Arial" w:eastAsia="Arial" w:hAnsi="Arial"/>
          <w:sz w:val="18"/>
          <w:szCs w:val="18"/>
          <w:color w:val="auto"/>
        </w:rPr>
      </w:pPr>
    </w:p>
    <w:p>
      <w:pPr>
        <w:ind w:left="700" w:right="480" w:hanging="344"/>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cancelable commitments) of 25% or less of total consolidated assets;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MSAs of 25% or less of CBLR tangible equity;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temporary difference DTAs of 25% or less of CBLR tangible equity.</w:t>
      </w:r>
    </w:p>
    <w:p>
      <w:pPr>
        <w:spacing w:after="0" w:line="117" w:lineRule="exact"/>
        <w:rPr>
          <w:sz w:val="20"/>
          <w:szCs w:val="20"/>
          <w:color w:val="auto"/>
        </w:rPr>
      </w:pPr>
    </w:p>
    <w:p>
      <w:pPr>
        <w:jc w:val="both"/>
        <w:ind w:right="280" w:firstLine="360"/>
        <w:spacing w:after="0" w:line="259" w:lineRule="auto"/>
        <w:rPr>
          <w:sz w:val="20"/>
          <w:szCs w:val="20"/>
          <w:color w:val="auto"/>
        </w:rPr>
      </w:pPr>
      <w:r>
        <w:rPr>
          <w:rFonts w:ascii="Arial" w:cs="Arial" w:eastAsia="Arial" w:hAnsi="Arial"/>
          <w:sz w:val="18"/>
          <w:szCs w:val="18"/>
          <w:color w:val="auto"/>
        </w:rPr>
        <w:t>A QCBO may elect out of complying with the Basel III Capital Rules if, at the time of the election, the QCBO has a CBLR above 9%. The numerator of the CBLR is referred to as “CBLR tangible equity” and is calculated as the QCBO’s total capital as reported in compliance with Call Report and FR Y-9C instructions, or Reporting Instructions (prior to including non-controlling interests in consolidated subsidiaries) less:</w:t>
      </w:r>
    </w:p>
    <w:p>
      <w:pPr>
        <w:spacing w:after="0" w:line="79" w:lineRule="exact"/>
        <w:rPr>
          <w:sz w:val="20"/>
          <w:szCs w:val="20"/>
          <w:color w:val="auto"/>
        </w:rPr>
      </w:pPr>
    </w:p>
    <w:p>
      <w:pPr>
        <w:ind w:left="700" w:hanging="344"/>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Accumulated other comprehensive income (referred to in the industry as AOCI);</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Intangible assets, calculated in accordance with Reporting Instructions, other than mortgage servicing assets; and</w:t>
      </w:r>
    </w:p>
    <w:p>
      <w:pPr>
        <w:spacing w:after="0" w:line="128" w:lineRule="exact"/>
        <w:rPr>
          <w:rFonts w:ascii="Arial" w:cs="Arial" w:eastAsia="Arial" w:hAnsi="Arial"/>
          <w:sz w:val="17"/>
          <w:szCs w:val="17"/>
          <w:color w:val="auto"/>
        </w:rPr>
      </w:pPr>
    </w:p>
    <w:p>
      <w:pPr>
        <w:ind w:left="700" w:right="840" w:hanging="344"/>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Deferred tax assets that arise from net operating loss and tax credit carry forwards net of any related valuations allowances.</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denominator of the CBLR is the QCBO’s average assets, calculated in accordance with Reporting Instructions and less intangible assets and deferred tax assets deducted from CBLR tangible equity.</w:t>
      </w:r>
    </w:p>
    <w:p>
      <w:pPr>
        <w:spacing w:after="0" w:line="62"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The Company will continue to monitor this rulemaking. If and when the rulemaking goes into effect, the Company and the Bank will consider whether it would be possible and advantageous at that time to elect to comply with the community bank leverage ratio framework.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 Corrective Action</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Federal Deposit Insurance Act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6"/>
          <w:szCs w:val="16"/>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83"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6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79"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As of December 31, 2017, the Bank met the requirements for being deemed “well-capitalized” for purposes of the prompt corrective action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 of Federal and State Banking Agencies</w:t>
      </w:r>
    </w:p>
    <w:p>
      <w:pPr>
        <w:spacing w:after="0" w:line="121"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As a bank holding company, the Company is subject to regulation and supervision by the Federal Reserve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7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b w:val="1"/>
          <w:bCs w:val="1"/>
          <w:i w:val="1"/>
          <w:iCs w:val="1"/>
          <w:color w:val="auto"/>
        </w:rPr>
        <w:t>Acquisitions, Activities and Change in Control</w:t>
      </w:r>
      <w:r>
        <w:rPr>
          <w:rFonts w:ascii="Arial" w:cs="Arial" w:eastAsia="Arial" w:hAnsi="Arial"/>
          <w:sz w:val="17"/>
          <w:szCs w:val="17"/>
          <w:color w:val="auto"/>
        </w:rPr>
        <w:t>. The BHCA generally requires the prior approval by the Federal Reserve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CRA and the effectiveness of all organizations involved in the merger or acquisition in combating money laundering activities. In addition, failure to implement or maintain adequate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compliance programs could cause bank regulators not to approve an acquisition where regulatory approval is required or to prohibit an acquisition even if approval is not required.</w:t>
      </w:r>
    </w:p>
    <w:p>
      <w:pPr>
        <w:spacing w:after="0" w:line="6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Subject to certain conditions (including deposit concentration limits established by the BHCA and the Dodd-Frank Act),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7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5.00% and 24.99% ownership.</w:t>
      </w:r>
    </w:p>
    <w:p>
      <w:pPr>
        <w:spacing w:after="0" w:line="7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Permitted Activities</w:t>
      </w:r>
      <w:r>
        <w:rPr>
          <w:rFonts w:ascii="Arial" w:cs="Arial" w:eastAsia="Arial" w:hAnsi="Arial"/>
          <w:sz w:val="17"/>
          <w:szCs w:val="17"/>
          <w:color w:val="auto"/>
        </w:rPr>
        <w:t>. The BHCA generally prohibits the Company from controlling or engaging in any business other than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7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57"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i w:val="1"/>
          <w:iCs w:val="1"/>
          <w:color w:val="auto"/>
        </w:rPr>
        <w:t>Source of Strength</w:t>
      </w:r>
      <w:r>
        <w:rPr>
          <w:rFonts w:ascii="Arial" w:cs="Arial" w:eastAsia="Arial" w:hAnsi="Arial"/>
          <w:sz w:val="16"/>
          <w:szCs w:val="16"/>
          <w:color w:val="auto"/>
        </w:rPr>
        <w:t>. Federal Reserve policy historically required bank holding companies to act as a source of financial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60"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Safe and Sound Banking Practices</w:t>
      </w:r>
      <w:r>
        <w:rPr>
          <w:rFonts w:ascii="Arial" w:cs="Arial" w:eastAsia="Arial" w:hAnsi="Arial"/>
          <w:sz w:val="17"/>
          <w:szCs w:val="17"/>
          <w:color w:val="auto"/>
        </w:rPr>
        <w:t>. Bank holding companies and their non-banking subsidiaries are prohibited from engaging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69"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b w:val="1"/>
          <w:bCs w:val="1"/>
          <w:i w:val="1"/>
          <w:iCs w:val="1"/>
          <w:color w:val="auto"/>
        </w:rPr>
        <w:t>Tie in Arrangements</w:t>
      </w:r>
      <w:r>
        <w:rPr>
          <w:rFonts w:ascii="Arial" w:cs="Arial" w:eastAsia="Arial" w:hAnsi="Arial"/>
          <w:sz w:val="18"/>
          <w:szCs w:val="18"/>
          <w:color w:val="auto"/>
        </w:rPr>
        <w:t>. Federal law prohibits bank holding companies and any subsidiary banks from engaging in certain tie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87"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b w:val="1"/>
          <w:bCs w:val="1"/>
          <w:i w:val="1"/>
          <w:iCs w:val="1"/>
          <w:color w:val="auto"/>
        </w:rPr>
        <w:t>Dividend Payments, Stock Redemptions and Repurchases</w:t>
      </w:r>
      <w:r>
        <w:rPr>
          <w:rFonts w:ascii="Arial" w:cs="Arial" w:eastAsia="Arial" w:hAnsi="Arial"/>
          <w:sz w:val="17"/>
          <w:szCs w:val="17"/>
          <w:color w:val="auto"/>
        </w:rPr>
        <w:t>. The Company’s ability to pay dividends to its shareholders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6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7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its net worth if it would not be well-capitalized (as defined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Bank is a Texas banking association and is subject to supervision and regulation by the TDB and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is also subject to certain regulations of the CFPB. As a Texas banking association, the Bank is subject to the examination, supervision and regulation by the TDB, the chartering authority for Texas banks, and by the FDIC.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88"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b w:val="1"/>
          <w:bCs w:val="1"/>
          <w:i w:val="1"/>
          <w:iCs w:val="1"/>
          <w:color w:val="auto"/>
        </w:rPr>
        <w:t>Depositor Preference</w:t>
      </w:r>
      <w:r>
        <w:rPr>
          <w:rFonts w:ascii="Arial" w:cs="Arial" w:eastAsia="Arial" w:hAnsi="Arial"/>
          <w:sz w:val="18"/>
          <w:szCs w:val="18"/>
          <w:color w:val="auto"/>
        </w:rPr>
        <w:t>. In the event of the “liquidation or other resolution” of an insured depository institution, the claims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8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b w:val="1"/>
          <w:bCs w:val="1"/>
          <w:i w:val="1"/>
          <w:iCs w:val="1"/>
          <w:color w:val="auto"/>
        </w:rPr>
        <w:t>Brokered Deposit Restrictions</w:t>
      </w:r>
      <w:r>
        <w:rPr>
          <w:rFonts w:ascii="Arial" w:cs="Arial" w:eastAsia="Arial" w:hAnsi="Arial"/>
          <w:sz w:val="18"/>
          <w:szCs w:val="18"/>
          <w:color w:val="auto"/>
        </w:rPr>
        <w:t>. Well-capitalized institutions are not subject to limitations on brokered deposits,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2017, the Bank was eligible to accept brokered deposits without a waiver from the FDIC.</w:t>
      </w:r>
    </w:p>
    <w:p>
      <w:pPr>
        <w:spacing w:after="0" w:line="80" w:lineRule="exact"/>
        <w:rPr>
          <w:sz w:val="20"/>
          <w:szCs w:val="20"/>
          <w:color w:val="auto"/>
        </w:rPr>
      </w:pPr>
    </w:p>
    <w:p>
      <w:pPr>
        <w:ind w:right="140" w:firstLine="360"/>
        <w:spacing w:after="0" w:line="253" w:lineRule="auto"/>
        <w:rPr>
          <w:sz w:val="20"/>
          <w:szCs w:val="20"/>
          <w:color w:val="auto"/>
        </w:rPr>
      </w:pPr>
      <w:r>
        <w:rPr>
          <w:rFonts w:ascii="Arial" w:cs="Arial" w:eastAsia="Arial" w:hAnsi="Arial"/>
          <w:sz w:val="18"/>
          <w:szCs w:val="18"/>
          <w:b w:val="1"/>
          <w:bCs w:val="1"/>
          <w:i w:val="1"/>
          <w:iCs w:val="1"/>
          <w:color w:val="auto"/>
        </w:rPr>
        <w:t>Deposit Insurance</w:t>
      </w:r>
      <w:r>
        <w:rPr>
          <w:rFonts w:ascii="Arial" w:cs="Arial" w:eastAsia="Arial" w:hAnsi="Arial"/>
          <w:sz w:val="18"/>
          <w:szCs w:val="18"/>
          <w:color w:val="auto"/>
        </w:rPr>
        <w:t>. As an FDIC-insured institution, the Bank is required to pay deposit insurance premiums to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Additionally, the Dodd-Frank Act altered the minimum designated reserve ratio of the DIF, increasing the minimum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 to 1.35% of the estimated amount of total insured deposits, and eliminating the requirement that the FDIC pay dividends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depository institutions when the reserve ratio exceeds certain thresholds. The FDIC had until September 3, 2020 to meet the 1.35%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 ratio target, but it announced in November 2018 that the DIF had reached 1.36%, exceeding the 1.35% reserve ratio target.</w:t>
      </w:r>
    </w:p>
    <w:p>
      <w:pPr>
        <w:spacing w:after="0" w:line="126"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2017, the Bank paid $1.0 million in FDIC deposit insurance premiums.</w:t>
      </w:r>
    </w:p>
    <w:p>
      <w:pPr>
        <w:spacing w:after="0" w:line="79"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b w:val="1"/>
          <w:bCs w:val="1"/>
          <w:i w:val="1"/>
          <w:iCs w:val="1"/>
          <w:color w:val="auto"/>
        </w:rPr>
        <w:t>Audit Reports</w:t>
      </w:r>
      <w:r>
        <w:rPr>
          <w:rFonts w:ascii="Arial" w:cs="Arial" w:eastAsia="Arial" w:hAnsi="Arial"/>
          <w:sz w:val="16"/>
          <w:szCs w:val="16"/>
          <w:color w:val="auto"/>
        </w:rPr>
        <w:t>. For insured institutions with total assets of $1.0 billion or more, financial statements prepared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FDICIA requires that the Bank have an independent audit committee, consisting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5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i w:val="1"/>
          <w:iCs w:val="1"/>
          <w:color w:val="auto"/>
        </w:rPr>
        <w:t>FICO Assessments</w:t>
      </w:r>
      <w:r>
        <w:rPr>
          <w:rFonts w:ascii="Arial" w:cs="Arial" w:eastAsia="Arial" w:hAnsi="Arial"/>
          <w:sz w:val="17"/>
          <w:szCs w:val="17"/>
          <w:color w:val="auto"/>
        </w:rPr>
        <w:t>. In addition to paying basic deposit insurance assessments, insured depository institutions must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Corporation, or FICO, assessments. FICO is a mixed-ownership governmental corporation chartered by the former Federal Home Loan Bank Board to recapitalize the former Federal Savings and Loan Insurance Corporation. FICO issued 30-year non-callable bonds of approximately $8.1 billion that mature in 2017 through 2019. Since 1996, federal legislation requires that all FDIC-insured depository institutions pay assessments to cover interest payments on FICO’s outstanding obligations. During the year ended December 31, 2017, the Bank paid $119,000 in FICO assessments.</w:t>
      </w:r>
    </w:p>
    <w:p>
      <w:pPr>
        <w:spacing w:after="0" w:line="70"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b w:val="1"/>
          <w:bCs w:val="1"/>
          <w:i w:val="1"/>
          <w:iCs w:val="1"/>
          <w:color w:val="auto"/>
        </w:rPr>
        <w:t>Examination Assessments</w:t>
      </w:r>
      <w:r>
        <w:rPr>
          <w:rFonts w:ascii="Arial" w:cs="Arial" w:eastAsia="Arial" w:hAnsi="Arial"/>
          <w:sz w:val="17"/>
          <w:szCs w:val="17"/>
          <w:color w:val="auto"/>
        </w:rPr>
        <w:t>. Texas-chartered banks are required to pay an annual assessment fee to the TDB to fund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The fee is based on the amount of the bank’s assets at rates established by the Finance Commission of Texas. During the year ended December 31, 2017, the Bank paid examination assessments to the TDB totaling $230,000.</w:t>
      </w:r>
    </w:p>
    <w:p>
      <w:pPr>
        <w:spacing w:after="0" w:line="5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b w:val="1"/>
          <w:bCs w:val="1"/>
          <w:i w:val="1"/>
          <w:iCs w:val="1"/>
          <w:color w:val="auto"/>
        </w:rPr>
        <w:t>Capital Requirements</w:t>
      </w:r>
      <w:r>
        <w:rPr>
          <w:rFonts w:ascii="Arial" w:cs="Arial" w:eastAsia="Arial" w:hAnsi="Arial"/>
          <w:sz w:val="18"/>
          <w:szCs w:val="18"/>
          <w:color w:val="auto"/>
        </w:rPr>
        <w:t>. Banks are generally required to maintain minimum capital ratios. For a discussion of the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applicable to the Bank, see “Regulatory Capital Requirements” above.</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b w:val="1"/>
          <w:bCs w:val="1"/>
          <w:i w:val="1"/>
          <w:iCs w:val="1"/>
          <w:color w:val="auto"/>
        </w:rPr>
        <w:t>Bank Reserves</w:t>
      </w:r>
      <w:r>
        <w:rPr>
          <w:rFonts w:ascii="Arial" w:cs="Arial" w:eastAsia="Arial" w:hAnsi="Arial"/>
          <w:sz w:val="17"/>
          <w:szCs w:val="17"/>
          <w:color w:val="auto"/>
        </w:rPr>
        <w:t>. The Federal Reserve requires all depository institutions to maintain reserves against some transaction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63"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b w:val="1"/>
          <w:bCs w:val="1"/>
          <w:i w:val="1"/>
          <w:iCs w:val="1"/>
          <w:color w:val="auto"/>
        </w:rPr>
        <w:t>Liquidity Requirements</w:t>
      </w:r>
      <w:r>
        <w:rPr>
          <w:rFonts w:ascii="Arial" w:cs="Arial" w:eastAsia="Arial" w:hAnsi="Arial"/>
          <w:sz w:val="17"/>
          <w:szCs w:val="17"/>
          <w:color w:val="auto"/>
        </w:rPr>
        <w:t>. Historically, regulation and monitoring of bank and bank holding company liquidity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70" w:lineRule="exact"/>
        <w:rPr>
          <w:sz w:val="20"/>
          <w:szCs w:val="20"/>
          <w:color w:val="auto"/>
        </w:rPr>
      </w:pPr>
    </w:p>
    <w:p>
      <w:pPr>
        <w:ind w:right="540" w:firstLine="360"/>
        <w:spacing w:after="0" w:line="263" w:lineRule="auto"/>
        <w:rPr>
          <w:sz w:val="20"/>
          <w:szCs w:val="20"/>
          <w:color w:val="auto"/>
        </w:rPr>
      </w:pPr>
      <w:r>
        <w:rPr>
          <w:rFonts w:ascii="Arial" w:cs="Arial" w:eastAsia="Arial" w:hAnsi="Arial"/>
          <w:sz w:val="18"/>
          <w:szCs w:val="18"/>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76"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b w:val="1"/>
          <w:bCs w:val="1"/>
          <w:i w:val="1"/>
          <w:iCs w:val="1"/>
          <w:color w:val="auto"/>
        </w:rPr>
        <w:t>Dividend Payments</w:t>
      </w:r>
      <w:r>
        <w:rPr>
          <w:rFonts w:ascii="Arial" w:cs="Arial" w:eastAsia="Arial" w:hAnsi="Arial"/>
          <w:sz w:val="16"/>
          <w:szCs w:val="16"/>
          <w:color w:val="auto"/>
        </w:rPr>
        <w:t>. The primary source of funds for the Company is dividends from the Bank. Unless the approval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5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Transactions with Affiliates</w:t>
      </w:r>
      <w:r>
        <w:rPr>
          <w:rFonts w:ascii="Arial" w:cs="Arial" w:eastAsia="Arial" w:hAnsi="Arial"/>
          <w:sz w:val="17"/>
          <w:szCs w:val="17"/>
          <w:color w:val="auto"/>
        </w:rPr>
        <w:t>. The Bank is subject to sections 23A and 23B of the Federal Reserve Act, or the Affiliates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76"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b w:val="1"/>
          <w:bCs w:val="1"/>
          <w:i w:val="1"/>
          <w:iCs w:val="1"/>
          <w:color w:val="auto"/>
        </w:rPr>
        <w:t>Financial Subsidiaries</w:t>
      </w:r>
      <w:r>
        <w:rPr>
          <w:rFonts w:ascii="Arial" w:cs="Arial" w:eastAsia="Arial" w:hAnsi="Arial"/>
          <w:sz w:val="17"/>
          <w:szCs w:val="17"/>
          <w:color w:val="auto"/>
        </w:rPr>
        <w:t>. Under the GLBA, subject to certain conditions imposed by their respective banking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2017, the Bank did not have any financial subsidiaries.</w:t>
      </w:r>
    </w:p>
    <w:p>
      <w:pPr>
        <w:spacing w:after="0" w:line="7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Loans to Directors, Executive Officers and Principal Shareholders</w:t>
      </w:r>
      <w:r>
        <w:rPr>
          <w:rFonts w:ascii="Arial" w:cs="Arial" w:eastAsia="Arial" w:hAnsi="Arial"/>
          <w:sz w:val="17"/>
          <w:szCs w:val="17"/>
          <w:color w:val="auto"/>
        </w:rPr>
        <w:t>. The authority of the Bank to extend credit to its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the loans must be made on substantially the same terms, including interest rates and collateral, as prevailing at the time for comparable transactions with persons not affiliated with the Company or the Bank, that the Bank must follow credit underwriting procedures at least as stringent as those applicable to comparable transactions with persons who are not affiliated with the Company or the Bank and that the loans must not involve a greater than normal risk of non-payment or include other features not favorable to the Bank. Furthermore, the Bank must periodically report all loans made to directors and other insiders to the bank regulators. As of December 31, 2017, the Bank’s total amount of lines of credit for loans to insiders and loans outstanding to insiders was $9.4 million.</w:t>
      </w:r>
    </w:p>
    <w:p>
      <w:pPr>
        <w:spacing w:after="0" w:line="74"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b w:val="1"/>
          <w:bCs w:val="1"/>
          <w:i w:val="1"/>
          <w:iCs w:val="1"/>
          <w:color w:val="auto"/>
        </w:rPr>
        <w:t>Limits on Loans to One Borrower</w:t>
      </w:r>
      <w:r>
        <w:rPr>
          <w:rFonts w:ascii="Arial" w:cs="Arial" w:eastAsia="Arial" w:hAnsi="Arial"/>
          <w:sz w:val="18"/>
          <w:szCs w:val="18"/>
          <w:color w:val="auto"/>
        </w:rPr>
        <w:t>. As a Texas banking association, the Bank is subject to limits on the amount of loans it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United States. Certain types of loans are exempted from the lending limits, including loans secured by segregated deposits held by the Bank. The Bank’s legal lending limit to any one borrower was approximately $38 million as of December 31, 2017.</w:t>
      </w:r>
    </w:p>
    <w:p>
      <w:pPr>
        <w:spacing w:after="0" w:line="87" w:lineRule="exact"/>
        <w:rPr>
          <w:sz w:val="20"/>
          <w:szCs w:val="20"/>
          <w:color w:val="auto"/>
        </w:rPr>
      </w:pPr>
    </w:p>
    <w:p>
      <w:pPr>
        <w:ind w:right="380" w:firstLine="360"/>
        <w:spacing w:after="0" w:line="327" w:lineRule="auto"/>
        <w:rPr>
          <w:sz w:val="20"/>
          <w:szCs w:val="20"/>
          <w:color w:val="auto"/>
        </w:rPr>
      </w:pPr>
      <w:r>
        <w:rPr>
          <w:rFonts w:ascii="Arial" w:cs="Arial" w:eastAsia="Arial" w:hAnsi="Arial"/>
          <w:sz w:val="15"/>
          <w:szCs w:val="15"/>
          <w:b w:val="1"/>
          <w:bCs w:val="1"/>
          <w:i w:val="1"/>
          <w:iCs w:val="1"/>
          <w:color w:val="auto"/>
        </w:rPr>
        <w:t>Safety and Soundness Standards / Risk Management</w:t>
      </w:r>
      <w:r>
        <w:rPr>
          <w:rFonts w:ascii="Arial" w:cs="Arial" w:eastAsia="Arial" w:hAnsi="Arial"/>
          <w:sz w:val="15"/>
          <w:szCs w:val="15"/>
          <w:color w:val="auto"/>
        </w:rPr>
        <w:t>. The federal banking agencies have adopted guidelines establishing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32"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70"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64" w:lineRule="exact"/>
        <w:rPr>
          <w:sz w:val="20"/>
          <w:szCs w:val="20"/>
          <w:color w:val="auto"/>
        </w:rPr>
      </w:pPr>
    </w:p>
    <w:p>
      <w:pPr>
        <w:ind w:right="180" w:firstLine="360"/>
        <w:spacing w:after="0" w:line="254" w:lineRule="auto"/>
        <w:rPr>
          <w:sz w:val="20"/>
          <w:szCs w:val="20"/>
          <w:color w:val="auto"/>
        </w:rPr>
      </w:pPr>
      <w:r>
        <w:rPr>
          <w:rFonts w:ascii="Arial" w:cs="Arial" w:eastAsia="Arial" w:hAnsi="Arial"/>
          <w:sz w:val="18"/>
          <w:szCs w:val="18"/>
          <w:b w:val="1"/>
          <w:bCs w:val="1"/>
          <w:i w:val="1"/>
          <w:iCs w:val="1"/>
          <w:color w:val="auto"/>
        </w:rPr>
        <w:t>Branching Authority</w:t>
      </w:r>
      <w:r>
        <w:rPr>
          <w:rFonts w:ascii="Arial" w:cs="Arial" w:eastAsia="Arial" w:hAnsi="Arial"/>
          <w:sz w:val="18"/>
          <w:szCs w:val="18"/>
          <w:color w:val="auto"/>
        </w:rPr>
        <w:t>. Deposit-taking banking offices must be approved by the FDIC and, if such office is established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Company may also establish banking offices in other states by merging with banks or by purchasing banking offices of other banks in other states, subject to certain restrictions.</w:t>
      </w:r>
    </w:p>
    <w:p>
      <w:pPr>
        <w:spacing w:after="0" w:line="87"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b w:val="1"/>
          <w:bCs w:val="1"/>
          <w:i w:val="1"/>
          <w:iCs w:val="1"/>
          <w:color w:val="auto"/>
        </w:rPr>
        <w:t>Interstate Deposit Restrictions</w:t>
      </w:r>
      <w:r>
        <w:rPr>
          <w:rFonts w:ascii="Arial" w:cs="Arial" w:eastAsia="Arial" w:hAnsi="Arial"/>
          <w:sz w:val="18"/>
          <w:szCs w:val="18"/>
          <w:color w:val="auto"/>
        </w:rPr>
        <w:t>. The Interstate Act, together with the Dodd-Frank Act, relaxed prior branching restrictions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federal law by permitting, subject to regulatory approval, banks to establish branches in states where the laws permit banks chartered in such states to establish branches.</w:t>
      </w:r>
    </w:p>
    <w:p>
      <w:pPr>
        <w:spacing w:after="0" w:line="76"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5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For purposes of Section 109, the Bank’s home state is Texas and the Bank operates branches in one host state: New Mexico. The most recently published host state loan-to-deposit ratio using data as of June 30, 2017 reflects a statewide loan-to-deposit ratio in New Mexico of 41%. As of December 31, 2017, the Bank’s statewide loan-to-deposit ratio in New Mexico was 36%. Accordingly, management believes that the Bank is in compliance with Section 109 in New Mexico after application of the first step of the two-step test.</w:t>
      </w:r>
    </w:p>
    <w:p>
      <w:pPr>
        <w:spacing w:after="0" w:line="8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b w:val="1"/>
          <w:bCs w:val="1"/>
          <w:i w:val="1"/>
          <w:iCs w:val="1"/>
          <w:color w:val="auto"/>
        </w:rPr>
        <w:t>Community Reinvestment Act</w:t>
      </w:r>
      <w:r>
        <w:rPr>
          <w:rFonts w:ascii="Arial" w:cs="Arial" w:eastAsia="Arial" w:hAnsi="Arial"/>
          <w:sz w:val="18"/>
          <w:szCs w:val="18"/>
          <w:color w:val="auto"/>
        </w:rPr>
        <w:t>. The CRA is intended to encourage insured depository institutions, while operating safely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76"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68"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Anti-Money Laundering and the Office of Foreign Assets Control Regulation</w:t>
      </w:r>
      <w:r>
        <w:rPr>
          <w:rFonts w:ascii="Arial" w:cs="Arial" w:eastAsia="Arial" w:hAnsi="Arial"/>
          <w:sz w:val="17"/>
          <w:szCs w:val="17"/>
          <w:color w:val="auto"/>
        </w:rPr>
        <w:t>. The USA PATRIOT Act is designed to deny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terrorists and criminals the ability to obtain access to the U.S. financial system and has significant implications for depository institutions, brokers, dealers and other businesses involved in the transfer of money. The USA PATRIOT Act substantially broadened the scope of United States AML laws and regulations by imposing significant compliance and due diligence obligations, created new crimes and penalties and expanded the extra territorial jurisdiction of the United States.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74"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Among other requirements, the USA PATRIOT Act and implementing regulations require banks to establish AML programs that include, at a minimum:</w:t>
      </w:r>
    </w:p>
    <w:p>
      <w:pPr>
        <w:spacing w:after="0" w:line="62" w:lineRule="exact"/>
        <w:rPr>
          <w:sz w:val="20"/>
          <w:szCs w:val="20"/>
          <w:color w:val="auto"/>
        </w:rPr>
      </w:pPr>
    </w:p>
    <w:p>
      <w:pPr>
        <w:ind w:left="700" w:right="500" w:hanging="344"/>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internal policies, procedures and controls designed to implement and maintain the bank’s compliance with all of the requirements of the USA PATRIOT Act, the BSA and related laws and regulations;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systems and procedures for monitoring and reporting suspicious transactions and activities;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designated compliance officer;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independent audit function to test the AML program;</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procedures to verify the identity of each customer upon the opening of accounts;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heightened due diligence policies, procedures and controls applicable to certain foreign accounts and relationships.</w:t>
      </w:r>
    </w:p>
    <w:p>
      <w:pPr>
        <w:spacing w:after="0" w:line="129"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Additionally, the USA PATRIOT Act requires each financial institution to develop a customer identification program, or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Likewise,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w:t>
      </w:r>
    </w:p>
    <w:p>
      <w:pPr>
        <w:spacing w:after="0" w:line="8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i w:val="1"/>
          <w:iCs w:val="1"/>
          <w:color w:val="auto"/>
        </w:rPr>
        <w:t>Concentrations in Commercial Real Estate</w:t>
      </w:r>
      <w:r>
        <w:rPr>
          <w:rFonts w:ascii="Arial" w:cs="Arial" w:eastAsia="Arial" w:hAnsi="Arial"/>
          <w:sz w:val="16"/>
          <w:szCs w:val="16"/>
          <w:color w:val="auto"/>
        </w:rPr>
        <w:t>. The federal banking agencies have promulgated guidance governing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2017, the Company did not exceed the levels to be considered to have a concentration in commercial real estate lending and believes its credit administration to be consistent with the recently published policy statement.</w:t>
      </w:r>
    </w:p>
    <w:p>
      <w:pPr>
        <w:spacing w:after="0" w:line="66" w:lineRule="exact"/>
        <w:rPr>
          <w:sz w:val="20"/>
          <w:szCs w:val="20"/>
          <w:color w:val="auto"/>
        </w:rPr>
      </w:pPr>
    </w:p>
    <w:p>
      <w:pPr>
        <w:ind w:right="380" w:firstLine="360"/>
        <w:spacing w:after="0" w:line="279" w:lineRule="auto"/>
        <w:rPr>
          <w:sz w:val="20"/>
          <w:szCs w:val="20"/>
          <w:color w:val="auto"/>
        </w:rPr>
      </w:pPr>
      <w:r>
        <w:rPr>
          <w:rFonts w:ascii="Arial" w:cs="Arial" w:eastAsia="Arial" w:hAnsi="Arial"/>
          <w:sz w:val="17"/>
          <w:szCs w:val="17"/>
          <w:color w:val="auto"/>
        </w:rPr>
        <w:t>The Basel III Capital Rules also require loans categorized as “high-volatility commercial real estate,” or HVCRE, to be assigned a 150% risk weighting and require additional capital support. However, the EGRRCPA, signed into law in May 2018, prohibits federal banking regulators from imposing higher capital standards on HVCRE exposures unless they are for ADC and clarifying ADC status. As of December 31, 2017, we had $9.8 million in ADC loans.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Services</w:t>
      </w:r>
    </w:p>
    <w:p>
      <w:pPr>
        <w:spacing w:after="0" w:line="121"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We are subject to a number of federal and state consumer protection laws that extensively govern our relationship with our customers. These laws include ECOA, the Fair Credit Reporting Act, the Truth in Lending Act, the Truth in Savings Act, the Electronic Fund Transfer Act, the Expedited Funds Availability Act, the Home Mortgage Disclosure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74"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Rulemaking authority for most federal consumer protection laws was transferred from the prudential regulators to the CFPB on July 21, 2011. In some cases, regulators such as the Federal Trade Commission and the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56"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76"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Mortgage and Mortgage-Related Products, Generally</w:t>
      </w:r>
      <w:r>
        <w:rPr>
          <w:rFonts w:ascii="Arial" w:cs="Arial" w:eastAsia="Arial" w:hAnsi="Arial"/>
          <w:sz w:val="17"/>
          <w:szCs w:val="17"/>
          <w:color w:val="auto"/>
        </w:rPr>
        <w:t>. Because abuses in connection with home mortgages were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74"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Ability-to-Repay Requirement and Qualified Mortgage Rule</w:t>
      </w:r>
      <w:r>
        <w:rPr>
          <w:rFonts w:ascii="Arial" w:cs="Arial" w:eastAsia="Arial" w:hAnsi="Arial"/>
          <w:sz w:val="17"/>
          <w:szCs w:val="17"/>
          <w:color w:val="auto"/>
        </w:rPr>
        <w:t>. In January 2013, the CFPB issued a final rule implementing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Guidance</w:t>
      </w:r>
    </w:p>
    <w:p>
      <w:pPr>
        <w:spacing w:after="0" w:line="121"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$1.0 billion in assets, those rules have not yet been finalized. The scope and content of the U.S. banking regulators’ policies on executive compensation are continuing to develop and are likely to continue evolving in the near future.</w:t>
      </w:r>
    </w:p>
    <w:p>
      <w:pPr>
        <w:spacing w:after="0" w:line="74"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The scope and content of the U.S. banking regulators’ policies on executive compensation are continuing to develop and are likely to continue evolving in the near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12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Monetary Policy</w:t>
      </w:r>
    </w:p>
    <w:p>
      <w:pPr>
        <w:spacing w:after="0" w:line="121" w:lineRule="exact"/>
        <w:rPr>
          <w:sz w:val="20"/>
          <w:szCs w:val="20"/>
          <w:color w:val="auto"/>
        </w:rPr>
      </w:pPr>
    </w:p>
    <w:p>
      <w:pPr>
        <w:ind w:right="340" w:firstLine="360"/>
        <w:spacing w:after="0" w:line="296" w:lineRule="auto"/>
        <w:rPr>
          <w:sz w:val="20"/>
          <w:szCs w:val="20"/>
          <w:color w:val="auto"/>
        </w:rPr>
      </w:pPr>
      <w:r>
        <w:rPr>
          <w:rFonts w:ascii="Arial" w:cs="Arial" w:eastAsia="Arial" w:hAnsi="Arial"/>
          <w:sz w:val="16"/>
          <w:szCs w:val="16"/>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Banking Reform Legislation</w:t>
      </w:r>
    </w:p>
    <w:p>
      <w:pPr>
        <w:spacing w:after="0" w:line="121"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The EGRRCPA directs the federal banking agencies to develop a specified Community Bank Leverage Ratio (i.e., the ratio of a bank’s equity capital to its consolidated assets) of not less than 8% and not more than 10%. Banks and bank holding companies with less than $10 billion in total assets that maintain capital in excess of this ratio will be deemed to be in compliance with all other capital and leverage requirements. Federal banking agencies may consider a company’s risk profile when evaluating whether it qualifies as a community bank for purposes of the Community Bank Leverage Ratio.</w:t>
      </w:r>
    </w:p>
    <w:p>
      <w:pPr>
        <w:spacing w:after="0" w:line="68"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Other key provisions of the EGRRCPA as it relates to community banks and bank holding companies include, but are not limited to: (i) designating mortgages held in portfolio as “qualified mortgages” for banks with less than $10 billion in assets, subject to certain documentation and product limitations; (ii) exempting banks with less than $10 billion in assets (and total trading assets and trading liabilities of 5% or less of total assets) from Volcker Rule requirements relating to proprietary trading; (iii) simplifying capital calculations for banks with less than $10 billion in assets by requiring federal banking agencies to establish a community bank leverage ratio of tangible equity to average consolidated assets of not less than 8% or more than 10%, and provide that banks that maintain tangible equity in excess of such ratio will be deemed to be in compliance with risk-based capital and leverage requirements; (iv) assisting smaller banks with obtaining stable funding by providing an exception for reciprocal deposits from FDIC restrictions on acceptance of brokered deposits; (v) raising the eligibility for use of short-form Call Reports from $1 billion to $5 billion in assets; (vi) clarifying definitions pertaining to HVCRE, which require higher capital allocations, so that only loans with increased risk are subject to higher risk weightings; and (vii) changing the eligibility for use of the small bank holding company policy statement from institutions with under $1 billion in assets to institutions with under $3 billion in assets.</w:t>
      </w:r>
    </w:p>
    <w:p>
      <w:pPr>
        <w:spacing w:after="0" w:line="6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and Proposed Legislation</w:t>
      </w:r>
    </w:p>
    <w:p>
      <w:pPr>
        <w:spacing w:after="0" w:line="121"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6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Although the majority of the Dodd-Frank Act’s rulemaking requirements have been met with finalized rules, approximately one-fifth of the rulemaking requirements are either still in the proposal stage or have not yet been proposed. On February 2, 2017, the President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00" w:firstLine="360"/>
        <w:spacing w:after="0" w:line="329" w:lineRule="auto"/>
        <w:rPr>
          <w:sz w:val="20"/>
          <w:szCs w:val="20"/>
          <w:color w:val="auto"/>
        </w:rPr>
      </w:pPr>
      <w:r>
        <w:rPr>
          <w:rFonts w:ascii="Arial" w:cs="Arial" w:eastAsia="Arial" w:hAnsi="Arial"/>
          <w:sz w:val="16"/>
          <w:szCs w:val="16"/>
          <w:color w:val="auto"/>
        </w:rPr>
        <w:t>The table below provides information about our executive officers and directors. Our board of directors is divided into three classes, the terms of which expire at our annual shareholders’ meeting in 2020, 2021, and 2022. Ages are as of December 31, 2018.</w:t>
      </w: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Until /</w:t>
            </w:r>
          </w:p>
        </w:tc>
      </w:tr>
      <w:tr>
        <w:trPr>
          <w:trHeight w:val="17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40" w:type="dxa"/>
            <w:vAlign w:val="bottom"/>
          </w:tcPr>
          <w:p>
            <w:pPr>
              <w:spacing w:after="0"/>
              <w:rPr>
                <w:sz w:val="14"/>
                <w:szCs w:val="14"/>
                <w:color w:val="auto"/>
              </w:rPr>
            </w:pPr>
          </w:p>
        </w:tc>
        <w:tc>
          <w:tcPr>
            <w:tcW w:w="30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Position with the Company</w:t>
            </w:r>
          </w:p>
        </w:tc>
        <w:tc>
          <w:tcPr>
            <w:tcW w:w="20" w:type="dxa"/>
            <w:vAlign w:val="bottom"/>
          </w:tcPr>
          <w:p>
            <w:pPr>
              <w:spacing w:after="0"/>
              <w:rPr>
                <w:sz w:val="14"/>
                <w:szCs w:val="14"/>
                <w:color w:val="auto"/>
              </w:rPr>
            </w:pPr>
          </w:p>
        </w:tc>
        <w:tc>
          <w:tcPr>
            <w:tcW w:w="27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Position with the Bank</w:t>
            </w:r>
          </w:p>
        </w:tc>
        <w:tc>
          <w:tcPr>
            <w:tcW w:w="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Curtis C. Griffith</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4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4"/>
              </w:rPr>
              <w:t>Chairman of the Board; Chief Executive</w:t>
            </w:r>
          </w:p>
        </w:tc>
        <w:tc>
          <w:tcPr>
            <w:tcW w:w="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1972</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2022</w:t>
            </w:r>
          </w:p>
        </w:tc>
      </w:tr>
      <w:tr>
        <w:trPr>
          <w:trHeight w:val="230"/>
        </w:trPr>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Cory T. Newsom</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Director; President</w:t>
            </w:r>
          </w:p>
        </w:tc>
        <w:tc>
          <w:tcPr>
            <w:tcW w:w="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w w:val="95"/>
              </w:rPr>
              <w:t>Director; President; Chief Executive</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2008</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2021</w:t>
            </w:r>
          </w:p>
        </w:tc>
      </w:tr>
      <w:tr>
        <w:trPr>
          <w:trHeight w:val="230"/>
        </w:trPr>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Steven B. Crockett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Chief Financial Officer; Treasurer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Kevin R. Bass</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Chief Credit Officer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 Chief Credit Officer</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Mikella D. Newsom</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44</w:t>
            </w:r>
          </w:p>
        </w:tc>
        <w:tc>
          <w:tcPr>
            <w:tcW w:w="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Chief Risk Officer; Secretary</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Risk Officer</w:t>
            </w:r>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Richard D. Campbell</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2011</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Cynthia B. Keith</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Noe G. Valles</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2021</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Kyle R. Wargo</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58</w:t>
            </w:r>
          </w:p>
        </w:tc>
        <w:tc>
          <w:tcPr>
            <w:tcW w:w="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2022</w:t>
            </w:r>
          </w:p>
        </w:tc>
      </w:tr>
    </w:tbl>
    <w:p>
      <w:pPr>
        <w:spacing w:after="0" w:line="107"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The following is a brief discussion of the business and banking background and experience of our directors and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i w:val="1"/>
          <w:iCs w:val="1"/>
          <w:color w:val="auto"/>
        </w:rPr>
        <w:t>Curtis C. Griffith – Chairman and Chief Executive Officer</w:t>
      </w:r>
      <w:r>
        <w:rPr>
          <w:rFonts w:ascii="Arial" w:cs="Arial" w:eastAsia="Arial" w:hAnsi="Arial"/>
          <w:sz w:val="16"/>
          <w:szCs w:val="16"/>
          <w:color w:val="auto"/>
        </w:rPr>
        <w:t>. Mr. Griffith has been with the Company since its inception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worked with the Bank and its predecessor institutions for over 47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In 1972, he was elected to the board of directors of First State Bank of Morton, Texas, a predecessor institution to the Bank, and continues to serve on the board of directors of the Bank. Mr. Griffith also served as Vice President of the Bank beginning in 1979.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6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Cory T. Newsom – Director and President</w:t>
      </w:r>
      <w:r>
        <w:rPr>
          <w:rFonts w:ascii="Arial" w:cs="Arial" w:eastAsia="Arial" w:hAnsi="Arial"/>
          <w:sz w:val="17"/>
          <w:szCs w:val="17"/>
          <w:color w:val="auto"/>
        </w:rPr>
        <w:t>. Mr. Newsom was named President of the Company in 2019 and has served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36-year career in banking by progressing through the retail and operations areas. He currently serves on the board of directors of IBAT, Lubbock Children’s Home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 of directors.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i w:val="1"/>
          <w:iCs w:val="1"/>
          <w:color w:val="auto"/>
        </w:rPr>
        <w:t>Steven B. Crockett – Chief Financial Officer and Treasurer</w:t>
      </w:r>
      <w:r>
        <w:rPr>
          <w:rFonts w:ascii="Arial" w:cs="Arial" w:eastAsia="Arial" w:hAnsi="Arial"/>
          <w:sz w:val="17"/>
          <w:szCs w:val="17"/>
          <w:color w:val="auto"/>
        </w:rPr>
        <w:t>. Mr. Crockett has served as Chief Financial Officer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70"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Kevin R. Bass – Chief Credit Officer</w:t>
      </w:r>
      <w:r>
        <w:rPr>
          <w:rFonts w:ascii="Arial" w:cs="Arial" w:eastAsia="Arial" w:hAnsi="Arial"/>
          <w:sz w:val="16"/>
          <w:szCs w:val="16"/>
          <w:color w:val="auto"/>
        </w:rPr>
        <w:t>. Mr. Bass has served as Chief Credit Officer of the Company since 2019 and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Officer of the Bank since 2012. He has also served on the board of directors of the Bank since 2006 and served on the board of directors of the Company from 2010 to 2019. Mr. Bass began his 31-year career in banking as a credit analyst with American Bank of Haltom City before serving as a bank regulator with the Texas Department of Banking for four years. He started his career at the Bank in 1995 as an asset review officer. Mr. Bass earned his degree in finance from McMurry University in 1988, and he currently serves as a board member for the Johnson School of Business at McMurry University.</w:t>
      </w:r>
    </w:p>
    <w:p>
      <w:pPr>
        <w:spacing w:after="0" w:line="56"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i w:val="1"/>
          <w:iCs w:val="1"/>
          <w:color w:val="auto"/>
        </w:rPr>
        <w:t>Mikella D. Newsom – Chief Risk Officer and Secretary</w:t>
      </w:r>
      <w:r>
        <w:rPr>
          <w:rFonts w:ascii="Arial" w:cs="Arial" w:eastAsia="Arial" w:hAnsi="Arial"/>
          <w:sz w:val="17"/>
          <w:szCs w:val="17"/>
          <w:color w:val="auto"/>
        </w:rPr>
        <w:t>. Ms. Newsom has served as Chief Risk Officer of the Company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2019 and Secretary of the Company since 2013. She previously served in a number of other capacities at the Company since 2013, including Senior Vice President, Chief Financial Officer, and Treasurer through 2015. She has a 23-year banking career and has served as Chief Risk Officer of the Bank since 2015 and previously held the positions of Senior Vice President and Chief Financial Officer of the Bank. She is a member of the Risk Management Association and the Texas Bankers Association where she serves on the Chief Risk Officer steering committee. She currently serves on the Board of Trustees for Frenship Independent School District and the board of directors of the Frenship Foundation for Leadership. Ms. Newsom earned a Bachelor of Science degree in agricultural economics from Texas Tech University in 1996.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i w:val="1"/>
          <w:iCs w:val="1"/>
          <w:color w:val="auto"/>
        </w:rPr>
        <w:t>Richard “Danny” Campbell – Director</w:t>
      </w:r>
      <w:r>
        <w:rPr>
          <w:rFonts w:ascii="Arial" w:cs="Arial" w:eastAsia="Arial" w:hAnsi="Arial"/>
          <w:sz w:val="16"/>
          <w:szCs w:val="16"/>
          <w:color w:val="auto"/>
        </w:rPr>
        <w:t>. Mr. Campbell has served on the board of directors of each of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of directors.</w:t>
      </w:r>
    </w:p>
    <w:p>
      <w:pPr>
        <w:spacing w:after="0" w:line="6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 xml:space="preserve">Cynthia B. “Cindi” Keith – Director. </w:t>
      </w:r>
      <w:r>
        <w:rPr>
          <w:rFonts w:ascii="Arial" w:cs="Arial" w:eastAsia="Arial" w:hAnsi="Arial"/>
          <w:sz w:val="17"/>
          <w:szCs w:val="17"/>
          <w:color w:val="auto"/>
        </w:rPr>
        <w:t>Ms. Keith has served on the board of directors of the Company since 2019 and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of the Bank 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and audit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Technology Business Council Board of Directors. The depth and breadth of Ms. Keith's 25 years of experience as a CPA serving various companies, as well as her leadership positions with PricewaterhouseCoopers, LLP, qualify her to serve on the our board of directors.</w:t>
      </w:r>
    </w:p>
    <w:p>
      <w:pPr>
        <w:spacing w:after="0" w:line="76"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i w:val="1"/>
          <w:iCs w:val="1"/>
          <w:color w:val="auto"/>
        </w:rPr>
        <w:t>Noe G. Valles – Director</w:t>
      </w:r>
      <w:r>
        <w:rPr>
          <w:rFonts w:ascii="Arial" w:cs="Arial" w:eastAsia="Arial" w:hAnsi="Arial"/>
          <w:sz w:val="17"/>
          <w:szCs w:val="17"/>
          <w:color w:val="auto"/>
        </w:rPr>
        <w:t>. Mr. Valles has served on the board of directors of the Company since 2019 and on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24 years. He is licensed to practice law in Texas and New Mexico state courts as well as the U.S. District Court for the Northern and Eastern Districts of Texas. Mr. Valles has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of directors because of his vast legal expertise and his intimate knowledge of the Texas and New Mexico communities that we serve.</w:t>
      </w:r>
    </w:p>
    <w:p>
      <w:pPr>
        <w:spacing w:after="0" w:line="74"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i w:val="1"/>
          <w:iCs w:val="1"/>
          <w:color w:val="auto"/>
        </w:rPr>
        <w:t>Kyle R. Wargo – Director</w:t>
      </w:r>
      <w:r>
        <w:rPr>
          <w:rFonts w:ascii="Arial" w:cs="Arial" w:eastAsia="Arial" w:hAnsi="Arial"/>
          <w:sz w:val="17"/>
          <w:szCs w:val="17"/>
          <w:color w:val="auto"/>
        </w:rPr>
        <w:t>. Mr. Wargo has served on the board of directors of the Company since 2016 and on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the Bank since 2013. He also served as an advisory director to the Bank since 2002. Mr. Wargo has served as Executive Director of Region 17 Education Service Center since 1996 and is a current member of the Texas Tech University graduate faculty. Prior to these roles, he served as superintendent of Levelland Independent School District from 1993 to 1996. He also served as Assistant to Superintendent at La Marque Independent School District from 1989 to 1993. Mr. Wargo is a member of the Texas Association of School Administrators and the American Association of School Administrators. He earned Bachelor of Science degree from Baylor University in 1982, a Masters of Education from the University of Houston in 1984, and a Doctorate in Education from the University of Houston in 1995. Mr. Wargo’s experience in administration and leadership, as well as his understanding of state and local government, qualify him to serve on our board of directors.</w:t>
      </w:r>
    </w:p>
    <w:p>
      <w:pPr>
        <w:spacing w:after="0" w:line="73"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b w:val="1"/>
          <w:bCs w:val="1"/>
          <w:i w:val="1"/>
          <w:iCs w:val="1"/>
          <w:color w:val="auto"/>
        </w:rPr>
        <w:t>Board Composition</w:t>
      </w:r>
      <w:r>
        <w:rPr>
          <w:rFonts w:ascii="Arial" w:cs="Arial" w:eastAsia="Arial" w:hAnsi="Arial"/>
          <w:sz w:val="17"/>
          <w:szCs w:val="17"/>
          <w:color w:val="auto"/>
        </w:rPr>
        <w:t>. Our board of directors has six members, divided into three classes. The number of directors constituting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will be fixed from time to time by resolution of our board of directors. Directors are elected for a term of three years, with approximately one-third of the directors elected annually. Mr. Campbell was originally appointed as a director pursuant to the terms of a Stock Purchase Agreement between the Company and Mr. Henry and his spouse. See “Certain Relationships and Related Party Transactions—Board Representation Agreement” for additional information.</w:t>
      </w:r>
    </w:p>
    <w:p>
      <w:pPr>
        <w:spacing w:after="0" w:line="68" w:lineRule="exact"/>
        <w:rPr>
          <w:sz w:val="20"/>
          <w:szCs w:val="20"/>
          <w:color w:val="auto"/>
        </w:rPr>
      </w:pPr>
    </w:p>
    <w:p>
      <w:pPr>
        <w:ind w:right="60" w:firstLine="360"/>
        <w:spacing w:after="0" w:line="296" w:lineRule="auto"/>
        <w:rPr>
          <w:sz w:val="20"/>
          <w:szCs w:val="20"/>
          <w:color w:val="auto"/>
        </w:rPr>
      </w:pPr>
      <w:r>
        <w:rPr>
          <w:rFonts w:ascii="Arial" w:cs="Arial" w:eastAsia="Arial" w:hAnsi="Arial"/>
          <w:sz w:val="16"/>
          <w:szCs w:val="16"/>
          <w:b w:val="1"/>
          <w:bCs w:val="1"/>
          <w:i w:val="1"/>
          <w:iCs w:val="1"/>
          <w:color w:val="auto"/>
        </w:rPr>
        <w:t>Board Leadership Structure</w:t>
      </w:r>
      <w:r>
        <w:rPr>
          <w:rFonts w:ascii="Arial" w:cs="Arial" w:eastAsia="Arial" w:hAnsi="Arial"/>
          <w:sz w:val="16"/>
          <w:szCs w:val="16"/>
          <w:color w:val="auto"/>
        </w:rPr>
        <w:t>. Our board of directors does not have a formal policy requiring the separation of the roles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Chairman of the Board.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w:t>
      </w:r>
    </w:p>
    <w:p>
      <w:pPr>
        <w:spacing w:after="0" w:line="5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Annually, the independent directors elect a 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of directors has designated Richard D. Campbell to serve as Lead Independent Director.</w:t>
      </w:r>
    </w:p>
    <w:p>
      <w:pPr>
        <w:spacing w:after="0" w:line="80"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We have applied to list our common stock on the NASDAQ Global Select Market and,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listing, we will be required to comply with the rules of the NASDAQ Stock Market with respect to the independence of directors who serve on our board of directors and its committees. Under the rules of the NASDAQ Stock Market, independent directors must comprise a majority of our board of directors within a specified period of time after this offering. The rules of the NASDAQ Stock Market, as well as those of the SEC, also impose several other requirements with respect to the independence of our directors.</w:t>
      </w:r>
    </w:p>
    <w:p>
      <w:pPr>
        <w:spacing w:after="0" w:line="84"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Our board of directors has evaluated the independence of its members based upon the rules of the NASDAQ Stock Market and the SEC and has considered the relationships that each director has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Company, including the transactions described under the section titled “Certain Relationships and Related Party Transactions.” Applying these standards, our board of directors has affirmatively determined that each of Richard D. Campbell, Cynthia B. Keith, Noe G. Valles, and Kyle R. Wargo is an independent director, as defined under the applicable rules. The board of directors determined that each of Curtis C. Griffith and Cory T. Newsom does not qualify as an independent director because each is an executive officer of the Company.</w:t>
      </w:r>
    </w:p>
    <w:p>
      <w:pPr>
        <w:spacing w:after="0" w:line="80"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b w:val="1"/>
          <w:bCs w:val="1"/>
          <w:i w:val="1"/>
          <w:iCs w:val="1"/>
          <w:color w:val="auto"/>
        </w:rPr>
        <w:t>Director Qualifications</w:t>
      </w:r>
      <w:r>
        <w:rPr>
          <w:rFonts w:ascii="Arial" w:cs="Arial" w:eastAsia="Arial" w:hAnsi="Arial"/>
          <w:sz w:val="17"/>
          <w:szCs w:val="17"/>
          <w:color w:val="auto"/>
        </w:rPr>
        <w:t>. We believe that our directors should have the highest professional and personal ethics and values.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of directors also considers the candidate’s character, judgment, diversity, skill set, specific business background and experience in the context of our needs and those of the board of directors.</w:t>
      </w:r>
    </w:p>
    <w:p>
      <w:pPr>
        <w:spacing w:after="0" w:line="7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b w:val="1"/>
          <w:bCs w:val="1"/>
          <w:i w:val="1"/>
          <w:iCs w:val="1"/>
          <w:color w:val="auto"/>
        </w:rPr>
        <w:t>Certain Relationships</w:t>
      </w:r>
      <w:r>
        <w:rPr>
          <w:rFonts w:ascii="Arial" w:cs="Arial" w:eastAsia="Arial" w:hAnsi="Arial"/>
          <w:sz w:val="18"/>
          <w:szCs w:val="18"/>
          <w:color w:val="auto"/>
        </w:rPr>
        <w:t>. There are no family relationships between any of our directors or executive officers, as defined in Item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401 of Regulation S-K.</w:t>
      </w:r>
    </w:p>
    <w:p>
      <w:pPr>
        <w:spacing w:after="0" w:line="62"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b w:val="1"/>
          <w:bCs w:val="1"/>
          <w:i w:val="1"/>
          <w:iCs w:val="1"/>
          <w:color w:val="auto"/>
        </w:rPr>
        <w:t>Risk Management and Oversight</w:t>
      </w:r>
      <w:r>
        <w:rPr>
          <w:rFonts w:ascii="Arial" w:cs="Arial" w:eastAsia="Arial" w:hAnsi="Arial"/>
          <w:sz w:val="17"/>
          <w:szCs w:val="17"/>
          <w:color w:val="auto"/>
        </w:rPr>
        <w:t>. The board of directors has ultimate authority and responsibility for overseeing our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The board of directors monitors, reviews and reacts to material enterprise risks identified by management. The board of directors receives specific reports from executive management on credit, interest rate, liquidity, transactional, compliance and legal, strategic, and reputational risks and the degree of exposure to those risks. The board of directors helps ensure that management is properly focused on risk by, among other things, reviewing and discussing the performance of senior management and business line leaders. Committees of the board of directors have responsibility for risk oversight in specific areas. The Audit Committee oversees financial, accounting and internal control risk management policies. The Compensation Committee assesses and monitors risks in our compensation program.</w:t>
      </w:r>
    </w:p>
    <w:p>
      <w:pPr>
        <w:spacing w:after="0" w:line="70"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color w:val="auto"/>
        </w:rPr>
        <w:t>. Upon completion of this offering, none of the members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will be or will have been one of our officers or employees. In addition, with the exception of Curtis C. Griffith and Cory T. Newsom’s current service on the compensation committee of the Bank, none of our executive officers serves or has served as a member of the Compensation Committee or other board committee performing equivalent functions of any entity that has one or more executive officers serving as one of our directors or on our Compensation Committee.</w:t>
      </w:r>
    </w:p>
    <w:p>
      <w:pPr>
        <w:spacing w:after="0" w:line="53"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b w:val="1"/>
          <w:bCs w:val="1"/>
          <w:i w:val="1"/>
          <w:iCs w:val="1"/>
          <w:color w:val="auto"/>
        </w:rPr>
        <w:t>Code of Business Conduct and Ethics</w:t>
      </w:r>
      <w:r>
        <w:rPr>
          <w:rFonts w:ascii="Arial" w:cs="Arial" w:eastAsia="Arial" w:hAnsi="Arial"/>
          <w:sz w:val="16"/>
          <w:szCs w:val="16"/>
          <w:color w:val="auto"/>
        </w:rPr>
        <w:t>. Our board of directors has adopted a Code of Business Conduct and Ethics that applies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will be available on our website at www.city.bank upon completion of this offering. We expect that any amendments to the Code of Business Conduct and Ethics, or any waivers of their respective requirements, will be disclosed on our website, as well as any other means required by NASDAQ Global Select Market rules or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the Audit Committee, the Compensation Committee, the Nominating and Corporate Governance Committee and the ESOP Committee. Our board of directors also may establish such other committees as it deems appropriate, in accordance with applicable law and regulations and our amended and restated certificate of formation, or the certificate of formation, and our amended and restated bylaws, or the bylaws.</w:t>
      </w:r>
    </w:p>
    <w:p>
      <w:pPr>
        <w:spacing w:after="0" w:line="8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Company has a separately designated standing Audit Committee as required by the rules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NASDAQ Stock Market. The Audit Committee charter adopted by the board of directors sets out the responsibilities, authority and specific duties of the Audit Committee. The Audit Committee charter will be available on the Company’s website at www.city.bank under the “Investor Relations” tab upon completion of this offering.</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responsibilities of the Audit Committee include the following:</w:t>
      </w:r>
    </w:p>
    <w:p>
      <w:pPr>
        <w:spacing w:after="0" w:line="117" w:lineRule="exact"/>
        <w:rPr>
          <w:sz w:val="20"/>
          <w:szCs w:val="20"/>
          <w:color w:val="auto"/>
        </w:rPr>
      </w:pPr>
    </w:p>
    <w:p>
      <w:pPr>
        <w:ind w:left="700" w:right="560" w:hanging="344"/>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the quality and integrity of regulatory and financial accounting, financial statements, financial reporting processes and systems of internal accounting and financial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0" w:hanging="344"/>
        <w:spacing w:after="0" w:line="311" w:lineRule="auto"/>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40" w:lineRule="exact"/>
        <w:rPr>
          <w:rFonts w:ascii="Arial" w:cs="Arial" w:eastAsia="Arial" w:hAnsi="Arial"/>
          <w:sz w:val="16"/>
          <w:szCs w:val="16"/>
          <w:color w:val="auto"/>
        </w:rPr>
      </w:pPr>
    </w:p>
    <w:p>
      <w:pPr>
        <w:ind w:left="700" w:hanging="34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and evaluating the performance of the internal audit function and review;</w:t>
      </w:r>
    </w:p>
    <w:p>
      <w:pPr>
        <w:spacing w:after="0" w:line="117" w:lineRule="exact"/>
        <w:rPr>
          <w:rFonts w:ascii="Arial" w:cs="Arial" w:eastAsia="Arial" w:hAnsi="Arial"/>
          <w:sz w:val="18"/>
          <w:szCs w:val="18"/>
          <w:color w:val="auto"/>
        </w:rPr>
      </w:pPr>
    </w:p>
    <w:p>
      <w:pPr>
        <w:ind w:left="700" w:right="220" w:hanging="344"/>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62" w:lineRule="exact"/>
        <w:rPr>
          <w:rFonts w:ascii="Arial" w:cs="Arial" w:eastAsia="Arial" w:hAnsi="Arial"/>
          <w:sz w:val="18"/>
          <w:szCs w:val="18"/>
          <w:color w:val="auto"/>
        </w:rPr>
      </w:pPr>
    </w:p>
    <w:p>
      <w:pPr>
        <w:ind w:left="700" w:right="340" w:hanging="344"/>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the effectiveness of the system for monitoring compliance with laws and regulations and the results of any investigation by management;</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instituting and overseeing any special investigations;</w:t>
      </w:r>
    </w:p>
    <w:p>
      <w:pPr>
        <w:spacing w:after="0" w:line="117" w:lineRule="exact"/>
        <w:rPr>
          <w:rFonts w:ascii="Arial" w:cs="Arial" w:eastAsia="Arial" w:hAnsi="Arial"/>
          <w:sz w:val="18"/>
          <w:szCs w:val="18"/>
          <w:color w:val="auto"/>
        </w:rPr>
      </w:pPr>
    </w:p>
    <w:p>
      <w:pPr>
        <w:ind w:left="700" w:right="60" w:hanging="344"/>
        <w:spacing w:after="0" w:line="286" w:lineRule="auto"/>
        <w:tabs>
          <w:tab w:leader="none" w:pos="7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p>
      <w:pPr>
        <w:spacing w:after="0" w:line="57" w:lineRule="exact"/>
        <w:rPr>
          <w:rFonts w:ascii="Arial" w:cs="Arial" w:eastAsia="Arial" w:hAnsi="Arial"/>
          <w:sz w:val="17"/>
          <w:szCs w:val="17"/>
          <w:color w:val="auto"/>
        </w:rPr>
      </w:pPr>
    </w:p>
    <w:p>
      <w:pPr>
        <w:ind w:left="700" w:hanging="34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our earnings releases and reports filed with the SEC;</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report;</w:t>
      </w:r>
    </w:p>
    <w:p>
      <w:pPr>
        <w:spacing w:after="0" w:line="117" w:lineRule="exact"/>
        <w:rPr>
          <w:rFonts w:ascii="Arial" w:cs="Arial" w:eastAsia="Arial" w:hAnsi="Arial"/>
          <w:sz w:val="18"/>
          <w:szCs w:val="18"/>
          <w:color w:val="auto"/>
        </w:rPr>
      </w:pPr>
    </w:p>
    <w:p>
      <w:pPr>
        <w:ind w:left="700" w:hanging="344"/>
        <w:spacing w:after="0" w:line="259"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w:t>
      </w:r>
    </w:p>
    <w:p>
      <w:pPr>
        <w:spacing w:after="0" w:line="78" w:lineRule="exact"/>
        <w:rPr>
          <w:rFonts w:ascii="Arial" w:cs="Arial" w:eastAsia="Arial" w:hAnsi="Arial"/>
          <w:sz w:val="18"/>
          <w:szCs w:val="18"/>
          <w:color w:val="auto"/>
        </w:rPr>
      </w:pPr>
    </w:p>
    <w:p>
      <w:pPr>
        <w:ind w:left="700" w:right="280" w:hanging="344"/>
        <w:spacing w:after="0" w:line="263"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reports and recommendations provided by senior management or third party consultants retained by the committee related to Company’s financial, operational, credit, strategic, market, investment, liquidity, reputational and compliance risks;</w:t>
      </w:r>
    </w:p>
    <w:p>
      <w:pPr>
        <w:spacing w:after="0" w:line="75" w:lineRule="exact"/>
        <w:rPr>
          <w:rFonts w:ascii="Arial" w:cs="Arial" w:eastAsia="Arial" w:hAnsi="Arial"/>
          <w:sz w:val="18"/>
          <w:szCs w:val="18"/>
          <w:color w:val="auto"/>
        </w:rPr>
      </w:pPr>
    </w:p>
    <w:p>
      <w:pPr>
        <w:ind w:left="700" w:right="340" w:hanging="344"/>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significant aggregate risk concentrations and other escalations, and approving significant corrective actions recommended by senior management; and</w:t>
      </w:r>
    </w:p>
    <w:p>
      <w:pPr>
        <w:spacing w:after="0" w:line="62" w:lineRule="exact"/>
        <w:rPr>
          <w:rFonts w:ascii="Arial" w:cs="Arial" w:eastAsia="Arial" w:hAnsi="Arial"/>
          <w:sz w:val="18"/>
          <w:szCs w:val="18"/>
          <w:color w:val="auto"/>
        </w:rPr>
      </w:pPr>
    </w:p>
    <w:p>
      <w:pPr>
        <w:ind w:left="700" w:right="100" w:hanging="344"/>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Committee by our board of directors from time to time.</w:t>
      </w:r>
    </w:p>
    <w:p>
      <w:pPr>
        <w:spacing w:after="0" w:line="62"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 members of the Audit Committee are Kyle R. Wargo (Committee Chairman), Richard D. Campbell, and Cynthia B. Keith. Our board of directors has evaluated the independence of each of the members of our Audit Committee and has affirmatively determined that each of the members of our Audit Committee (1) is an independent director under NASDAQ Stock Market rules,</w:t>
      </w:r>
    </w:p>
    <w:p>
      <w:pPr>
        <w:spacing w:after="0" w:line="2" w:lineRule="exact"/>
        <w:rPr>
          <w:sz w:val="20"/>
          <w:szCs w:val="20"/>
          <w:color w:val="auto"/>
        </w:rPr>
      </w:pPr>
    </w:p>
    <w:p>
      <w:pPr>
        <w:ind w:right="20" w:firstLine="5"/>
        <w:spacing w:after="0" w:line="260"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satisfies the additional independence standards under applicable SEC rules for audit committee service, and (3) has the ability to read and understand fundamental financial statements.</w:t>
      </w:r>
    </w:p>
    <w:p>
      <w:pPr>
        <w:spacing w:after="0" w:line="7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board of directors has determined that Cynthia B. Keith qualifies as an “audit committee financial expert,” as defined by the SEC.</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Company has a separately designated Compensation Committee, which consists entirely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directors as defined by the applicable rules and regulations of the NASDAQ Stock Market. The Compensation Committee charter adopted by the board of directors sets out the responsibilities, authority and specific duties of the Compensation Committee. The Compensation Committee charter will be available on our website at www.city.bank under the “Investor Relations” tab upon completion of this offering.</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has the following responsibilities:</w:t>
      </w:r>
    </w:p>
    <w:p>
      <w:pPr>
        <w:spacing w:after="0" w:line="117" w:lineRule="exact"/>
        <w:rPr>
          <w:sz w:val="20"/>
          <w:szCs w:val="20"/>
          <w:color w:val="auto"/>
        </w:rPr>
      </w:pPr>
    </w:p>
    <w:p>
      <w:pPr>
        <w:ind w:left="700" w:hanging="344"/>
        <w:spacing w:after="0" w:line="342" w:lineRule="auto"/>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determining, and recommending to the board of directors for its confirmation, the annual compensation, annual incentive opportunities and any other matter relating to the compensation of the Company’s executive officers;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4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monitoring and evaluating the risks related to the Company’s compensation programs and practices;</w:t>
      </w:r>
    </w:p>
    <w:p>
      <w:pPr>
        <w:spacing w:after="0" w:line="117" w:lineRule="exact"/>
        <w:rPr>
          <w:rFonts w:ascii="Arial" w:cs="Arial" w:eastAsia="Arial" w:hAnsi="Arial"/>
          <w:sz w:val="18"/>
          <w:szCs w:val="18"/>
          <w:color w:val="auto"/>
        </w:rPr>
      </w:pPr>
    </w:p>
    <w:p>
      <w:pPr>
        <w:ind w:left="700" w:right="740" w:hanging="344"/>
        <w:spacing w:after="0" w:line="308"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reviewing and comparing compensation practices of any relevant peer group in order to assist in the committee’s evaluation of the appropriateness of the Company’s compensation practices and programs;</w:t>
      </w:r>
    </w:p>
    <w:p>
      <w:pPr>
        <w:spacing w:after="0" w:line="38" w:lineRule="exact"/>
        <w:rPr>
          <w:rFonts w:ascii="Arial" w:cs="Arial" w:eastAsia="Arial" w:hAnsi="Arial"/>
          <w:sz w:val="17"/>
          <w:szCs w:val="17"/>
          <w:color w:val="auto"/>
        </w:rPr>
      </w:pPr>
    </w:p>
    <w:p>
      <w:pPr>
        <w:ind w:left="700" w:right="20" w:hanging="344"/>
        <w:spacing w:after="0" w:line="263"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75" w:lineRule="exact"/>
        <w:rPr>
          <w:rFonts w:ascii="Arial" w:cs="Arial" w:eastAsia="Arial" w:hAnsi="Arial"/>
          <w:sz w:val="18"/>
          <w:szCs w:val="18"/>
          <w:color w:val="auto"/>
        </w:rPr>
      </w:pPr>
    </w:p>
    <w:p>
      <w:pPr>
        <w:ind w:left="700" w:hanging="344"/>
        <w:spacing w:after="0" w:line="286"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annually reviewing and recommending to the board of directors the annual director’s compensation and any additional compensation for services on committees of the board of directors, service as a committee or board chairman, meeting fees or any other benefit payable by virtue of the director’s position as a member of the board of directors;</w:t>
      </w:r>
    </w:p>
    <w:p>
      <w:pPr>
        <w:spacing w:after="0" w:line="57" w:lineRule="exact"/>
        <w:rPr>
          <w:rFonts w:ascii="Arial" w:cs="Arial" w:eastAsia="Arial" w:hAnsi="Arial"/>
          <w:sz w:val="17"/>
          <w:szCs w:val="17"/>
          <w:color w:val="auto"/>
        </w:rPr>
      </w:pPr>
    </w:p>
    <w:p>
      <w:pPr>
        <w:ind w:left="700" w:hanging="34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the performance of the executive officers for each fiscal year;</w:t>
      </w:r>
    </w:p>
    <w:p>
      <w:pPr>
        <w:spacing w:after="0" w:line="117" w:lineRule="exact"/>
        <w:rPr>
          <w:rFonts w:ascii="Arial" w:cs="Arial" w:eastAsia="Arial" w:hAnsi="Arial"/>
          <w:sz w:val="18"/>
          <w:szCs w:val="18"/>
          <w:color w:val="auto"/>
        </w:rPr>
      </w:pPr>
    </w:p>
    <w:p>
      <w:pPr>
        <w:ind w:left="700" w:right="480" w:hanging="344"/>
        <w:spacing w:after="0" w:line="342"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producing the Compensation Committee Report on executive compensation required for inclusion in the Company’s annual meeting proxy statement in compliance with the rules and regulations promulgated by the SEC;</w:t>
      </w:r>
    </w:p>
    <w:p>
      <w:pPr>
        <w:spacing w:after="0" w:line="15" w:lineRule="exact"/>
        <w:rPr>
          <w:rFonts w:ascii="Arial" w:cs="Arial" w:eastAsia="Arial" w:hAnsi="Arial"/>
          <w:sz w:val="16"/>
          <w:szCs w:val="16"/>
          <w:color w:val="auto"/>
        </w:rPr>
      </w:pPr>
    </w:p>
    <w:p>
      <w:pPr>
        <w:ind w:left="700" w:right="120" w:hanging="344"/>
        <w:spacing w:after="0" w:line="259"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of directors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78" w:lineRule="exact"/>
        <w:rPr>
          <w:rFonts w:ascii="Arial" w:cs="Arial" w:eastAsia="Arial" w:hAnsi="Arial"/>
          <w:sz w:val="18"/>
          <w:szCs w:val="18"/>
          <w:color w:val="auto"/>
        </w:rPr>
      </w:pPr>
    </w:p>
    <w:p>
      <w:pPr>
        <w:ind w:left="700" w:right="220" w:hanging="344"/>
        <w:spacing w:after="0" w:line="279"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overseeing and making recommendations to the board of directors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63" w:lineRule="exact"/>
        <w:rPr>
          <w:rFonts w:ascii="Arial" w:cs="Arial" w:eastAsia="Arial" w:hAnsi="Arial"/>
          <w:sz w:val="17"/>
          <w:szCs w:val="17"/>
          <w:color w:val="auto"/>
        </w:rPr>
      </w:pPr>
    </w:p>
    <w:p>
      <w:pPr>
        <w:ind w:left="700" w:hanging="344"/>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performing any other duties or responsibilities the board of directors may expressly delegate to the committee from time to time on matters relating to the Company’s compensation programs.</w:t>
      </w:r>
    </w:p>
    <w:p>
      <w:pPr>
        <w:spacing w:after="0" w:line="62"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members of the Compensation Committee are Richard D. Campbell (Committee Chairman), Noe G. Valles, and . Our board of directors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79"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Our board of directors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of directors that is composed solely of two or more “non-employee directors.”</w:t>
      </w:r>
    </w:p>
    <w:p>
      <w:pPr>
        <w:spacing w:after="0" w:line="79" w:lineRule="exact"/>
        <w:rPr>
          <w:sz w:val="20"/>
          <w:szCs w:val="20"/>
          <w:color w:val="auto"/>
        </w:rPr>
      </w:pPr>
    </w:p>
    <w:p>
      <w:pPr>
        <w:ind w:right="260" w:firstLine="360"/>
        <w:spacing w:after="0" w:line="255"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Company has separately designated a Nominating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Committee, which consists entirely of independent directors as defined by the applicable rules and regulations of the NASDAQ Stock Market. The Nominating and Corporate Governance Committee adopted by the board of directors sets out the responsibilities, authority and specific duties of the Nominating and Corporate Governance Committee. The Nominating and Corporate Governance Committee charter will be available on our website at www.city.bank under the “Investor Relations” tab upon completion of this offering.</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Nominating and Corporate Governance Committee has the following responsibilities:</w:t>
      </w:r>
    </w:p>
    <w:p>
      <w:pPr>
        <w:spacing w:after="0" w:line="117" w:lineRule="exact"/>
        <w:rPr>
          <w:sz w:val="20"/>
          <w:szCs w:val="20"/>
          <w:color w:val="auto"/>
        </w:rPr>
      </w:pPr>
    </w:p>
    <w:p>
      <w:pPr>
        <w:ind w:left="700" w:hanging="34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policies on the size and composition of our board of directors;</w:t>
      </w:r>
    </w:p>
    <w:p>
      <w:pPr>
        <w:spacing w:after="0" w:line="117" w:lineRule="exact"/>
        <w:rPr>
          <w:rFonts w:ascii="Arial" w:cs="Arial" w:eastAsia="Arial" w:hAnsi="Arial"/>
          <w:sz w:val="18"/>
          <w:szCs w:val="18"/>
          <w:color w:val="auto"/>
        </w:rPr>
      </w:pPr>
    </w:p>
    <w:p>
      <w:pPr>
        <w:ind w:left="700" w:right="60" w:hanging="344"/>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criteria to be considered in identifying and selecting nominees for director;</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possible candidates for election to the board of directors;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recommending to the board of directors candidates for election or re-election to our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4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recommending committee structure, composition and assignments;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conducting an annual performance evaluation of the board of directors and its committees; and</w:t>
      </w:r>
    </w:p>
    <w:p>
      <w:pPr>
        <w:spacing w:after="0" w:line="117" w:lineRule="exact"/>
        <w:rPr>
          <w:rFonts w:ascii="Arial" w:cs="Arial" w:eastAsia="Arial" w:hAnsi="Arial"/>
          <w:sz w:val="18"/>
          <w:szCs w:val="18"/>
          <w:color w:val="auto"/>
        </w:rPr>
      </w:pPr>
    </w:p>
    <w:p>
      <w:pPr>
        <w:ind w:left="700" w:right="480" w:hanging="344"/>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the committee’s performance and the adequacy of the Nominating and Corporate Governance Committee charter on an annual basis.</w:t>
      </w:r>
    </w:p>
    <w:p>
      <w:pPr>
        <w:spacing w:after="0" w:line="62" w:lineRule="exact"/>
        <w:rPr>
          <w:sz w:val="20"/>
          <w:szCs w:val="20"/>
          <w:color w:val="auto"/>
        </w:rPr>
      </w:pPr>
    </w:p>
    <w:p>
      <w:pPr>
        <w:ind w:firstLine="360"/>
        <w:spacing w:after="0" w:line="301" w:lineRule="auto"/>
        <w:rPr>
          <w:sz w:val="20"/>
          <w:szCs w:val="20"/>
          <w:color w:val="auto"/>
        </w:rPr>
      </w:pPr>
      <w:r>
        <w:rPr>
          <w:rFonts w:ascii="Arial" w:cs="Arial" w:eastAsia="Arial" w:hAnsi="Arial"/>
          <w:sz w:val="16"/>
          <w:szCs w:val="16"/>
          <w:color w:val="auto"/>
        </w:rPr>
        <w:t>The members of the Nominating and Corporate Governance Committee are Richard D. Campbell (Committee Chairman), Kyle R. Wargo, and Noe G. Valles. Our board of directors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w:t>
      </w:r>
    </w:p>
    <w:p>
      <w:pPr>
        <w:spacing w:after="0" w:line="4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i w:val="1"/>
          <w:iCs w:val="1"/>
          <w:color w:val="auto"/>
        </w:rPr>
        <w:t>ESOP Committee</w:t>
      </w:r>
      <w:r>
        <w:rPr>
          <w:rFonts w:ascii="Arial" w:cs="Arial" w:eastAsia="Arial" w:hAnsi="Arial"/>
          <w:sz w:val="17"/>
          <w:szCs w:val="17"/>
          <w:color w:val="auto"/>
        </w:rPr>
        <w:t>. The Company has separately designated an ESOP Committee that is responsible for managing the operation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administration of our ESOP. The ESOP Committee serves as “named fiduciary” of our ESOP and its members are appointed by our Director of Human Resources. The members of our ESOP Committee are Cory T. Newsom (Committee Chairman), Mikella D. Newsom, Rob Dean, Vice President for Trust Operations at the Bank, Kendra Lane, head of Human Resources at the Bank, and K.W. Hill, former market president and current member of the board of directors of the Bank. The Trustee of our ESOP is , and takes direction from the ESOP Committee.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color w:val="auto"/>
        </w:rPr>
        <w:t>We are an “emerging growth company” as defined in the JOBS Act. In accordance with such rules, we are required to provide a Summary Compensation Table and an Outstanding Equity Awards at Fiscal Year-End Table, as well as limited narrative compensation disclosure for our fiscal year ended December 31, 2018. Further, our reporting obligations extend to only our named executive officers, who are the individuals who served as our principal executive officer and our next two most highly compensated officers who served as executive officers during the last completed fiscal year. Our named executive officers, or NEOs, 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Principal Position</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Curtis C. Griffith</w:t>
            </w:r>
          </w:p>
        </w:tc>
        <w:tc>
          <w:tcPr>
            <w:tcW w:w="100" w:type="dxa"/>
            <w:vAlign w:val="bottom"/>
          </w:tcPr>
          <w:p>
            <w:pPr>
              <w:spacing w:after="0"/>
              <w:rPr>
                <w:sz w:val="20"/>
                <w:szCs w:val="20"/>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Cory T. Newsom</w:t>
            </w:r>
          </w:p>
        </w:tc>
        <w:tc>
          <w:tcPr>
            <w:tcW w:w="100" w:type="dxa"/>
            <w:vAlign w:val="bottom"/>
          </w:tcPr>
          <w:p>
            <w:pPr>
              <w:spacing w:after="0"/>
              <w:rPr>
                <w:sz w:val="21"/>
                <w:szCs w:val="21"/>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Kelly Deterding</w:t>
            </w:r>
          </w:p>
        </w:tc>
        <w:tc>
          <w:tcPr>
            <w:tcW w:w="100" w:type="dxa"/>
            <w:vAlign w:val="bottom"/>
          </w:tcPr>
          <w:p>
            <w:pPr>
              <w:spacing w:after="0"/>
              <w:rPr>
                <w:sz w:val="21"/>
                <w:szCs w:val="21"/>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President of Windmark Insurance</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r>
        <w:rPr>
          <w:rFonts w:ascii="Arial" w:cs="Arial" w:eastAsia="Arial" w:hAnsi="Arial"/>
          <w:sz w:val="18"/>
          <w:szCs w:val="18"/>
          <w:b w:val="1"/>
          <w:bCs w:val="1"/>
          <w:u w:val="single" w:color="auto"/>
          <w:color w:val="0000EE"/>
        </w:rPr>
        <w: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compensation that was earned by our NEOs for the fiscal year ended December 31,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Salary</w:t>
            </w:r>
          </w:p>
        </w:tc>
        <w:tc>
          <w:tcPr>
            <w:tcW w:w="120" w:type="dxa"/>
            <w:vAlign w:val="bottom"/>
          </w:tcPr>
          <w:p>
            <w:pPr>
              <w:spacing w:after="0"/>
              <w:rPr>
                <w:sz w:val="12"/>
                <w:szCs w:val="12"/>
                <w:color w:val="auto"/>
              </w:rPr>
            </w:pPr>
          </w:p>
        </w:tc>
        <w:tc>
          <w:tcPr>
            <w:tcW w:w="72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Bonus</w:t>
            </w:r>
          </w:p>
        </w:tc>
        <w:tc>
          <w:tcPr>
            <w:tcW w:w="520" w:type="dxa"/>
            <w:vAlign w:val="bottom"/>
          </w:tcPr>
          <w:p>
            <w:pPr>
              <w:ind w:left="40"/>
              <w:spacing w:after="0" w:line="145"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160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Other Compensation</w:t>
            </w:r>
          </w:p>
        </w:tc>
        <w:tc>
          <w:tcPr>
            <w:tcW w:w="280" w:type="dxa"/>
            <w:vAlign w:val="bottom"/>
          </w:tcPr>
          <w:p>
            <w:pPr>
              <w:spacing w:after="0"/>
              <w:rPr>
                <w:sz w:val="12"/>
                <w:szCs w:val="12"/>
                <w:color w:val="auto"/>
              </w:rPr>
            </w:pPr>
          </w:p>
        </w:tc>
        <w:tc>
          <w:tcPr>
            <w:tcW w:w="102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rPr>
              <w:t>Total</w:t>
            </w:r>
          </w:p>
        </w:tc>
      </w:tr>
      <w:tr>
        <w:trPr>
          <w:trHeight w:val="195"/>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7"/>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w:t>
            </w:r>
          </w:p>
        </w:tc>
        <w:tc>
          <w:tcPr>
            <w:tcW w:w="180" w:type="dxa"/>
            <w:vAlign w:val="bottom"/>
          </w:tcPr>
          <w:p>
            <w:pPr>
              <w:spacing w:after="0"/>
              <w:rPr>
                <w:sz w:val="16"/>
                <w:szCs w:val="16"/>
                <w:color w:val="auto"/>
              </w:rPr>
            </w:pPr>
          </w:p>
        </w:tc>
        <w:tc>
          <w:tcPr>
            <w:tcW w:w="52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6"/>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w:t>
            </w:r>
          </w:p>
        </w:tc>
        <w:tc>
          <w:tcPr>
            <w:tcW w:w="20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 xml:space="preserve">Compensation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c>
          <w:tcPr>
            <w:tcW w:w="100" w:type="dxa"/>
            <w:vAlign w:val="bottom"/>
          </w:tcPr>
          <w:p>
            <w:pPr>
              <w:spacing w:after="0"/>
              <w:rPr>
                <w:sz w:val="16"/>
                <w:szCs w:val="16"/>
                <w:color w:val="auto"/>
              </w:rPr>
            </w:pPr>
          </w:p>
        </w:tc>
      </w:tr>
      <w:tr>
        <w:trPr>
          <w:trHeight w:val="198"/>
        </w:trPr>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Curtis C. Griffith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$402,796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47,790</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792"/>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64,153</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514,739</w:t>
            </w:r>
          </w:p>
        </w:tc>
      </w:tr>
      <w:tr>
        <w:trPr>
          <w:trHeight w:val="203"/>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Chairman of the Board and</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Chief Executive Officer</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260" w:type="dxa"/>
            <w:vAlign w:val="bottom"/>
            <w:gridSpan w:val="2"/>
          </w:tcPr>
          <w:p>
            <w:pPr>
              <w:spacing w:after="0"/>
              <w:rPr>
                <w:sz w:val="20"/>
                <w:szCs w:val="20"/>
                <w:color w:val="auto"/>
              </w:rPr>
            </w:pPr>
            <w:r>
              <w:rPr>
                <w:rFonts w:ascii="Arial" w:cs="Arial" w:eastAsia="Arial" w:hAnsi="Arial"/>
                <w:sz w:val="17"/>
                <w:szCs w:val="17"/>
                <w:b w:val="1"/>
                <w:bCs w:val="1"/>
                <w:color w:val="auto"/>
              </w:rPr>
              <w:t>Cory T. Newsom</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1040" w:type="dxa"/>
            <w:vAlign w:val="bottom"/>
            <w:gridSpan w:val="3"/>
          </w:tcPr>
          <w:p>
            <w:pPr>
              <w:jc w:val="center"/>
              <w:spacing w:after="0"/>
              <w:rPr>
                <w:sz w:val="20"/>
                <w:szCs w:val="20"/>
                <w:color w:val="auto"/>
              </w:rPr>
            </w:pPr>
            <w:r>
              <w:rPr>
                <w:rFonts w:ascii="Arial" w:cs="Arial" w:eastAsia="Arial" w:hAnsi="Arial"/>
                <w:sz w:val="17"/>
                <w:szCs w:val="17"/>
                <w:color w:val="auto"/>
                <w:w w:val="90"/>
              </w:rPr>
              <w:t>$766,956</w:t>
            </w:r>
          </w:p>
        </w:tc>
        <w:tc>
          <w:tcPr>
            <w:tcW w:w="840" w:type="dxa"/>
            <w:vAlign w:val="bottom"/>
            <w:gridSpan w:val="3"/>
          </w:tcPr>
          <w:p>
            <w:pPr>
              <w:jc w:val="right"/>
              <w:ind w:right="180"/>
              <w:spacing w:after="0"/>
              <w:rPr>
                <w:sz w:val="20"/>
                <w:szCs w:val="20"/>
                <w:color w:val="auto"/>
              </w:rPr>
            </w:pPr>
            <w:r>
              <w:rPr>
                <w:rFonts w:ascii="Arial" w:cs="Arial" w:eastAsia="Arial" w:hAnsi="Arial"/>
                <w:sz w:val="17"/>
                <w:szCs w:val="17"/>
                <w:color w:val="auto"/>
                <w:w w:val="90"/>
              </w:rPr>
              <w:t>$104,215</w:t>
            </w:r>
          </w:p>
        </w:tc>
        <w:tc>
          <w:tcPr>
            <w:tcW w:w="52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792"/>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48"/>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260" w:type="dxa"/>
            <w:vAlign w:val="bottom"/>
            <w:gridSpan w:val="2"/>
          </w:tcPr>
          <w:p>
            <w:pPr>
              <w:ind w:left="180"/>
              <w:spacing w:after="0"/>
              <w:rPr>
                <w:sz w:val="20"/>
                <w:szCs w:val="20"/>
                <w:color w:val="auto"/>
              </w:rPr>
            </w:pPr>
            <w:r>
              <w:rPr>
                <w:rFonts w:ascii="Arial" w:cs="Arial" w:eastAsia="Arial" w:hAnsi="Arial"/>
                <w:sz w:val="17"/>
                <w:szCs w:val="17"/>
                <w:color w:val="auto"/>
              </w:rPr>
              <w:t>President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Kelly Deterding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$538,224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12,370</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792"/>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11,630</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562,224</w:t>
            </w:r>
          </w:p>
        </w:tc>
      </w:tr>
      <w:tr>
        <w:trPr>
          <w:trHeight w:val="203"/>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President of Windmark</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Insurance</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60" w:right="220" w:hanging="355"/>
        <w:spacing w:after="0" w:line="273"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shown represent the payment of annual bonuses for 2018. For a description of annual bonuses for 2018, see “Narrative Disclosures—Annual Cash Bonus” below.</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109" w:lineRule="exact"/>
        <w:rPr>
          <w:sz w:val="20"/>
          <w:szCs w:val="20"/>
          <w:color w:val="auto"/>
        </w:rPr>
      </w:pPr>
    </w:p>
    <w:p>
      <w:pPr>
        <w:ind w:left="360" w:right="120" w:hanging="355"/>
        <w:spacing w:after="0" w:line="273" w:lineRule="auto"/>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in this column represent the amount of interest earned on vested contributions under the Nonqualified Deferred Compensation Plan that exceeds 120% of the applicable federal long-term rate.</w:t>
      </w:r>
    </w:p>
    <w:p>
      <w:pPr>
        <w:spacing w:after="0" w:line="65" w:lineRule="exact"/>
        <w:rPr>
          <w:rFonts w:ascii="Arial" w:cs="Arial" w:eastAsia="Arial" w:hAnsi="Arial"/>
          <w:sz w:val="14"/>
          <w:szCs w:val="14"/>
          <w:color w:val="auto"/>
        </w:rPr>
      </w:pPr>
    </w:p>
    <w:p>
      <w:pPr>
        <w:ind w:left="360" w:right="220" w:hanging="355"/>
        <w:spacing w:after="0" w:line="273" w:lineRule="auto"/>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provide our NEOs with other benefits that we believe are reasonable, competitive and consistent with our overall executive compensation structure. The amounts in this column for fiscal year 2018 include:</w:t>
      </w:r>
    </w:p>
    <w:p>
      <w:pPr>
        <w:spacing w:after="0" w:line="65" w:lineRule="exact"/>
        <w:rPr>
          <w:rFonts w:ascii="Arial" w:cs="Arial" w:eastAsia="Arial" w:hAnsi="Arial"/>
          <w:sz w:val="14"/>
          <w:szCs w:val="14"/>
          <w:color w:val="auto"/>
        </w:rPr>
      </w:pPr>
    </w:p>
    <w:p>
      <w:pPr>
        <w:ind w:left="700" w:right="440" w:hanging="344"/>
        <w:spacing w:after="0" w:line="273" w:lineRule="auto"/>
        <w:tabs>
          <w:tab w:leader="none" w:pos="700" w:val="left"/>
        </w:tabs>
        <w:numPr>
          <w:ilvl w:val="1"/>
          <w:numId w:val="60"/>
        </w:numPr>
        <w:rPr>
          <w:rFonts w:ascii="Arial" w:cs="Arial" w:eastAsia="Arial" w:hAnsi="Arial"/>
          <w:sz w:val="14"/>
          <w:szCs w:val="14"/>
          <w:color w:val="auto"/>
        </w:rPr>
      </w:pPr>
      <w:r>
        <w:rPr>
          <w:rFonts w:ascii="Arial" w:cs="Arial" w:eastAsia="Arial" w:hAnsi="Arial"/>
          <w:sz w:val="14"/>
          <w:szCs w:val="14"/>
          <w:color w:val="auto"/>
        </w:rPr>
        <w:t>For Mr. Griffith: director fees of $28,913, vehicle expenses of $13,663, Company-paid health incentives of $45, a contribution under our ESOP of $14,575, and Company-paid premiums for group insurance of $6,957.</w:t>
      </w:r>
    </w:p>
    <w:p>
      <w:pPr>
        <w:spacing w:after="0" w:line="65" w:lineRule="exact"/>
        <w:rPr>
          <w:rFonts w:ascii="Arial" w:cs="Arial" w:eastAsia="Arial" w:hAnsi="Arial"/>
          <w:sz w:val="14"/>
          <w:szCs w:val="14"/>
          <w:color w:val="auto"/>
        </w:rPr>
      </w:pPr>
    </w:p>
    <w:p>
      <w:pPr>
        <w:ind w:left="700" w:right="160" w:hanging="344"/>
        <w:spacing w:after="0" w:line="273" w:lineRule="auto"/>
        <w:tabs>
          <w:tab w:leader="none" w:pos="700" w:val="left"/>
        </w:tabs>
        <w:numPr>
          <w:ilvl w:val="1"/>
          <w:numId w:val="60"/>
        </w:numPr>
        <w:rPr>
          <w:rFonts w:ascii="Arial" w:cs="Arial" w:eastAsia="Arial" w:hAnsi="Arial"/>
          <w:sz w:val="14"/>
          <w:szCs w:val="14"/>
          <w:color w:val="auto"/>
        </w:rPr>
      </w:pPr>
      <w:r>
        <w:rPr>
          <w:rFonts w:ascii="Arial" w:cs="Arial" w:eastAsia="Arial" w:hAnsi="Arial"/>
          <w:sz w:val="14"/>
          <w:szCs w:val="14"/>
          <w:color w:val="auto"/>
        </w:rPr>
        <w:t>For Mr. Newsom: director fees of $28,913, vehicle expenses of $6,469, a contribution under our ESOP of $14,575, Company-paid premiums for group insurance of $3,483, and home security and country-club dues of $5,270.</w:t>
      </w:r>
    </w:p>
    <w:p>
      <w:pPr>
        <w:spacing w:after="0" w:line="65" w:lineRule="exact"/>
        <w:rPr>
          <w:rFonts w:ascii="Arial" w:cs="Arial" w:eastAsia="Arial" w:hAnsi="Arial"/>
          <w:sz w:val="14"/>
          <w:szCs w:val="14"/>
          <w:color w:val="auto"/>
        </w:rPr>
      </w:pPr>
    </w:p>
    <w:p>
      <w:pPr>
        <w:ind w:left="700" w:hanging="344"/>
        <w:spacing w:after="0"/>
        <w:tabs>
          <w:tab w:leader="none" w:pos="700" w:val="left"/>
        </w:tabs>
        <w:numPr>
          <w:ilvl w:val="1"/>
          <w:numId w:val="60"/>
        </w:numPr>
        <w:rPr>
          <w:rFonts w:ascii="Arial" w:cs="Arial" w:eastAsia="Arial" w:hAnsi="Arial"/>
          <w:sz w:val="13"/>
          <w:szCs w:val="13"/>
          <w:color w:val="auto"/>
        </w:rPr>
      </w:pPr>
      <w:r>
        <w:rPr>
          <w:rFonts w:ascii="Arial" w:cs="Arial" w:eastAsia="Arial" w:hAnsi="Arial"/>
          <w:sz w:val="13"/>
          <w:szCs w:val="13"/>
          <w:color w:val="auto"/>
        </w:rPr>
        <w:t>For Mr. Deterding: a contribution under our ESOP of $5,618, Company-paid premiums for group insurance of $1,081, and home security and country-</w:t>
      </w:r>
    </w:p>
    <w:p>
      <w:pPr>
        <w:spacing w:after="0" w:line="25" w:lineRule="exact"/>
        <w:rPr>
          <w:sz w:val="20"/>
          <w:szCs w:val="20"/>
          <w:color w:val="auto"/>
        </w:rPr>
      </w:pPr>
    </w:p>
    <w:p>
      <w:pPr>
        <w:ind w:left="700"/>
        <w:spacing w:after="0"/>
        <w:tabs>
          <w:tab w:leader="none" w:pos="5380" w:val="left"/>
        </w:tabs>
        <w:rPr>
          <w:sz w:val="20"/>
          <w:szCs w:val="20"/>
          <w:color w:val="auto"/>
        </w:rPr>
      </w:pPr>
      <w:r>
        <w:rPr>
          <w:rFonts w:ascii="Arial" w:cs="Arial" w:eastAsia="Arial" w:hAnsi="Arial"/>
          <w:sz w:val="14"/>
          <w:szCs w:val="14"/>
          <w:color w:val="auto"/>
        </w:rPr>
        <w:t>club dues of $4,932, and premiums on split-dollar life insurance benfits of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9086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  Certain 2018 compensation data is in the process of being finalized and will be included in a subsequent filing.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right="480" w:firstLine="360"/>
        <w:spacing w:after="0" w:line="263" w:lineRule="auto"/>
        <w:rPr>
          <w:sz w:val="20"/>
          <w:szCs w:val="20"/>
          <w:color w:val="auto"/>
        </w:rPr>
      </w:pPr>
      <w:r>
        <w:rPr>
          <w:rFonts w:ascii="Arial" w:cs="Arial" w:eastAsia="Arial" w:hAnsi="Arial"/>
          <w:sz w:val="18"/>
          <w:szCs w:val="18"/>
          <w:color w:val="auto"/>
        </w:rPr>
        <w:t>The following table summarizes outstanding and cash-settled stock appreciation rights, or SARs, held by our NEOs as of December 31, 2018. See “Narrative Disclosures—SARs” for more information on such SARs prior to and following the consummation of this offering.</w:t>
      </w:r>
    </w:p>
    <w:tbl>
      <w:tblPr>
        <w:tblLayout w:type="fixed"/>
        <w:tblInd w:w="0" w:type="dxa"/>
        <w:tblCellMar>
          <w:top w:w="0" w:type="dxa"/>
          <w:left w:w="0" w:type="dxa"/>
          <w:bottom w:w="0" w:type="dxa"/>
          <w:right w:w="0" w:type="dxa"/>
        </w:tblCellMar>
      </w:tblPr>
      <w:tr>
        <w:trPr>
          <w:trHeight w:val="211"/>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28"/>
              <w:spacing w:after="0" w:line="211" w:lineRule="exact"/>
              <w:rPr>
                <w:sz w:val="20"/>
                <w:szCs w:val="20"/>
                <w:color w:val="auto"/>
              </w:rPr>
            </w:pPr>
            <w:r>
              <w:rPr>
                <w:rFonts w:ascii="Arial" w:cs="Arial" w:eastAsia="Arial" w:hAnsi="Arial"/>
                <w:sz w:val="14"/>
                <w:szCs w:val="14"/>
                <w:b w:val="1"/>
                <w:bCs w:val="1"/>
                <w:color w:val="auto"/>
                <w:w w:val="90"/>
              </w:rPr>
              <w:t>Option Awards</w:t>
            </w:r>
            <w:r>
              <w:rPr>
                <w:rFonts w:ascii="Arial" w:cs="Arial" w:eastAsia="Arial" w:hAnsi="Arial"/>
                <w:sz w:val="24"/>
                <w:szCs w:val="24"/>
                <w:b w:val="1"/>
                <w:bCs w:val="1"/>
                <w:color w:val="auto"/>
                <w:w w:val="90"/>
                <w:vertAlign w:val="superscript"/>
              </w:rPr>
              <w:t>(1)</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08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20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SARs,</w:t>
            </w:r>
          </w:p>
        </w:tc>
        <w:tc>
          <w:tcPr>
            <w:tcW w:w="20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SARs,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0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Strike Price ($)</w:t>
            </w:r>
          </w:p>
        </w:tc>
        <w:tc>
          <w:tcPr>
            <w:tcW w:w="200" w:type="dxa"/>
            <w:vAlign w:val="bottom"/>
          </w:tcPr>
          <w:p>
            <w:pPr>
              <w:spacing w:after="0"/>
              <w:rPr>
                <w:sz w:val="15"/>
                <w:szCs w:val="15"/>
                <w:color w:val="auto"/>
              </w:rPr>
            </w:pP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Expiration Date</w:t>
            </w:r>
          </w:p>
        </w:tc>
        <w:tc>
          <w:tcPr>
            <w:tcW w:w="100" w:type="dxa"/>
            <w:vAlign w:val="bottom"/>
          </w:tcPr>
          <w:p>
            <w:pPr>
              <w:spacing w:after="0"/>
              <w:rPr>
                <w:sz w:val="15"/>
                <w:szCs w:val="15"/>
                <w:color w:val="auto"/>
              </w:rPr>
            </w:pPr>
          </w:p>
        </w:tc>
      </w:tr>
      <w:tr>
        <w:trPr>
          <w:trHeight w:val="243"/>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Curtis C. Griffith</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780" w:type="dxa"/>
            <w:vAlign w:val="bottom"/>
            <w:gridSpan w:val="2"/>
          </w:tcPr>
          <w:p>
            <w:pPr>
              <w:spacing w:after="0"/>
              <w:rPr>
                <w:sz w:val="20"/>
                <w:szCs w:val="20"/>
                <w:color w:val="auto"/>
              </w:rPr>
            </w:pPr>
            <w:r>
              <w:rPr>
                <w:rFonts w:ascii="Arial" w:cs="Arial" w:eastAsia="Arial" w:hAnsi="Arial"/>
                <w:sz w:val="18"/>
                <w:szCs w:val="18"/>
                <w:color w:val="auto"/>
              </w:rPr>
              <w:t>Cory T. Newsom</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0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Deterding</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9086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117"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annual bonus is tied to the Company’s performance. Historically, each employee is paid a percentage of their salary as an annual bonus. The amount is determined based on how the Company’s actual results compare to the annual budget. The bonus is designed to supplement base salary and align the executive’s interest with those of our shareholders by linking the Company’s performance to the bonus. The annual bonus is usually paid in December.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Cash-Settled Stock Appreciation Rights</w:t>
      </w:r>
    </w:p>
    <w:p>
      <w:pPr>
        <w:spacing w:after="0" w:line="117"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We have historically offered cash-settled SARs to our NEOs that represent a cash-settled award equal to the spread between the fair market value of our common stock on the date of grant and the fair market value of our common stock on the date the award is settled for cash. The awards typically have a 5-year graded or cliff vesting schedule.</w:t>
      </w:r>
    </w:p>
    <w:p>
      <w:pPr>
        <w:spacing w:after="0" w:line="57"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We believe that management should have a significant financial stake in our Company in order to align their interests with the interests of our long-term shareholders. Therefore, in connection with this offering, we intend to convert the value of both the vested and unvested SARs into reciprocal vested and unvested stock options to acquire common stock. These stock options will be economically equivalent to the SARs and have the same expiration date. The stock options will be compliant with Section 409A of the Code and will be settled only in our common stock upon the earliest of the following events: (i) the NEO’s death, (ii) the NEO’s disability, (iii) a change in control of our Company, (iv) the NEO’s termination of employment with our Company, and (v) the expiration of the stock option.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Long-Term Incentive Plan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has adopted the South Plains Financial, Inc. 2019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our 2019 Plan is to attract and retain employees by providing them with additional incentives,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 the success of our company’s business.</w:t>
      </w:r>
    </w:p>
    <w:p>
      <w:pPr>
        <w:spacing w:after="0" w:line="62"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Our board of directors or one or more committees appointed by our board of directors will administer the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w:t>
      </w:r>
    </w:p>
    <w:p>
      <w:pPr>
        <w:spacing w:after="0" w:line="62" w:lineRule="exact"/>
        <w:rPr>
          <w:sz w:val="20"/>
          <w:szCs w:val="20"/>
          <w:color w:val="auto"/>
        </w:rPr>
      </w:pPr>
    </w:p>
    <w:p>
      <w:pPr>
        <w:ind w:right="20" w:firstLine="360"/>
        <w:spacing w:after="0" w:line="263"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Persons eligible to receive awards under the 2019 Plan include our officers, employees, consultants and members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Our board of directors or one or more committees appointed by our board of directors will determine from time to time the participants to whom awards will be granted.</w:t>
      </w:r>
    </w:p>
    <w:p>
      <w:pPr>
        <w:spacing w:after="0" w:line="76"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Authorized Shares; Limits on Awards</w:t>
      </w:r>
      <w:r>
        <w:rPr>
          <w:rFonts w:ascii="Arial" w:cs="Arial" w:eastAsia="Arial" w:hAnsi="Arial"/>
          <w:sz w:val="18"/>
          <w:szCs w:val="18"/>
          <w:color w:val="auto"/>
        </w:rPr>
        <w:t>. The maximum number of common shares that may be issued or transferred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under the 2019 Plan equals 2,300,000,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 of directors.</w:t>
      </w:r>
    </w:p>
    <w:p>
      <w:pPr>
        <w:spacing w:after="0" w:line="84"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b w:val="1"/>
          <w:bCs w:val="1"/>
          <w:i w:val="1"/>
          <w:iCs w:val="1"/>
          <w:color w:val="auto"/>
        </w:rPr>
        <w:t>Adjustments or Changes in Capitalization</w:t>
      </w:r>
      <w:r>
        <w:rPr>
          <w:rFonts w:ascii="Arial" w:cs="Arial" w:eastAsia="Arial" w:hAnsi="Arial"/>
          <w:sz w:val="16"/>
          <w:szCs w:val="16"/>
          <w:color w:val="auto"/>
        </w:rPr>
        <w:t>. In the event of any change in the outstanding common shares by reason of a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of directors deems necessary or appropriate.</w:t>
      </w:r>
    </w:p>
    <w:p>
      <w:pPr>
        <w:spacing w:after="0" w:line="53"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b w:val="1"/>
          <w:bCs w:val="1"/>
          <w:i w:val="1"/>
          <w:iCs w:val="1"/>
          <w:color w:val="auto"/>
        </w:rPr>
        <w:t>Incentive Awards</w:t>
      </w:r>
      <w:r>
        <w:rPr>
          <w:rFonts w:ascii="Arial" w:cs="Arial" w:eastAsia="Arial" w:hAnsi="Arial"/>
          <w:sz w:val="18"/>
          <w:szCs w:val="18"/>
          <w:color w:val="auto"/>
        </w:rPr>
        <w:t>. The 2019 Plan authorizes stock options, SARs, restricted stock, restricted stock units,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8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Stock Option</w:t>
      </w:r>
      <w:r>
        <w:rPr>
          <w:rFonts w:ascii="Arial" w:cs="Arial" w:eastAsia="Arial" w:hAnsi="Arial"/>
          <w:sz w:val="18"/>
          <w:szCs w:val="18"/>
          <w:color w:val="auto"/>
        </w:rPr>
        <w:t>. A stock option is the right to purchase common shares at a future date at a specified price per share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but no less than, the fair market value of a share on the date of 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Code and the 2019 Plan. Full payment for shares purchased on the exercise of any option must be made at the time of such exercise in a manner approved by our board of directors.</w:t>
      </w:r>
    </w:p>
    <w:p>
      <w:pPr>
        <w:spacing w:after="0" w:line="8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 SAR is the right to receive payment of an amount equal to the excess of the fair market value of a common share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exercise of the SAR over the base price of the SAR. The base price will be established by our board of directors at the time of grant of the SAR but will not be less than the fair market value of a share on the date of grant. SARs may be granted in connection with other awards or independently.</w:t>
      </w:r>
    </w:p>
    <w:p>
      <w:pPr>
        <w:spacing w:after="0" w:line="7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restricted stock award is typically for a fixed number of common shares subject to restrictions.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specifies the price, if any, the participant must pay for such shares and the restrictions (which may include, for example, continued service and/or performance standards) imposed on such shares. A stock bonus may be granted by our board of directors to any eligible person to reward exceptional or special services, contributions or achievements in the manner and on such terms and conditions (including any restrictions on such shares) as determined from time to time by our board of directors. The number of shares so awarded shall be determined by our board of directors and may be granted independently or in lieu of a cash bonus.</w:t>
      </w:r>
    </w:p>
    <w:p>
      <w:pPr>
        <w:spacing w:after="0" w:line="56"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is similar to a SAR except that it entitles the recipient to receive an amount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fair market value of a common share.</w:t>
      </w:r>
    </w:p>
    <w:p>
      <w:pPr>
        <w:spacing w:after="0" w:line="62" w:lineRule="exact"/>
        <w:rPr>
          <w:sz w:val="20"/>
          <w:szCs w:val="20"/>
          <w:color w:val="auto"/>
        </w:rPr>
      </w:pPr>
    </w:p>
    <w:p>
      <w:pPr>
        <w:ind w:right="180" w:firstLine="360"/>
        <w:spacing w:after="0" w:line="263" w:lineRule="auto"/>
        <w:rPr>
          <w:sz w:val="20"/>
          <w:szCs w:val="20"/>
          <w:color w:val="auto"/>
        </w:rPr>
      </w:pPr>
      <w:r>
        <w:rPr>
          <w:rFonts w:ascii="Arial" w:cs="Arial" w:eastAsia="Arial" w:hAnsi="Arial"/>
          <w:sz w:val="18"/>
          <w:szCs w:val="18"/>
          <w:i w:val="1"/>
          <w:iCs w:val="1"/>
          <w:color w:val="auto"/>
        </w:rPr>
        <w:t>Performance-Based Awards</w:t>
      </w:r>
      <w:r>
        <w:rPr>
          <w:rFonts w:ascii="Arial" w:cs="Arial" w:eastAsia="Arial" w:hAnsi="Arial"/>
          <w:sz w:val="18"/>
          <w:szCs w:val="18"/>
          <w:color w:val="auto"/>
        </w:rPr>
        <w:t>. Our board of directors may designate any award, the exercisability or settlement of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achievement of performance conditions, as a performance-based award. The performance goals set forth in the 2019 Plan are such goals as established by our board of directors or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committee of the board of directors in connection with an award and will based upon one or more criteria. Our board of directors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w:t>
      </w:r>
    </w:p>
    <w:p>
      <w:pPr>
        <w:spacing w:after="0" w:line="58" w:lineRule="exact"/>
        <w:rPr>
          <w:sz w:val="20"/>
          <w:szCs w:val="20"/>
          <w:color w:val="auto"/>
        </w:rPr>
      </w:pPr>
    </w:p>
    <w:p>
      <w:pPr>
        <w:ind w:right="160" w:firstLine="360"/>
        <w:spacing w:after="0" w:line="296" w:lineRule="auto"/>
        <w:rPr>
          <w:sz w:val="20"/>
          <w:szCs w:val="20"/>
          <w:color w:val="auto"/>
        </w:rPr>
      </w:pPr>
      <w:r>
        <w:rPr>
          <w:rFonts w:ascii="Arial" w:cs="Arial" w:eastAsia="Arial" w:hAnsi="Arial"/>
          <w:sz w:val="16"/>
          <w:szCs w:val="16"/>
          <w:b w:val="1"/>
          <w:bCs w:val="1"/>
          <w:i w:val="1"/>
          <w:iCs w:val="1"/>
          <w:color w:val="auto"/>
        </w:rPr>
        <w:t>Acceleration of Awards; Possible Early Termination of Awards</w:t>
      </w:r>
      <w:r>
        <w:rPr>
          <w:rFonts w:ascii="Arial" w:cs="Arial" w:eastAsia="Arial" w:hAnsi="Arial"/>
          <w:sz w:val="16"/>
          <w:szCs w:val="16"/>
          <w:color w:val="auto"/>
        </w:rPr>
        <w:t>. Upon a change in control of our company,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spacing w:after="0" w:line="53"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Subject to certain exceptions, awards under the 2019 Plan are not transferable by the recipient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will or the laws of descent and distribution and are generally exercisable, during the recipient’s lifetime, only by him or her.</w:t>
      </w:r>
    </w:p>
    <w:p>
      <w:pPr>
        <w:spacing w:after="0" w:line="1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b w:val="1"/>
          <w:bCs w:val="1"/>
          <w:i w:val="1"/>
          <w:iCs w:val="1"/>
          <w:color w:val="auto"/>
        </w:rPr>
        <w:t>Termination of or Changes to the 2019 Plan</w:t>
      </w:r>
      <w:r>
        <w:rPr>
          <w:rFonts w:ascii="Arial" w:cs="Arial" w:eastAsia="Arial" w:hAnsi="Arial"/>
          <w:sz w:val="18"/>
          <w:szCs w:val="18"/>
          <w:color w:val="auto"/>
        </w:rPr>
        <w:t>. Our board of directors may amend or terminate the 2019 Plan at any time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manner. Unless required by applicable law or listing agency rule, stockholder approval for any amendment will not be required. Unless previously terminated by our board of directors, the 2019 Plan will terminate on January 16, 2029. Generally speaking, outstanding awards may be amended, subject, however, to the consent of the holder if the amendment materially and adversely affects the holder.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Federal Income Tax Treatment of Awards under the 2019 Plan</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Federal income tax consequences (subject to change) relating to awards under the 2019 Plan are summarized in the following discussion.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7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For NSOs, the Company is generally entitled to deduct (and the optionee recognizes taxable income in) an amount equal to the difference between the option exercise price and the fair market value of the shares at the time of exercise. For ISOs, our company is generally not entitled to a deduction nor does the participant recognize income at the time of exercise. The current federal income tax consequences of other awards authorized under the 2019 Plan generally follow certain basic 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Our company will generally have a corresponding deduction at the time the participant recognizes income. However, as for those awards subject to ISO treatment, our company would generally have no corresponding compensation deduction.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17"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The Company has established an employee stock ownership and 401(k) plan for the benefit of all employees who meet the eligibility requirements of the ESOP (the plan generally covers all employees who have completed one month of service). Prior to this offering, the Company contributed cash annually into the ESOP portion of the plan, which was used to buy new shares of common stock of South Plains Financial or to service ESOP debt. The Company’s contributions in excess of debt service requirements were completely discretionary. Shares in the ESOP were allocated to individual employee accounts. Employees are fully vested in amounts contributed by the Company on their behalf after six years. When employment is terminated, employees are eligible to receive cash or, effective as of May 31, 2018, a distribution of stock, based on the value of their ESOP account.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In connection with this offering, the ESOP will be amended to address our S Corporation revocation and our status as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ind w:right="60" w:firstLine="360"/>
        <w:spacing w:after="0" w:line="301" w:lineRule="auto"/>
        <w:rPr>
          <w:sz w:val="20"/>
          <w:szCs w:val="20"/>
          <w:color w:val="auto"/>
        </w:rPr>
      </w:pPr>
      <w:r>
        <w:rPr>
          <w:rFonts w:ascii="Arial" w:cs="Arial" w:eastAsia="Arial" w:hAnsi="Arial"/>
          <w:sz w:val="16"/>
          <w:szCs w:val="16"/>
          <w:b w:val="1"/>
          <w:bCs w:val="1"/>
          <w:i w:val="1"/>
          <w:iCs w:val="1"/>
          <w:color w:val="auto"/>
        </w:rPr>
        <w:t>Nonqualified Deferred Compensation Plan</w:t>
      </w:r>
      <w:r>
        <w:rPr>
          <w:rFonts w:ascii="Arial" w:cs="Arial" w:eastAsia="Arial" w:hAnsi="Arial"/>
          <w:sz w:val="16"/>
          <w:szCs w:val="16"/>
          <w:color w:val="auto"/>
        </w:rPr>
        <w:t>. We sponsor a non-qualified, non-contributory deferred compensation plan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of certain employees of the Company. The primary purpose of the plan is to provide additional compensation to participants upon termination of employment with the Company, death, or attainment of retirement age. The amount, timing, and form of payment is specified in the adoption agreement executed by the Company and the participant. The plan is unfunded.</w:t>
      </w:r>
    </w:p>
    <w:p>
      <w:pPr>
        <w:spacing w:after="0" w:line="49" w:lineRule="exact"/>
        <w:rPr>
          <w:sz w:val="20"/>
          <w:szCs w:val="20"/>
          <w:color w:val="auto"/>
        </w:rPr>
      </w:pPr>
    </w:p>
    <w:p>
      <w:pPr>
        <w:jc w:val="both"/>
        <w:ind w:right="80" w:firstLine="360"/>
        <w:spacing w:after="0" w:line="279" w:lineRule="auto"/>
        <w:rPr>
          <w:sz w:val="20"/>
          <w:szCs w:val="20"/>
          <w:color w:val="auto"/>
        </w:rPr>
      </w:pPr>
      <w:r>
        <w:rPr>
          <w:rFonts w:ascii="Arial" w:cs="Arial" w:eastAsia="Arial" w:hAnsi="Arial"/>
          <w:sz w:val="17"/>
          <w:szCs w:val="17"/>
          <w:color w:val="auto"/>
        </w:rPr>
        <w:t>Effective April 9, 2008, the Company entered into an agreement under the plan with Mr. Newsom. Mr. Newsom’s agreement provides that he will receive a benefit based on the earliest payment event to occur of the following: achievement of retirement age (defined as age 58), separation from service, or disability. The amount, timing, and form of payment depends on the payment event. Mr. Newsom is 100% vested in his benefit and his benefit will be paid in cash only.</w:t>
      </w:r>
    </w:p>
    <w:p>
      <w:pPr>
        <w:spacing w:after="0" w:line="63"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b w:val="1"/>
          <w:bCs w:val="1"/>
          <w:i w:val="1"/>
          <w:iCs w:val="1"/>
          <w:color w:val="auto"/>
        </w:rPr>
        <w:t>Split Dollar Life Insurance Benefits</w:t>
      </w:r>
      <w:r>
        <w:rPr>
          <w:rFonts w:ascii="Arial" w:cs="Arial" w:eastAsia="Arial" w:hAnsi="Arial"/>
          <w:sz w:val="16"/>
          <w:szCs w:val="16"/>
          <w:color w:val="auto"/>
        </w:rPr>
        <w:t>. The Company has purchased life insurance policies on Mr. Newsom and has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Joint Beneficial Designation Agreements with him regarding such policies. The agreements provide certain death benefits to Mr. Newsom’s beneficiaries upon his death. If Mr. Newsom’s death occurs: (i) while employed by the Company; (ii) after retirement with the Company; (iii) after a change in control; or (iv) or after a determination of disability, he is entitled to a certain percentage of the value of the policies less the cash value of the policies. Mr. Newsom is 100% vested in his benefits under the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Generally, compensation paid to our non-employee directors for the fiscal year 2018 was as follows:</w:t>
      </w:r>
    </w:p>
    <w:p>
      <w:pPr>
        <w:spacing w:after="0" w:line="117" w:lineRule="exact"/>
        <w:rPr>
          <w:sz w:val="20"/>
          <w:szCs w:val="20"/>
          <w:color w:val="auto"/>
        </w:rPr>
      </w:pPr>
    </w:p>
    <w:p>
      <w:pPr>
        <w:ind w:left="700" w:hanging="344"/>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Noe G. Valles received $52,913 in total compensation in the form of $43,500 for board meeting fees, $7,060 in the form of a gift, and $2,353 in tax gross-ups.</w:t>
      </w:r>
    </w:p>
    <w:p>
      <w:pPr>
        <w:spacing w:after="0" w:line="62" w:lineRule="exact"/>
        <w:rPr>
          <w:rFonts w:ascii="Arial" w:cs="Arial" w:eastAsia="Arial" w:hAnsi="Arial"/>
          <w:sz w:val="18"/>
          <w:szCs w:val="18"/>
          <w:color w:val="auto"/>
        </w:rPr>
      </w:pPr>
    </w:p>
    <w:p>
      <w:pPr>
        <w:ind w:left="700" w:right="60" w:hanging="344"/>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Cynthia B. Keith received $53,169 in total compensation in the form of $43,500 in board meeting fees, $7,252 in the form of a gift, and $2,417 in tax gross-ups.</w:t>
      </w:r>
    </w:p>
    <w:p>
      <w:pPr>
        <w:spacing w:after="0" w:line="62" w:lineRule="exact"/>
        <w:rPr>
          <w:rFonts w:ascii="Arial" w:cs="Arial" w:eastAsia="Arial" w:hAnsi="Arial"/>
          <w:sz w:val="18"/>
          <w:szCs w:val="18"/>
          <w:color w:val="auto"/>
        </w:rPr>
      </w:pPr>
    </w:p>
    <w:p>
      <w:pPr>
        <w:ind w:left="700" w:right="140" w:hanging="344"/>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Richard D. Campbell received $52,913 in total compensation in the form of $43,500 in board meeting fees, $7,060 in the form of a gift, and $2,353 in tax gross-ups.</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Kyle R. Wargo received $52,913 in total compensation in the form of $43,500 in board meeting fees, $7,060 in the form of a gift, and $2,353 in tax gross-ups.</w:t>
      </w:r>
    </w:p>
    <w:p>
      <w:pPr>
        <w:spacing w:after="0" w:line="6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We will be reviewing the non-employee independent director compensation paid by our peers in establishing the appropriate mix and amount of compensation payable to our non-employee independent directors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121" w:lineRule="exact"/>
        <w:rPr>
          <w:sz w:val="20"/>
          <w:szCs w:val="20"/>
          <w:color w:val="auto"/>
        </w:rPr>
      </w:pPr>
    </w:p>
    <w:p>
      <w:pPr>
        <w:ind w:right="40" w:firstLine="360"/>
        <w:spacing w:after="0" w:line="301" w:lineRule="auto"/>
        <w:rPr>
          <w:sz w:val="20"/>
          <w:szCs w:val="20"/>
          <w:color w:val="auto"/>
        </w:rPr>
      </w:pPr>
      <w:r>
        <w:rPr>
          <w:rFonts w:ascii="Arial" w:cs="Arial" w:eastAsia="Arial" w:hAnsi="Arial"/>
          <w:sz w:val="16"/>
          <w:szCs w:val="16"/>
          <w:color w:val="auto"/>
        </w:rPr>
        <w:t>Transactions by us or the Bank with related persons are subject to regulatory requirements and restrictions. These requirements and restrictions include the Affiliates Act and the Federal Reserve’s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4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addition, our board of directors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that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Upon completion of the offering, our Related Person Transactions Policy will be available on our website at www.city.bank.</w:t>
      </w:r>
    </w:p>
    <w:p>
      <w:pPr>
        <w:spacing w:after="0" w:line="78"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In addition to the compensation arrangements with directors and executive officers described in “Executive Compensation” above, the following is a description of each transaction since January 1, 2016, and each proposed transaction in which:</w:t>
      </w:r>
    </w:p>
    <w:p>
      <w:pPr>
        <w:spacing w:after="0" w:line="16" w:lineRule="exact"/>
        <w:rPr>
          <w:sz w:val="20"/>
          <w:szCs w:val="20"/>
          <w:color w:val="auto"/>
        </w:rPr>
      </w:pPr>
    </w:p>
    <w:p>
      <w:pPr>
        <w:ind w:left="700" w:hanging="34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17" w:lineRule="exact"/>
        <w:rPr>
          <w:rFonts w:ascii="Arial" w:cs="Arial" w:eastAsia="Arial" w:hAnsi="Arial"/>
          <w:sz w:val="18"/>
          <w:szCs w:val="18"/>
          <w:color w:val="auto"/>
        </w:rPr>
      </w:pPr>
    </w:p>
    <w:p>
      <w:pPr>
        <w:jc w:val="both"/>
        <w:ind w:left="700" w:right="700" w:hanging="344"/>
        <w:spacing w:after="0" w:line="263"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Representation Agreement</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directors of each of the Company and the Bank. Richard D. Campbell has served as that board representative since 2011. In , 2019, the Company and the Henrys terminated the Stock Purchase Agreement and entered into a Board Representation Agreement that maintained the Henrys’ right to appoint a representative to our board of directors and to the board of directors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Sales of Subordinated Debt Securities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December 2018, we conducted an exchange offering pursuant to which we exchanged existing subordinated debt securities, due 2024, for newly issued ten- and twelve-year subordinated debt securities, due 2028 and 2030, respectively, and sold additional newly issued subordinated debt securities. In this offering, Richard D. Campbell, a director, and his spouse exchanged $250,000 in principal amount of existing subordinated debt securities, due 2024, for $250,000 in principal amount of newly issued debt securities, due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2030. Certain of our directors also participated in the exchange offering in principal amounts less than $120,000 and on the same terms and conditions as offered to other qualified investors. See “Management’s Discussion and Analysis of Financial Condition and Results of Operations—Borrowed Funds” for additional description of the subordinated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11" w:lineRule="exact"/>
        <w:rPr>
          <w:sz w:val="20"/>
          <w:szCs w:val="20"/>
          <w:color w:val="auto"/>
        </w:rPr>
      </w:pPr>
    </w:p>
    <w:p>
      <w:pPr>
        <w:ind w:right="100" w:firstLine="360"/>
        <w:spacing w:after="0" w:line="220" w:lineRule="auto"/>
        <w:rPr>
          <w:sz w:val="20"/>
          <w:szCs w:val="20"/>
          <w:color w:val="auto"/>
        </w:rPr>
      </w:pPr>
      <w:r>
        <w:rPr>
          <w:rFonts w:ascii="Arial" w:cs="Arial" w:eastAsia="Arial" w:hAnsi="Arial"/>
          <w:sz w:val="17"/>
          <w:szCs w:val="17"/>
          <w:color w:val="auto"/>
        </w:rPr>
        <w:t>The Company has purchased office furniture, fixtures and equipment for various bank locations from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Class Solutions, an entity in which Kim Newsom, the wife of Cory T. Newsom, a director and the President of the Company, has a majority ownership interest. Mr. Newsom also owns a minority interest in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Class Solutions. The purchases by the Company totaled approximately $335,000 and $631,000 in the years ended December 31, 2018 and 2017, respectively. All purchases from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Class Solutions received prior approval of the board of directors of the Company,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Following the completion of the offering, all related party transactions will be reviewed and approved in accordance with our Related Person Transaction Policy.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of directors in accordance with the Bank’s regulatory requirements.</w:t>
      </w:r>
    </w:p>
    <w:p>
      <w:pPr>
        <w:spacing w:after="0" w:line="70" w:lineRule="exact"/>
        <w:rPr>
          <w:sz w:val="20"/>
          <w:szCs w:val="20"/>
          <w:color w:val="auto"/>
        </w:rPr>
      </w:pPr>
    </w:p>
    <w:p>
      <w:pPr>
        <w:ind w:left="360" w:right="220"/>
        <w:spacing w:after="0" w:line="361" w:lineRule="auto"/>
        <w:rPr>
          <w:sz w:val="20"/>
          <w:szCs w:val="20"/>
          <w:color w:val="auto"/>
        </w:rPr>
      </w:pPr>
      <w:r>
        <w:rPr>
          <w:rFonts w:ascii="Arial" w:cs="Arial" w:eastAsia="Arial" w:hAnsi="Arial"/>
          <w:sz w:val="16"/>
          <w:szCs w:val="16"/>
          <w:color w:val="auto"/>
        </w:rPr>
        <w:t>Cory T. Newsom, our president, has no familial relationship with Mikella D. Newsom, our Chief Risk Officer and Secretary. As of the date of this prospectus, no related party loans were categorized as nonaccrual, past due, restructured or potential</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problem loans. We expect to continue to enter into transactions in the ordinary course of business on similar terms with our officers, directors and principal shareholders, as well as their immediate family members and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360"/>
        <w:spacing w:after="0"/>
        <w:tabs>
          <w:tab w:leader="none" w:pos="7640" w:val="left"/>
        </w:tabs>
        <w:rPr>
          <w:sz w:val="20"/>
          <w:szCs w:val="20"/>
          <w:color w:val="auto"/>
        </w:rPr>
      </w:pPr>
      <w:r>
        <w:rPr>
          <w:rFonts w:ascii="Arial" w:cs="Arial" w:eastAsia="Arial" w:hAnsi="Arial"/>
          <w:sz w:val="18"/>
          <w:szCs w:val="18"/>
          <w:color w:val="auto"/>
        </w:rPr>
        <w:t>At our request, the underwriters have reserved for sale, at the initial public offering price, up to</w:t>
      </w:r>
      <w:r>
        <w:rPr>
          <w:sz w:val="20"/>
          <w:szCs w:val="20"/>
          <w:color w:val="auto"/>
        </w:rPr>
        <w:tab/>
      </w:r>
      <w:r>
        <w:rPr>
          <w:rFonts w:ascii="Arial" w:cs="Arial" w:eastAsia="Arial" w:hAnsi="Arial"/>
          <w:sz w:val="16"/>
          <w:szCs w:val="16"/>
          <w:color w:val="auto"/>
        </w:rPr>
        <w:t>shares offered by this</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prospectus for sale to our directors, executive officers, employees and business associates and certain other related persons who have expressed an interest in purchasing our common stock in this offering through a directed share program. See “Underwriting— Directed Share Program” for additional information regarding the directed share program.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SHAREHOLDERS</w:t>
      </w:r>
    </w:p>
    <w:p>
      <w:pPr>
        <w:spacing w:after="0" w:line="12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December 31, 2018, and as adjusted to reflect the completion of this offering, for:</w:t>
      </w:r>
    </w:p>
    <w:p>
      <w:pPr>
        <w:spacing w:after="0" w:line="62" w:lineRule="exact"/>
        <w:rPr>
          <w:sz w:val="20"/>
          <w:szCs w:val="20"/>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shareholder who beneficially owns more than 5% of our common stock.</w:t>
      </w:r>
    </w:p>
    <w:p>
      <w:pPr>
        <w:spacing w:after="0" w:line="117" w:lineRule="exact"/>
        <w:rPr>
          <w:sz w:val="20"/>
          <w:szCs w:val="20"/>
          <w:color w:val="auto"/>
        </w:rPr>
      </w:pPr>
    </w:p>
    <w:p>
      <w:pPr>
        <w:ind w:right="80" w:firstLine="360"/>
        <w:spacing w:after="0" w:line="275"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percentage of beneficial ownership is based on 14,771,520 shares of our common stock outstanding as of December 31,</w:t>
      </w:r>
    </w:p>
    <w:p>
      <w:pPr>
        <w:spacing w:after="0" w:line="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2018 and shares to be outstanding after the completion of this offering. The table does not reflect any shares of common stock that may be purchased in this offering by the individuals listed below.</w:t>
      </w:r>
    </w:p>
    <w:p>
      <w:pPr>
        <w:spacing w:after="0" w:line="7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Except as indicated below, the address for each shareholder listed in the table below is: South Plains Financial, Inc., 5219 City Bank Parkway, Lubbock, Texas 79407.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6"/>
              </w:rPr>
              <w:t>After the Offering</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Shares Beneficially Owned</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If Option Exercised in</w:t>
            </w:r>
          </w:p>
        </w:tc>
      </w:tr>
      <w:tr>
        <w:trPr>
          <w:trHeight w:val="171"/>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Prior to the Offering</w:t>
            </w: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If Option Not Exercised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Full</w:t>
            </w:r>
          </w:p>
        </w:tc>
      </w:tr>
      <w:tr>
        <w:trPr>
          <w:trHeight w:val="189"/>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Directors and named executive officers</w:t>
            </w:r>
            <w:r>
              <w:rPr>
                <w:rFonts w:ascii="Arial" w:cs="Arial" w:eastAsia="Arial" w:hAnsi="Arial"/>
                <w:sz w:val="18"/>
                <w:szCs w:val="18"/>
                <w:color w:val="auto"/>
                <w:w w:val="99"/>
              </w:rPr>
              <w:t>:</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00" w:type="dxa"/>
            <w:vAlign w:val="bottom"/>
            <w:gridSpan w:val="2"/>
          </w:tcPr>
          <w:p>
            <w:pPr>
              <w:spacing w:after="0" w:line="243" w:lineRule="exact"/>
              <w:rPr>
                <w:sz w:val="20"/>
                <w:szCs w:val="20"/>
                <w:color w:val="auto"/>
              </w:rPr>
            </w:pPr>
            <w:r>
              <w:rPr>
                <w:rFonts w:ascii="Arial" w:cs="Arial" w:eastAsia="Arial" w:hAnsi="Arial"/>
                <w:sz w:val="17"/>
                <w:szCs w:val="17"/>
                <w:color w:val="auto"/>
              </w:rPr>
              <w:t>Kevin R. Bass</w:t>
            </w:r>
            <w:r>
              <w:rPr>
                <w:rFonts w:ascii="Arial" w:cs="Arial" w:eastAsia="Arial" w:hAnsi="Arial"/>
                <w:sz w:val="28"/>
                <w:szCs w:val="28"/>
                <w:color w:val="auto"/>
                <w:vertAlign w:val="superscript"/>
              </w:rPr>
              <w:t>(1)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143,910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Richard D. Campbell</w:t>
            </w:r>
            <w:r>
              <w:rPr>
                <w:rFonts w:ascii="Arial" w:cs="Arial" w:eastAsia="Arial" w:hAnsi="Arial"/>
                <w:sz w:val="28"/>
                <w:szCs w:val="28"/>
                <w:color w:val="auto"/>
                <w:vertAlign w:val="superscript"/>
              </w:rPr>
              <w:t>(2)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2,409,540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gridSpan w:val="2"/>
          </w:tcPr>
          <w:p>
            <w:pPr>
              <w:spacing w:after="0" w:line="243" w:lineRule="exact"/>
              <w:rPr>
                <w:sz w:val="20"/>
                <w:szCs w:val="20"/>
                <w:color w:val="auto"/>
              </w:rPr>
            </w:pPr>
            <w:r>
              <w:rPr>
                <w:rFonts w:ascii="Arial" w:cs="Arial" w:eastAsia="Arial" w:hAnsi="Arial"/>
                <w:sz w:val="17"/>
                <w:szCs w:val="17"/>
                <w:color w:val="auto"/>
              </w:rPr>
              <w:t>Steven B. Crockett</w:t>
            </w:r>
            <w:r>
              <w:rPr>
                <w:rFonts w:ascii="Arial" w:cs="Arial" w:eastAsia="Arial" w:hAnsi="Arial"/>
                <w:sz w:val="28"/>
                <w:szCs w:val="28"/>
                <w:color w:val="auto"/>
                <w:vertAlign w:val="superscript"/>
              </w:rPr>
              <w:t>(3)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107,700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Curtis C. Griffith</w:t>
            </w:r>
            <w:r>
              <w:rPr>
                <w:rFonts w:ascii="Arial" w:cs="Arial" w:eastAsia="Arial" w:hAnsi="Arial"/>
                <w:sz w:val="28"/>
                <w:szCs w:val="28"/>
                <w:color w:val="auto"/>
                <w:vertAlign w:val="superscript"/>
              </w:rPr>
              <w:t>(4)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2,529,930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Cynthia B. Keith</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4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Cory T. Newsom</w:t>
            </w:r>
            <w:r>
              <w:rPr>
                <w:rFonts w:ascii="Arial" w:cs="Arial" w:eastAsia="Arial" w:hAnsi="Arial"/>
                <w:sz w:val="28"/>
                <w:szCs w:val="28"/>
                <w:color w:val="auto"/>
                <w:vertAlign w:val="superscript"/>
              </w:rPr>
              <w:t>(5)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310,740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gridSpan w:val="2"/>
          </w:tcPr>
          <w:p>
            <w:pPr>
              <w:spacing w:after="0" w:line="243" w:lineRule="exact"/>
              <w:rPr>
                <w:sz w:val="20"/>
                <w:szCs w:val="20"/>
                <w:color w:val="auto"/>
              </w:rPr>
            </w:pPr>
            <w:r>
              <w:rPr>
                <w:rFonts w:ascii="Arial" w:cs="Arial" w:eastAsia="Arial" w:hAnsi="Arial"/>
                <w:sz w:val="17"/>
                <w:szCs w:val="17"/>
                <w:color w:val="auto"/>
              </w:rPr>
              <w:t>Mikella D. Newsom</w:t>
            </w:r>
            <w:r>
              <w:rPr>
                <w:rFonts w:ascii="Arial" w:cs="Arial" w:eastAsia="Arial" w:hAnsi="Arial"/>
                <w:sz w:val="28"/>
                <w:szCs w:val="28"/>
                <w:color w:val="auto"/>
                <w:vertAlign w:val="superscript"/>
              </w:rPr>
              <w:t>(6)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42,900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Noe G. Valles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81,840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Kyle R. Wargo</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Directors &amp; executive officers as a group (9</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5,626,560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Principal shareholders: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gridSpan w:val="2"/>
            <w:shd w:val="clear" w:color="auto" w:fill="CCEEFF"/>
          </w:tcPr>
          <w:p>
            <w:pPr>
              <w:spacing w:after="0" w:line="247" w:lineRule="exact"/>
              <w:rPr>
                <w:sz w:val="20"/>
                <w:szCs w:val="20"/>
                <w:color w:val="auto"/>
              </w:rPr>
            </w:pPr>
            <w:r>
              <w:rPr>
                <w:rFonts w:ascii="Arial" w:cs="Arial" w:eastAsia="Arial" w:hAnsi="Arial"/>
                <w:sz w:val="17"/>
                <w:szCs w:val="17"/>
                <w:color w:val="auto"/>
              </w:rPr>
              <w:t>South Plains Financial, Inc. ESOP</w:t>
            </w:r>
            <w:r>
              <w:rPr>
                <w:rFonts w:ascii="Arial" w:cs="Arial" w:eastAsia="Arial" w:hAnsi="Arial"/>
                <w:sz w:val="28"/>
                <w:szCs w:val="28"/>
                <w:color w:val="auto"/>
                <w:vertAlign w:val="superscript"/>
              </w:rPr>
              <w:t>(7)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2,998,470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90"/>
        </w:trPr>
        <w:tc>
          <w:tcPr>
            <w:tcW w:w="3400" w:type="dxa"/>
            <w:vAlign w:val="bottom"/>
            <w:gridSpan w:val="2"/>
          </w:tcPr>
          <w:p>
            <w:pPr>
              <w:spacing w:after="0"/>
              <w:rPr>
                <w:sz w:val="20"/>
                <w:szCs w:val="20"/>
                <w:color w:val="auto"/>
              </w:rPr>
            </w:pPr>
            <w:r>
              <w:rPr>
                <w:rFonts w:ascii="Arial" w:cs="Arial" w:eastAsia="Arial" w:hAnsi="Arial"/>
                <w:sz w:val="18"/>
                <w:szCs w:val="18"/>
                <w:color w:val="auto"/>
              </w:rPr>
              <w:t>James C. Henry</w:t>
            </w:r>
            <w:r>
              <w:rPr>
                <w:rFonts w:ascii="Arial" w:cs="Arial" w:eastAsia="Arial" w:hAnsi="Arial"/>
                <w:sz w:val="29"/>
                <w:szCs w:val="29"/>
                <w:color w:val="auto"/>
                <w:vertAlign w:val="superscript"/>
              </w:rPr>
              <w:t>(8)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1,410,000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086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5" w:lineRule="exact"/>
        <w:rPr>
          <w:sz w:val="20"/>
          <w:szCs w:val="20"/>
          <w:color w:val="auto"/>
        </w:rPr>
      </w:pPr>
    </w:p>
    <w:p>
      <w:pPr>
        <w:ind w:left="360" w:hanging="355"/>
        <w:spacing w:after="0"/>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ownership of less than 1%</w:t>
      </w:r>
    </w:p>
    <w:p>
      <w:pPr>
        <w:spacing w:after="0" w:line="109" w:lineRule="exact"/>
        <w:rPr>
          <w:sz w:val="20"/>
          <w:szCs w:val="20"/>
          <w:color w:val="auto"/>
        </w:rPr>
      </w:pPr>
    </w:p>
    <w:p>
      <w:pPr>
        <w:ind w:left="360" w:right="160" w:hanging="355"/>
        <w:spacing w:after="0" w:line="252" w:lineRule="auto"/>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(i) 24,900 shares held individually by Mr. Bass, (ii) 76,500 shares of common stock underlying vested options received in connection with the conversion of Mr. Bass’s SARs and (iii) 42,510 shares held by the ESOP and allocated to Mr. Bass’s account. Following the completion of this offering, each ESOP participant will have the right to direct the ESOP trustee to vote the shares allocated to his or her account on all matters requiring the vote of our shareholders and as an ESOP participant, Mr. Bass may be deemed the beneficial owner of such shares.</w:t>
      </w:r>
    </w:p>
    <w:p>
      <w:pPr>
        <w:spacing w:after="0" w:line="79" w:lineRule="exact"/>
        <w:rPr>
          <w:rFonts w:ascii="Arial" w:cs="Arial" w:eastAsia="Arial" w:hAnsi="Arial"/>
          <w:sz w:val="14"/>
          <w:szCs w:val="14"/>
          <w:color w:val="auto"/>
        </w:rPr>
      </w:pPr>
    </w:p>
    <w:p>
      <w:pPr>
        <w:ind w:left="360" w:right="140" w:hanging="355"/>
        <w:spacing w:after="0" w:line="273" w:lineRule="auto"/>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(i) 39,540 shares individually held by Mr. Campbell and (ii) 2,370,000 shares owned by James C. Henry and parties related to Mr. Henry but subject to a voting agreement and irrevocable proxy pursuant to which Mr. Campbell exercises voting authority.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0" w:hanging="355"/>
        <w:spacing w:after="0" w:line="252"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10,500 shares held individually by Mr. Crockett, (ii) 70,500 shares of common stock underlying vested options received in connection with the conversion of Mr. Crockett’s SARs and (iii) 26,700 shares held by the ESOP and allocated to Mr. Crockett’s account. Following the completion of this offering, each ESOP participant will have the right to direct the ESOP trustee to vote the shares allocated to his or her account on all matters requiring the vote of our shareholders and as an ESOP participant, Mr. Crockett may be deemed the beneficial owner of such shares.</w:t>
      </w:r>
    </w:p>
    <w:p>
      <w:pPr>
        <w:spacing w:after="0" w:line="79" w:lineRule="exact"/>
        <w:rPr>
          <w:rFonts w:ascii="Arial" w:cs="Arial" w:eastAsia="Arial" w:hAnsi="Arial"/>
          <w:sz w:val="14"/>
          <w:szCs w:val="14"/>
          <w:color w:val="auto"/>
        </w:rPr>
      </w:pPr>
    </w:p>
    <w:p>
      <w:pPr>
        <w:ind w:left="360" w:right="60" w:hanging="355"/>
        <w:spacing w:after="0" w:line="252"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2,369,790 shares held by Mr. Griffith, (ii) 72,000 shares of common stock underlying vested options received in connection with the conversion of Mr. Griffith’s SARs and (iii) 88,140 shares held by the ESOP and allocated to Mr. Griffith’s account. Following the completion of this offering, each ESOP participant will have the right to direct the ESOP trustee to vote the shares allocated to his or her account on all matters requiring the vote of our shareholders and as an ESOP participant, Mr. Griffith may be deemed the beneficial owner of such shares.</w:t>
      </w:r>
    </w:p>
    <w:p>
      <w:pPr>
        <w:spacing w:after="0" w:line="79" w:lineRule="exact"/>
        <w:rPr>
          <w:rFonts w:ascii="Arial" w:cs="Arial" w:eastAsia="Arial" w:hAnsi="Arial"/>
          <w:sz w:val="14"/>
          <w:szCs w:val="14"/>
          <w:color w:val="auto"/>
        </w:rPr>
      </w:pPr>
    </w:p>
    <w:p>
      <w:pPr>
        <w:ind w:left="360" w:right="20" w:hanging="355"/>
        <w:spacing w:after="0" w:line="249"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109,500 shares held individually by Mr. Newsom, (ii) 750 shares held for the benefit of Mr. Newsom’s minor child, (iii) 129,000 shares of common stock underlying vested options received in connection with the conversion of Mr. Newsom’s SARs, and (iv) 71,490 shares held by the ESOP and allocated to Mr. Newsom’s account. Following the completion of this offering, each ESOP participant will have the right to direct the ESOP trustee to vote the shares allocated to his or her account on all matters requiring the vote of our shareholders and as an ESOP participant, Mr. Newsom may be deemed the beneficial owner of such shares.</w:t>
      </w:r>
    </w:p>
    <w:p>
      <w:pPr>
        <w:spacing w:after="0" w:line="82" w:lineRule="exact"/>
        <w:rPr>
          <w:rFonts w:ascii="Arial" w:cs="Arial" w:eastAsia="Arial" w:hAnsi="Arial"/>
          <w:sz w:val="14"/>
          <w:szCs w:val="14"/>
          <w:color w:val="auto"/>
        </w:rPr>
      </w:pPr>
    </w:p>
    <w:p>
      <w:pPr>
        <w:ind w:left="360" w:right="80" w:hanging="355"/>
        <w:spacing w:after="0" w:line="277" w:lineRule="auto"/>
        <w:tabs>
          <w:tab w:leader="none" w:pos="3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Includes (i) 4,500 shares held individually by Ms. Newsom, (ii) 27,000 shares of common stock underlying vested options received in connection with the conversion of Ms. Newsom’s SARs and (iii) 11,400 shares held by the ESOP and allocated to Ms. Newsom’s account. Following the completion of this offering, each ESOP participant will have the right to direct the ESOP trustee to vote the shares allocated to his or her account on all matters requiring the vote of our shareholders and as an ESOP participant, Ms. Newsom may be deemed the beneficial owner of such shares.</w:t>
      </w:r>
    </w:p>
    <w:p>
      <w:pPr>
        <w:spacing w:after="0" w:line="65" w:lineRule="exact"/>
        <w:rPr>
          <w:rFonts w:ascii="Arial" w:cs="Arial" w:eastAsia="Arial" w:hAnsi="Arial"/>
          <w:sz w:val="13"/>
          <w:szCs w:val="13"/>
          <w:color w:val="auto"/>
        </w:rPr>
      </w:pPr>
    </w:p>
    <w:p>
      <w:pPr>
        <w:ind w:left="360" w:right="20" w:hanging="355"/>
        <w:spacing w:after="0" w:line="249"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Following the completion of this offering, each ESOP participant will have the right to direct the ESOP trustee to vote the shares allocated to his or her account on all matters requiring the vote of our shareholders. In the event that a participant does not direct the ESOP trustee on how to vote his or her allocated shares, the ESOP trustee may determine how such shares are voted or the shares may not be voted. Shares held by the ESOP that are not allocated to the participants’ accounts will be voted in the same proportion as the shares allocated to participants’ accounts. The business address for our ESOP is 5219 City Bank Parkway, Lubbock, Texas 79407.</w:t>
      </w:r>
    </w:p>
    <w:p>
      <w:pPr>
        <w:spacing w:after="0" w:line="82" w:lineRule="exact"/>
        <w:rPr>
          <w:rFonts w:ascii="Arial" w:cs="Arial" w:eastAsia="Arial" w:hAnsi="Arial"/>
          <w:sz w:val="14"/>
          <w:szCs w:val="14"/>
          <w:color w:val="auto"/>
        </w:rPr>
      </w:pPr>
    </w:p>
    <w:p>
      <w:pPr>
        <w:ind w:left="360" w:right="380" w:hanging="355"/>
        <w:spacing w:after="0" w:line="273"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1,208,700 shares of common stock held individually and (ii) 201,300 shares held through Henry TAW LP, all of which are subject to a voting agreement and irrevocable proxy pursuant to which Richard D. Campbell exercises voting authority.</w:t>
      </w:r>
    </w:p>
    <w:p>
      <w:pPr>
        <w:spacing w:after="0" w:line="5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December 31, 2018, and as adjusted to reflect the completion of this offering, for each of our selling shareholders. The percentage of beneficial ownership is based on 14,771,520 shares of our common stock outstanding as of December 31, 2018 and shares to be outstanding after the completion of this offering. The table does not reflect any shares of common stock that may be purchased in this offering by the selling shareholders.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6"/>
              </w:rPr>
              <w:t>After the Offering</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4"/>
          </w:tcPr>
          <w:p>
            <w:pPr>
              <w:jc w:val="right"/>
              <w:ind w:right="380"/>
              <w:spacing w:after="0" w:line="160" w:lineRule="exact"/>
              <w:rPr>
                <w:sz w:val="20"/>
                <w:szCs w:val="20"/>
                <w:color w:val="auto"/>
              </w:rPr>
            </w:pPr>
            <w:r>
              <w:rPr>
                <w:rFonts w:ascii="Arial" w:cs="Arial" w:eastAsia="Arial" w:hAnsi="Arial"/>
                <w:sz w:val="14"/>
                <w:szCs w:val="14"/>
                <w:b w:val="1"/>
                <w:bCs w:val="1"/>
                <w:color w:val="auto"/>
              </w:rPr>
              <w:t>Shares Beneficially Owned</w:t>
            </w: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ind w:left="220"/>
              <w:spacing w:after="0" w:line="160" w:lineRule="exact"/>
              <w:rPr>
                <w:sz w:val="20"/>
                <w:szCs w:val="20"/>
                <w:color w:val="auto"/>
              </w:rPr>
            </w:pPr>
            <w:r>
              <w:rPr>
                <w:rFonts w:ascii="Arial" w:cs="Arial" w:eastAsia="Arial" w:hAnsi="Arial"/>
                <w:sz w:val="14"/>
                <w:szCs w:val="14"/>
                <w:b w:val="1"/>
                <w:bCs w:val="1"/>
                <w:color w:val="auto"/>
              </w:rPr>
              <w:t>If Option Exercised in</w:t>
            </w: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Prior to the Offering</w:t>
            </w: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If Option Not Exercised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Full</w:t>
            </w:r>
          </w:p>
        </w:tc>
      </w:tr>
      <w:tr>
        <w:trPr>
          <w:trHeight w:val="183"/>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37"/>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Selling shareholders</w:t>
            </w: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gridSpan w:val="2"/>
          </w:tcPr>
          <w:p>
            <w:pPr>
              <w:jc w:val="right"/>
              <w:ind w:right="468"/>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2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following is a summary of the material rights of our capital stock and related provisions of our certificate of formation and bylaws. The following description of our capital stock does not purport to be complete and is subject to, and qualified in its entirety by, our certificate of formation and bylaws, which we have included as exhibits to the registration statement of which this prospectus is a part. We urge you to read these documents for a more complete understanding of shareholder rights.</w:t>
      </w:r>
    </w:p>
    <w:p>
      <w:pPr>
        <w:spacing w:after="0" w:line="63"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certificate of formation authorizes the issuance of up to 30,000,000 shares of voting common stock, par value $1.00 per share, and up to 1,000,000 shares of preferred stock, par value $1.00 per share. On , 2019, we effected a 29-for-1 stock dividend, resulting in shareholders receiving 29 shares of common stock for each share of common stock held as of , 2019. As of</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December 31, 2018, we had 14,771,520 shares of our common stock issued and outstanding and no shares of preferred stock issued or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auto"/>
        </w:rPr>
        <w:t>Each share of common stock has the same rights, privileges and preferences as every other share of common stock, and there is no preemptive, conversion, redemption rights or sinking fund provisions applicable to our common stock. The designations and powers, preferences and rights and the qualifications, limitations or restrictions of the common stock are described below.</w:t>
      </w:r>
    </w:p>
    <w:p>
      <w:pPr>
        <w:spacing w:after="0" w:line="4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the rights of preferred stock we may issue in the future, or any other class or series of stock having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preference as to dividends over the common stock, each share of common stock will participate equally in dividends, which are payable when and as declared by our board of directors. Further, the agreements pursuant to which we borrow money and the regulations to which we are subject as a bank holding company may limit our ability to pay dividends or other distributions with respect to the common stock or to repurchase our capital stock. The board of directors has the discretion to determine the amount of dividends to be paid.</w:t>
      </w:r>
    </w:p>
    <w:p>
      <w:pPr>
        <w:spacing w:after="0" w:line="8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b w:val="1"/>
          <w:bCs w:val="1"/>
          <w:i w:val="1"/>
          <w:iCs w:val="1"/>
          <w:color w:val="auto"/>
        </w:rPr>
        <w:t>Liquidation and Dissolution</w:t>
      </w:r>
      <w:r>
        <w:rPr>
          <w:rFonts w:ascii="Arial" w:cs="Arial" w:eastAsia="Arial" w:hAnsi="Arial"/>
          <w:sz w:val="18"/>
          <w:szCs w:val="18"/>
          <w:color w:val="auto"/>
        </w:rPr>
        <w:t>. Upon any liquidation, dissolution or winding up of the Company, after the payment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and of the liquidation preferences with respect to any issued and outstanding preferred shares, or any other class or series of stock having preference over the common stock, we will distribute our remaining assets to the holders of our voting common stock on a pro rata basis.</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common stock is entitled to one vote per share on any issue requiring a vote. Shareholders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cumulate their votes in the election of directors.</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b w:val="1"/>
          <w:bCs w:val="1"/>
          <w:i w:val="1"/>
          <w:iCs w:val="1"/>
          <w:color w:val="auto"/>
        </w:rPr>
        <w:t>Absence of Preemptive Rights</w:t>
      </w:r>
      <w:r>
        <w:rPr>
          <w:rFonts w:ascii="Arial" w:cs="Arial" w:eastAsia="Arial" w:hAnsi="Arial"/>
          <w:sz w:val="18"/>
          <w:szCs w:val="18"/>
          <w:color w:val="auto"/>
        </w:rPr>
        <w:t>. Our common stock does not have preemptive rights or other rights to subscribe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color w:val="auto"/>
        </w:rPr>
        <w:t>. We have applied to list our common stock on the NASDAQ Global Select Market under the symbol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“SPFI.”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do not have any preferred stock outstanding as of the date of this prospectus. In our certificate of formation, we reserve the right to issue one or more series of preferred stock, fix the designations and the powers, preferences and relative, participating, optional or other special rights and qualifications, limitations or restrictions of such series, including, without limitation, voting rights, dividend rate, conversion rights, redemption price and liquidation preference, as may be permitted by the TBOC, to fix the number of shares constituting any series and to increase or decrease the number of shares of any series (but not below the number of shares of such series then outstanding).</w:t>
      </w:r>
    </w:p>
    <w:p>
      <w:pPr>
        <w:spacing w:after="0" w:line="84" w:lineRule="exact"/>
        <w:rPr>
          <w:sz w:val="20"/>
          <w:szCs w:val="20"/>
          <w:color w:val="auto"/>
        </w:rPr>
      </w:pPr>
    </w:p>
    <w:p>
      <w:pPr>
        <w:ind w:right="400" w:firstLine="360"/>
        <w:spacing w:after="0" w:line="263" w:lineRule="auto"/>
        <w:rPr>
          <w:sz w:val="20"/>
          <w:szCs w:val="20"/>
          <w:color w:val="auto"/>
        </w:rPr>
      </w:pPr>
      <w:r>
        <w:rPr>
          <w:rFonts w:ascii="Arial" w:cs="Arial" w:eastAsia="Arial" w:hAnsi="Arial"/>
          <w:sz w:val="18"/>
          <w:szCs w:val="18"/>
          <w:color w:val="auto"/>
        </w:rPr>
        <w:t>Any of these actions could have an anti-takeover effect and discourage a transaction that some or a majority of our shareholders might believe to be in their best interests or in which our shareholders might receive a premium for their common stock over our then-market price.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Considerations and Special Provisions of Our Certificate of Formation, Bylaws and Texas Law</w:t>
      </w:r>
    </w:p>
    <w:p>
      <w:pPr>
        <w:spacing w:after="0" w:line="108"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Certain provisions of our certificate of formation and bylaws could have the effect of delaying or deferring the removal of incumbent directors or delaying, deferring or discouraging another party from acquiring control of us, even if such removal or acquisition would be viewed by our shareholders to be in their best interests. These provisions, summarized below, are intended to encourage persons seeking to acquire control of us to first negotiate with our board of directors. These provisions also serve to discourage hostile takeover practices and inadequate takeover bids. We believe that these provisions are beneficial because the negotiation they encourage could result in improved terms of any unsolicited proposal.</w:t>
      </w:r>
    </w:p>
    <w:p>
      <w:pPr>
        <w:spacing w:after="0" w:line="70" w:lineRule="exact"/>
        <w:rPr>
          <w:sz w:val="20"/>
          <w:szCs w:val="20"/>
          <w:color w:val="auto"/>
        </w:rPr>
      </w:pPr>
    </w:p>
    <w:p>
      <w:pPr>
        <w:ind w:right="580" w:firstLine="360"/>
        <w:spacing w:after="0" w:line="342" w:lineRule="auto"/>
        <w:rPr>
          <w:sz w:val="20"/>
          <w:szCs w:val="20"/>
          <w:color w:val="auto"/>
        </w:rPr>
      </w:pPr>
      <w:r>
        <w:rPr>
          <w:rFonts w:ascii="Arial" w:cs="Arial" w:eastAsia="Arial" w:hAnsi="Arial"/>
          <w:sz w:val="16"/>
          <w:szCs w:val="16"/>
          <w:color w:val="auto"/>
        </w:rPr>
        <w:t>Certain provisions of the TBOC found at Section 21.602 through Section 21.610 relating to business combinations with affiliates may have the effect of deterring hostile takeovers or delaying or preventing control or management of a company.</w:t>
      </w:r>
    </w:p>
    <w:p>
      <w:pPr>
        <w:spacing w:after="0" w:line="1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Authorized but Unissued Capital Stock. </w:t>
      </w:r>
      <w:r>
        <w:rPr>
          <w:rFonts w:ascii="Arial" w:cs="Arial" w:eastAsia="Arial" w:hAnsi="Arial"/>
          <w:sz w:val="18"/>
          <w:szCs w:val="18"/>
          <w:color w:val="auto"/>
        </w:rPr>
        <w:t>As of the date of this document, we had 15,228,480 shares of authorized but unissued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and 1,000,000 shares of authorized but unissued shares of preferred stock. Our board of directors may authorize the issuance of one or more series of preferred stock without shareholder approval. These shares could be used by our board of directors to make it more difficult or to discourage an attempt to obtain control of us through a merger, tender offer, proxy contest or otherwise.</w:t>
      </w:r>
    </w:p>
    <w:p>
      <w:pPr>
        <w:spacing w:after="0" w:line="80"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b w:val="1"/>
          <w:bCs w:val="1"/>
          <w:i w:val="1"/>
          <w:iCs w:val="1"/>
          <w:color w:val="auto"/>
        </w:rPr>
        <w:t xml:space="preserve">Limitation on Right to Call a Special Meeting of Shareholders. </w:t>
      </w:r>
      <w:r>
        <w:rPr>
          <w:rFonts w:ascii="Arial" w:cs="Arial" w:eastAsia="Arial" w:hAnsi="Arial"/>
          <w:sz w:val="16"/>
          <w:szCs w:val="16"/>
          <w:color w:val="auto"/>
        </w:rPr>
        <w:t>Our bylaws provide that, except as otherwise required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TBOC and subject to our certificate of formation, special meetings of shareholders may be called only by the chairman of the board of directors, the board of directors or the holders of not less than 25% of all of the outstanding shares of the corporation entitled to vote at the meeting. In order for a special meeting to be called by the shareholders, a written request for a special meeting signed by the shareholders owning at least the requisite percent of shares entitled to vote at the meeting as of the date of the request must be delivered to the secretary at the principal executive offices of the Company. The special meeting request must include certain information listed in our bylaws, including, but not limited to, a statement of the business proposed to be acted on at the meeting, the signatures of each shareholder submitting the special meeting request, the name and address of each shareholder submitting the special meeting request and documentary evidence that the requesting shareholders own the requisite percent of shares as of the date of the special meeting request. A special meeting request shall not be valid if (1) the request relates to an item of business that is not a proper subject for shareholder action under applicable law or our certificate of formation, (2) the request relates to an item of business that is the same or substantially similar to an item presented at a meeting of shareholders occurring within ninety (90) days preceding the earliest date of the signature on the special meeting request, (3) the special meeting request is delivered during the period commencing ninety (90) days prior to the first anniversary of the preceding year’s annual meeting and ending on the date of the next annual meeting of shareholders; or (4) the special meeting request does not comply with the requirements of our bylaws.</w:t>
      </w:r>
    </w:p>
    <w:p>
      <w:pPr>
        <w:spacing w:after="0" w:line="59"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Our bylaws include specific procedures for shareholder proposals, including proposed nominations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to be brought at shareholder meetings including that the shareholder must (1) be the holder of not less than 25% of all of the outstanding shares of the corporation entitled to vote at the meeting, (2) be a shareholder of record at the time of giving of notice of such meeting by the board of directors and at the time of the annual meeting, (3) be entitled to vote at such annual meeting, and</w:t>
      </w:r>
    </w:p>
    <w:p>
      <w:pPr>
        <w:spacing w:after="0" w:line="1" w:lineRule="exact"/>
        <w:rPr>
          <w:sz w:val="20"/>
          <w:szCs w:val="20"/>
          <w:color w:val="auto"/>
        </w:rPr>
      </w:pPr>
    </w:p>
    <w:p>
      <w:pPr>
        <w:ind w:firstLine="5"/>
        <w:spacing w:after="0" w:line="268" w:lineRule="auto"/>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comply with the procedures set forth in our bylaws as to such nomination or other business. Notice of a shareholder proposal notice must generally be delivered to the secretary of the Company not earlier than 30 days nor more than 60 days prior to the shareholder meeting. The notice of the shareholder proposal must include certain information listed in our bylaws, including, but not limited to, the name and address of each shareholder making the proposal, the name and address of any nominee for director, the class and number of shares of our capital stock, any proxy used in connection with the proposal, a description of the business desired to be brought before the meeting, and a description of all agreement, arrangement and understanding between the shareholder proposing the business to be brought before the meeting and any other affiliates and associates with whom the requesting shareholder is acting in concert in connection with the proposal.</w:t>
      </w:r>
    </w:p>
    <w:p>
      <w:pPr>
        <w:spacing w:after="0" w:line="75"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b w:val="1"/>
          <w:bCs w:val="1"/>
          <w:i w:val="1"/>
          <w:iCs w:val="1"/>
          <w:color w:val="auto"/>
        </w:rPr>
        <w:t xml:space="preserve">Action by Written Consent in Lieu of Meeting. </w:t>
      </w:r>
      <w:r>
        <w:rPr>
          <w:rFonts w:ascii="Arial" w:cs="Arial" w:eastAsia="Arial" w:hAnsi="Arial"/>
          <w:sz w:val="18"/>
          <w:szCs w:val="18"/>
          <w:color w:val="auto"/>
        </w:rPr>
        <w:t>Our certificate of formation allows for any action required by the TBOC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taken at any annual or special meeting of the shareholders to be taken without a meeting if a consent or consents in writing are signed by all of the holders of shares entitled to vote on the action were present and voted.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Classified Board of Directors. </w:t>
      </w:r>
      <w:r>
        <w:rPr>
          <w:rFonts w:ascii="Arial" w:cs="Arial" w:eastAsia="Arial" w:hAnsi="Arial"/>
          <w:sz w:val="18"/>
          <w:szCs w:val="18"/>
          <w:color w:val="auto"/>
        </w:rPr>
        <w:t>Our certificate of formation provides that our board of directors be divided into three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with the directors in each class serving a three-year term. The election of directors is staggered so that approximately one-third of the board of directors is elected at each annual meeting. Directors are elected by the affirmative vote of the holders of a majority of the shares of common stock entitled to vote in the election of directors and represented in person or by proxy. For more information on the board, see “Management—Board of Directors.”</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b w:val="1"/>
          <w:bCs w:val="1"/>
          <w:i w:val="1"/>
          <w:iCs w:val="1"/>
          <w:color w:val="auto"/>
        </w:rPr>
        <w:t xml:space="preserve">Filling of Board Vacancies. </w:t>
      </w:r>
      <w:r>
        <w:rPr>
          <w:rFonts w:ascii="Arial" w:cs="Arial" w:eastAsia="Arial" w:hAnsi="Arial"/>
          <w:sz w:val="17"/>
          <w:szCs w:val="17"/>
          <w:color w:val="auto"/>
        </w:rPr>
        <w:t>Any vacancy occurring in the board of directors may be filled by a majority of the directors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office, though less than a quorum, except that any vacancy in the board of directors resulting from the removal of the director by the shareholders shall be filled only by the shareholders entitled to vote. A director elected to fill a vacancy shall be elected for the unexpired term of his predecessor in office and will hold office until such director’s successor has been elected and qualified or until such director’s earlier death, resignation or removal. However, pursuant to Section 21.410 of the TBOC, any vacancy in the board of directors to be filled because of an increase in the number of directors may be filled by the board of directors for a term of office continuing only until the next election of one or more directors by the shareholders. Furthermore, during a period between two successive annual meetings of shareholders, the board of directors may not fill more than two (2) vacancies created by an increase in the number of directors.</w:t>
      </w:r>
    </w:p>
    <w:p>
      <w:pPr>
        <w:spacing w:after="0" w:line="73"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b w:val="1"/>
          <w:bCs w:val="1"/>
          <w:i w:val="1"/>
          <w:iCs w:val="1"/>
          <w:color w:val="auto"/>
        </w:rPr>
        <w:t xml:space="preserve">Removal of Directors. </w:t>
      </w:r>
      <w:r>
        <w:rPr>
          <w:rFonts w:ascii="Arial" w:cs="Arial" w:eastAsia="Arial" w:hAnsi="Arial"/>
          <w:sz w:val="17"/>
          <w:szCs w:val="17"/>
          <w:color w:val="auto"/>
        </w:rPr>
        <w:t>Pursuant to Section 21.409(d) of the TBOC, a director of a corporation with a classified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may be removed only for cause. Furthermore, pursuant to Section 21.409(a) of the TBOC, our bylaws provide for heightened voting thresholds necessary to remove a director from office. Accordingly, a director may be removed only for cause at a meeting called for the purpose of removing the director by the affirmative vote of the holders of outstanding shares representing at least two-thirds of the voting power of all shares entitled to vote for the election of such director.</w:t>
      </w:r>
    </w:p>
    <w:p>
      <w:pPr>
        <w:spacing w:after="0" w:line="68"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b w:val="1"/>
          <w:bCs w:val="1"/>
          <w:i w:val="1"/>
          <w:iCs w:val="1"/>
          <w:color w:val="auto"/>
        </w:rPr>
        <w:t>Amendment of the Bylaws or Adoption of New Bylaws</w:t>
      </w:r>
      <w:r>
        <w:rPr>
          <w:rFonts w:ascii="Arial" w:cs="Arial" w:eastAsia="Arial" w:hAnsi="Arial"/>
          <w:sz w:val="18"/>
          <w:szCs w:val="18"/>
          <w:color w:val="auto"/>
        </w:rPr>
        <w:t>. Our bylaws may be amended or repealed or new bylaws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by the affirmative vote of a majority of the directors present at a meeting at which quorum is present, without approval of our shareholders. Accordingly, our board of directors could take action to amend our bylaws in a manner that could have the effect of delaying, deferring or discouraging another party from acquiring control of us. Shareholders may also amend or repeal our bylaws and adopt new bylaws by the affirmative vote of two-thirds of the shareholders present and entitled to vote at a meeting of the shareholders, provided that notice of the proposed alteration, amendment or repeal is contained in the notice of that shareholders’ meeting.</w:t>
      </w:r>
    </w:p>
    <w:p>
      <w:pPr>
        <w:spacing w:after="0" w:line="8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Voting Provisions</w:t>
      </w:r>
      <w:r>
        <w:rPr>
          <w:rFonts w:ascii="Arial" w:cs="Arial" w:eastAsia="Arial" w:hAnsi="Arial"/>
          <w:sz w:val="18"/>
          <w:szCs w:val="18"/>
          <w:color w:val="auto"/>
        </w:rPr>
        <w:t>. Our certificate of formation does not provide for certain heightened voting thresholds needed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consummate a change in control transaction, such as a merger, the sale of substantially all of our assets or other similar transaction. Accordingly, we will not be able to consummate a change in control transaction or sell all or substantially all of our assets without obtaining the affirmative vote of the holders of shares of our capital stock having at least two-thirds of the voting power of all outstanding capital stock entitled to vote thereon.</w:t>
      </w:r>
    </w:p>
    <w:p>
      <w:pPr>
        <w:spacing w:after="0" w:line="80"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b w:val="1"/>
          <w:bCs w:val="1"/>
          <w:i w:val="1"/>
          <w:iCs w:val="1"/>
          <w:color w:val="auto"/>
        </w:rPr>
        <w:t>Exclusive Forum</w:t>
      </w:r>
      <w:r>
        <w:rPr>
          <w:rFonts w:ascii="Arial" w:cs="Arial" w:eastAsia="Arial" w:hAnsi="Arial"/>
          <w:sz w:val="16"/>
          <w:szCs w:val="16"/>
          <w:color w:val="auto"/>
        </w:rPr>
        <w:t>. Our bylaws provide that United States District Court for the Northern District of Texas, Lubbock Division,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 the event that such court lacks jurisdiction to hear the action, the District Courts of the County of Lubbock, Texas, shall be the sole and exclusive forum for certain shareholder litigation matters, unless we consent in writing to the selection of an alternative forum. Although we believe this provision benefits us by providing increased consistency in the application of Texas law in the types of lawsuits to which it applies and in limiting our litigation costs, the provision may have the effect of discouraging lawsuits against our directors and officers and may limit our shareholders’ ability to obtain a favorable judicial forum for disputes with us. However, it is possible that a court could rule that this provision is unenforceable or inapplicable to a particular dispute.</w:t>
      </w:r>
    </w:p>
    <w:p>
      <w:pPr>
        <w:spacing w:after="0" w:line="58"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Elimination of Liability and Indemnification</w:t>
      </w:r>
      <w:r>
        <w:rPr>
          <w:rFonts w:ascii="Arial" w:cs="Arial" w:eastAsia="Arial" w:hAnsi="Arial"/>
          <w:sz w:val="18"/>
          <w:szCs w:val="18"/>
          <w:color w:val="auto"/>
        </w:rPr>
        <w:t>. Our certificate of formation provides that, to the fullest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law, no director of the Company will be liable to the Company or its shareholders for monetary damages for acts or omissions in the director’s capacity as a director. However, pursuant to the TBOC, this limitation of liability does not extend to (1) a breach of a director’s duty of loyalty to the Company or its shareholders, (2) an act or omission not in good faith that constitutes a breach of a duty owed to the Company involving intentional misconduct or a knowing violation of the law, (3) a transaction from which a director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received an improper benefit, or (4) an act or omission for which the liability of the director is expressly provided for by statute. To the extent that the TBOC is amended to further eliminate or limit the personal liability of directors, such liability shall be eliminated to the fullest extent permitted by law.</w:t>
      </w:r>
    </w:p>
    <w:p>
      <w:pPr>
        <w:spacing w:after="0" w:line="7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Our certificate of formation also provides, among other things, for mandatory indemnification of a director or officer of the Company who was or is a party or is threatened to be made a party to any threatened, pending or completed action, suit or proceeding whether civil, criminal, administrative or investigative by reason of the fact that the person is or was a director or officer of the Company. The Company will indemnify such a person against expenses (including attorney’s fees), judgments, fines and amounts paid in settlement actually and reasonably incurred by him or her in connection with such action, suit or proceeding, if the person (1) acted in good faith, (2) reasonably believed that their conduct was in or not opposed to the best interest of the Company and (3) with respect to any criminal action or proceeding, had no reasonable cause to believe that his or her conduct was unlawful; provided further that (1) the director was not found liable on the basis that he or she received an improper benefit and (2) he or she is not found liable to the Company. A director found liable either to the Company or on the basis that they improperly received a personal benefit may only be indemnified for reasonable expenses (including attorneys’ fees) actually incurred by him or her in connection with defense against that action, however, if that director was found liable for willful or intentional misconduct in the performance of their duty to the Company, the Company shall not indemnify the director in any respect.</w:t>
      </w:r>
    </w:p>
    <w:p>
      <w:pPr>
        <w:spacing w:after="0" w:line="6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foregoing is qualified in its entirety by reference to our certificate of formation and bylaws, both of which are on file with the SEC.</w:t>
      </w:r>
    </w:p>
    <w:p>
      <w:pPr>
        <w:spacing w:after="0" w:line="62"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b w:val="1"/>
          <w:bCs w:val="1"/>
          <w:i w:val="1"/>
          <w:iCs w:val="1"/>
          <w:color w:val="auto"/>
        </w:rPr>
        <w:t>Texas and Federal Banking Law</w:t>
      </w:r>
      <w:r>
        <w:rPr>
          <w:rFonts w:ascii="Arial" w:cs="Arial" w:eastAsia="Arial" w:hAnsi="Arial"/>
          <w:sz w:val="16"/>
          <w:szCs w:val="16"/>
          <w:color w:val="auto"/>
        </w:rPr>
        <w:t>. Under the Texas Finance Code, an “acquisition of control” of a bank or bank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may not occur without the prior written approval of the Commissioner of the Texas Department of Banking, subject to certain exceptions outlined in Texas Finance Code Section 33.002. For purposes of this law, the term “control” means the possession, directly or indirectly, of the power to control a bank or bank holding company, and the term “acquisition of control” means (1) the ownership of or ability to vote 25% of the outstanding shares of a class of voting securities, (2) the ability to control the election of a majority of the board, (3) the power to exercise a controlling influence over the management or policies of the company, and (4) the conditioning of the transfer of 25% or more of the outstanding shares of a class of voting securities of a company on the transfer of 25% or more of the outstanding shares of a class of voting securities of another company.</w:t>
      </w:r>
    </w:p>
    <w:p>
      <w:pPr>
        <w:spacing w:after="0" w:line="5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BHCA generally prohibits any company that is not engaged in financial activities and activities that are permissible for a bank holding company or a financial holding company from acquiring control of the Company. For purposes of this law, “control” generally means ownership of 25% or more of the voting stock or other exercise of a controlling influence. In addition, any existing bank holding company would need the prior approval of the Federal Reserve before acquiring 5% or more of any class of our voting securities.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the Company after completion of the offering, could constitute acquisition of control of the bank holding company.</w:t>
      </w:r>
    </w:p>
    <w:p>
      <w:pPr>
        <w:spacing w:after="0" w:line="73"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foregoing provisions of Texas and federal law could make it more difficult for a third party to acquire a majority of our outstanding voting stock, by discouraging a hostile bid, or delaying, preventing or deterring a merger, acquisition or tender offer in which our shareholders could receive a premium for their shares, or effect a proxy contest for control of our Company or other changes in our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transfer agent is 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Prior to this offering, there has been no established trading market for our common stock. Future sales of substantial amounts of our common stock in the public market, or the perception that such sales may occur,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8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Upon completion of this offering, we will have shares of common stock outstanding. In addition, we have reserved 2,300,000 shares of common stock for issuance in connection with share-based payment awards that may be granted under the 2019 Plan. The maximum aggregate number of shares of common stock that may be issued pursuant to all awards under the 2019 Plan will increase annually on the first day of each fiscal year after the adoption of the 2019 Plan by the number of common shares equal to the lesser of (i) 3% of the total issued and outstanding shares of common stock on the first day of such fiscal year, and (ii) such lesser amount determined by our board of directors.</w:t>
      </w:r>
    </w:p>
    <w:p>
      <w:pPr>
        <w:spacing w:after="0" w:line="84" w:lineRule="exact"/>
        <w:rPr>
          <w:sz w:val="20"/>
          <w:szCs w:val="20"/>
          <w:color w:val="auto"/>
        </w:rPr>
      </w:pPr>
    </w:p>
    <w:p>
      <w:pPr>
        <w:jc w:val="both"/>
        <w:ind w:right="200" w:firstLine="360"/>
        <w:spacing w:after="0" w:line="287" w:lineRule="auto"/>
        <w:rPr>
          <w:sz w:val="20"/>
          <w:szCs w:val="20"/>
          <w:color w:val="auto"/>
        </w:rPr>
      </w:pPr>
      <w:r>
        <w:rPr>
          <w:rFonts w:ascii="Arial" w:cs="Arial" w:eastAsia="Arial" w:hAnsi="Arial"/>
          <w:sz w:val="16"/>
          <w:szCs w:val="16"/>
          <w:color w:val="auto"/>
        </w:rPr>
        <w:t>All of the shares of common stock to be sold in this offering (or shares if the underwriters exercise their option to purchase additional shares in full) will be freely tradable without restriction or further registration under the Securities Act, unless the shares are held by any of our “affiliates” as such term is defined in Rule 144 under the Securities Act, or Rule 144. The</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remaining outstanding shares (or shares if the underwriters exercise their option to purchase additional shares in full) will be deemed to be “restricted securities” as that term is defined in Rule 144. Restricted securities may be resold in the United States only if they are registered for resale under the Securities Act or an exemption from registration is available.</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Furthermore, in connection with this offering, our board of directors has approved a special, one-time grant under our 2019</w:t>
      </w:r>
    </w:p>
    <w:p>
      <w:pPr>
        <w:spacing w:after="0" w:line="46"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Plan to certain of our employees of equity awards representing</w:t>
      </w:r>
      <w:r>
        <w:rPr>
          <w:sz w:val="20"/>
          <w:szCs w:val="20"/>
          <w:color w:val="auto"/>
        </w:rPr>
        <w:tab/>
      </w:r>
      <w:r>
        <w:rPr>
          <w:rFonts w:ascii="Arial" w:cs="Arial" w:eastAsia="Arial" w:hAnsi="Arial"/>
          <w:sz w:val="16"/>
          <w:szCs w:val="16"/>
          <w:color w:val="auto"/>
        </w:rPr>
        <w:t>shares of common stock having an aggregate value of</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 based on the initial public offering price. Such awards will be granted on the effective date of this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“Executive Compensation—Equity Awards in Connection with This Offering” for a summary of these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each of our directors and executive officers and certain other shareholders who will own in the aggregate approximately</w:t>
      </w:r>
    </w:p>
    <w:p>
      <w:pPr>
        <w:spacing w:after="0" w:line="4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shares, or approximately % of our common stock after the completion of this offering (assuming they do not purchase any shares in this offering and that the underwriters do not exercise their option to purchase additional shares) are entering into lock-up agreements under which we and they will generally agree not to sell or otherwise transfer our or their shares for a period of 180 days after the date of this prospectus. These lock-up agreements are subject to certain exceptions. For additional information, see “Underwriting—Lock-Up Agreements.” As a result of these contractual restrictions, shares of our common stock subject to lock-up agreements will not be eligible for sale until these agreements expire or the restrictions are waived by the underwriters.</w:t>
      </w:r>
    </w:p>
    <w:p>
      <w:pPr>
        <w:spacing w:after="0" w:line="56"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In addition, we have reserved up to 2,300,000 shares of our common stock offered by this prospectus for sale through a directed share program, at the initial public offering price, to our directors, executive officers, employees and business associates and certain other related persons who have expressed an interest in purchasing our common stock in this offering. See “Underwriting—Lock-Up Agreements.”</w:t>
      </w:r>
    </w:p>
    <w:p>
      <w:pPr>
        <w:spacing w:after="0" w:line="7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Following the lock-up period, all of the shares of our common stock that are restricted securities or are held by our affiliates as of the date of this prospectus will be eligible for sale in the public market only if (i) they are registered under the Securities Act or</w:t>
      </w:r>
    </w:p>
    <w:p>
      <w:pPr>
        <w:ind w:right="40" w:firstLine="5"/>
        <w:spacing w:after="0" w:line="255"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exemption from registration, such as Rule 144, is available. The underwriters do not have any present intention or arrangement to release any shares of our common stock subject to lock-up agreements prior to the expiration of the 180-day lock-up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the sale and (ii) we are subject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Exchange Act periodic reporting requirements for at least 90 days before the sale, subject only to the availability of current public information regarding us. A person who is not deemed to have been one of our affiliates at the time of, or at any time during the 90 days preceding, the sale, and who has beneficially owned for at least one year shares of our common stock that are restricted securities, will be entitled to freely sell such shares under Rule 144 without regard to the current public information requirements of Rule 144.</w:t>
      </w:r>
    </w:p>
    <w:p>
      <w:pPr>
        <w:spacing w:after="0" w:line="80"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auto"/>
        </w:rPr>
        <w:t>Persons who have beneficially owned restricted shares of our common stock for at least six months but who are our affiliates at the time of, or any time during the 90 days preceding, the sale, would be subject to additional restrictions, by which such person would be entitled to sell within any three-month period only a number of securities that does not exceed the greater of the following:</w:t>
      </w:r>
    </w:p>
    <w:p>
      <w:pPr>
        <w:sectPr>
          <w:pgSz w:w="11900" w:h="16838" w:orient="portrait"/>
          <w:cols w:equalWidth="0" w:num="1">
            <w:col w:w="9540"/>
          </w:cols>
          <w:pgMar w:left="1160" w:top="279" w:right="1199" w:bottom="1440" w:gutter="0" w:footer="0" w:header="0"/>
        </w:sectPr>
      </w:pPr>
    </w:p>
    <w:p>
      <w:pPr>
        <w:spacing w:after="0" w:line="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immediately after this offering; or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390" w:lineRule="exact"/>
        <w:rPr>
          <w:sz w:val="20"/>
          <w:szCs w:val="20"/>
          <w:color w:val="auto"/>
        </w:rPr>
      </w:pPr>
    </w:p>
    <w:p>
      <w:pPr>
        <w:sectPr>
          <w:pgSz w:w="11900" w:h="16838" w:orient="portrait"/>
          <w:cols w:equalWidth="0" w:num="3">
            <w:col w:w="420" w:space="280"/>
            <w:col w:w="7180" w:space="460"/>
            <w:col w:w="1200"/>
          </w:cols>
          <w:pgMar w:left="1160" w:top="279" w:right="1199" w:bottom="1440" w:gutter="0" w:footer="0" w:header="0"/>
          <w:type w:val="continuous"/>
        </w:sectPr>
      </w:pPr>
    </w:p>
    <w:p>
      <w:pPr>
        <w:ind w:left="700" w:right="80" w:hanging="344"/>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and notice provisions of Rule 144 to the extent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or as soon as practicable following the completion of this offering, we intend to file a registration statement</w:t>
      </w:r>
    </w:p>
    <w:p>
      <w:pPr>
        <w:spacing w:after="0" w:line="4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with the SEC on Form S-8 to register an aggregate of shares of our common stock reserved for future issuance under the 2019 Plan. That registration statement will become effective upon filing and shares of common stock covered by such registration statement will be eligible for sale in the public market immediately after the effective date of such registration statement (unless held by affiliates) subject to the lock-up agreements described below and the Rule 144 restrictions described above.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135" w:name="page136"/>
    <w:bookmarkEnd w:id="1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The following is a summary of the material United States federal income tax consequences relevant to (i) non-U.S. holders, as defined below, of the purchase, ownership and disposition of our common stock acquired pursuant to this offering, and (ii) existing shareholders of the Company with respect to their existing shares of common stock there were owned as of the date of the revocation of the Company’s election to be treated as an S Corporation for federal income tax purposes. The following summary is based on the provisions of the Code, the applicable United States federal income tax regulations promulgated under the Code, or the Treasury Regulations, and judicial and administrative authority as of the date hereof, all of which are subject to change, possibly with retroactive effect. We have not sought and do not plan to seek any ruling from the IRS with respect to the statements made and the conclusions reached in the following discussion, and we cannot assure you that the IRS or a court will agree with our statements and conclusions. Except as otherwise provided herein with respect to existing shareholders of the Company with respect to certain existing shares of common stock, this summary does not consider the consequences related to state, local, gift, estate, or foreign tax or the Medicare tax on certain investment income, nor does it address tax consequences to special classes of investors including, but not limited to, tax-exempt organizations, insurance companies, banks or other financial institutions, qualified foreign pension funds (or any entities all of the interests of which are held by a qualified foreign pension fund), partnerships or other entities classified as partnerships for United States federal income tax purposes, dealers in securities or foreign currencies, persons liable for the alternative minimum tax, regulated investment companies, real estate investment trusts, controlled foreign corporations, passive foreign investment companies, United States expatriates or United States expatriated entities, those who are subject to the United States anti-inversion rules, traders in securities that elect to use a mark-to-market method of accounting for their securities holdings, persons who have acquired our common stock as compensation or otherwise in connection with the performance of services, persons deemed to sell our common stock under the constructive sale provisions of the Code, or persons that will hold our common stock as a position in a hedging transaction, “straddle,” “conversion transaction,” synthetic security or other integrated investment or risk reduction transaction. Tax consequences may vary depending upon the particular status of an investor. Except as otherwise provided herein with respect to existing shareholders of the Company with respect to certain existing shares of common stock, the summary is limited to non-U.S. holders who will hold our common stock as capital assets (generally, property held for investment) within the meaning of Section 1221 of the Code. Each potential non-U.S. investor should consult its own tax advisor as to the United States federal, state, local, foreign and any other tax consequences of the purchase, ownership and disposition of our common stock.</w:t>
      </w:r>
    </w:p>
    <w:p>
      <w:pPr>
        <w:spacing w:after="0" w:line="28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b w:val="1"/>
          <w:bCs w:val="1"/>
          <w:i w:val="1"/>
          <w:iCs w:val="1"/>
          <w:color w:val="auto"/>
        </w:rPr>
        <w:t xml:space="preserve">Certain Material Federal Income Tax Consequences for Existing Shareholders of the Company. </w:t>
      </w:r>
      <w:r>
        <w:rPr>
          <w:rFonts w:ascii="Arial" w:cs="Arial" w:eastAsia="Arial" w:hAnsi="Arial"/>
          <w:sz w:val="18"/>
          <w:szCs w:val="18"/>
          <w:color w:val="auto"/>
        </w:rPr>
        <w:t>Effective May 31, 2018,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revoked its election to be taxed for U.S. federal and applicable state income tax purposes as an “S Corporation.” As a result, our earnings are now subject to, and we pay, U.S. federal income tax, and provision or liability for U.S. federal income tax is included in our consolidated financial statements. As a result, our taxable income will no longer be “passed through” to our shareholders for purposes of U.S. federal income tax.</w:t>
      </w:r>
    </w:p>
    <w:p>
      <w:pPr>
        <w:spacing w:after="0" w:line="8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revocation was made primarily as a result of the decrease in the level of taxation of a C corporation contained in the Tax Reform Act, which did not contain a similar decrease for S Corporations. The revocation of the Company’s S Corporation election has other benefits including, but not limited to, the ability of the Company to have multiple classes of stock outstanding and increased access to capital markets.</w:t>
      </w:r>
    </w:p>
    <w:p>
      <w:pPr>
        <w:spacing w:after="0" w:line="79"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The Tax Reform Act also provides an opportunity for companies revoking their S Corporation election to distribute within 12 months of the revocation the accumulated adjustments account, or the AAA, on a tax-free basis to shareholders to the extent of such shareholder’s adjusted basis. This special treatment is only available with respect to cash distributions to shareholders of the Company who were shareholders of the Company at the time of the revocation. To take advantage of this special treatment, the Company made a cash distribution of the AAA of $12.5 million in June 2018 and made another $12.5 million cash distribution of the AAA to its shareholders in December 2018. Such distributions are not expected to completely eliminate the Company’s remaining AAA. Each shareholder of the Company who receives a fully or partially tax-free distribution of the Company’s AAA will reduce his, her or its’ tax basis in the Company’s stock by the amount treated as a tax-free return of the Company’s AAA. Shareholders of the Company who were not shareholders at the effective time of the revocation will not receive this benefit and will be taxed in accordance with the general tax rules for distributions by a C corporation to its shareholders.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To the extent that the Company still has a remaining balance in its AAA as of 12 months after the revocation of its S Corporation election, distributions made to its former S Corporation shareholders more than 12 months after the revocation of such election will be treated for federal income tax purposes as made out of both undistributed C Corporation earnings and profits and the Company’s AAA in proportion to the Company’s undistributed C Corporation earnings and profits and the Company’s undistributed</w:t>
      </w:r>
    </w:p>
    <w:p>
      <w:pPr>
        <w:spacing w:after="0" w:line="1" w:lineRule="exact"/>
        <w:rPr>
          <w:sz w:val="20"/>
          <w:szCs w:val="20"/>
          <w:color w:val="auto"/>
        </w:rPr>
      </w:pPr>
    </w:p>
    <w:p>
      <w:pPr>
        <w:ind w:right="40" w:firstLine="5"/>
        <w:spacing w:after="0" w:line="290" w:lineRule="auto"/>
        <w:tabs>
          <w:tab w:leader="none" w:pos="4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may permit a portion of cash distributions after the first year following revocation to its former S Corporation shareholders to continue to be treated as a tax-free return of basis to shareholders that held stock in the Company on the date of the revocation of its S Corporation election. To qualify for this special treatment, the Company must have been an S Corporation on December 21, 2017, the shareholders of the Company as of December 22, 2017 must be the same shareholders and hold their shares in the same percentages on the date that the S Corporation election is revoked and the revocation must occur within the 2 year period beginning on December 22, 2017. The Company believes that it qualifies for this benefit.</w:t>
      </w:r>
    </w:p>
    <w:p>
      <w:pPr>
        <w:spacing w:after="0" w:line="56"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b w:val="1"/>
          <w:bCs w:val="1"/>
          <w:i w:val="1"/>
          <w:iCs w:val="1"/>
          <w:color w:val="auto"/>
        </w:rPr>
        <w:t xml:space="preserve">Certain Material Federal Income Tax Consequences for Non-U.S. Holders. </w:t>
      </w:r>
      <w:r>
        <w:rPr>
          <w:rFonts w:ascii="Arial" w:cs="Arial" w:eastAsia="Arial" w:hAnsi="Arial"/>
          <w:sz w:val="18"/>
          <w:szCs w:val="18"/>
          <w:color w:val="auto"/>
        </w:rPr>
        <w:t>For purposes of this document, a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9" w:lineRule="exact"/>
        <w:rPr>
          <w:sz w:val="20"/>
          <w:szCs w:val="20"/>
          <w:color w:val="auto"/>
        </w:rPr>
      </w:pPr>
    </w:p>
    <w:p>
      <w:pPr>
        <w:ind w:left="700" w:right="440" w:hanging="344"/>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(and certain former citizens and residents of the United States subject to U.S. tax as expatriates);</w:t>
      </w:r>
    </w:p>
    <w:p>
      <w:pPr>
        <w:spacing w:after="0" w:line="62" w:lineRule="exact"/>
        <w:rPr>
          <w:rFonts w:ascii="Arial" w:cs="Arial" w:eastAsia="Arial" w:hAnsi="Arial"/>
          <w:sz w:val="18"/>
          <w:szCs w:val="18"/>
          <w:color w:val="auto"/>
        </w:rPr>
      </w:pPr>
    </w:p>
    <w:p>
      <w:pPr>
        <w:ind w:left="700" w:right="20" w:hanging="344"/>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that is taxable as a corporation) created or organized in the United States or under the laws of the United States or of any State (or the District of Columbia);</w:t>
      </w:r>
    </w:p>
    <w:p>
      <w:pPr>
        <w:spacing w:after="0" w:line="62" w:lineRule="exact"/>
        <w:rPr>
          <w:rFonts w:ascii="Arial" w:cs="Arial" w:eastAsia="Arial" w:hAnsi="Arial"/>
          <w:sz w:val="18"/>
          <w:szCs w:val="18"/>
          <w:color w:val="auto"/>
        </w:rPr>
      </w:pPr>
    </w:p>
    <w:p>
      <w:pPr>
        <w:ind w:left="700" w:right="120" w:hanging="344"/>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700" w:right="60" w:hanging="344"/>
        <w:spacing w:after="0" w:line="311" w:lineRule="auto"/>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U.S. person on the previous day, and elected to continue to be so treated.</w:t>
      </w:r>
    </w:p>
    <w:p>
      <w:pPr>
        <w:spacing w:after="0" w:line="41" w:lineRule="exact"/>
        <w:rPr>
          <w:sz w:val="20"/>
          <w:szCs w:val="20"/>
          <w:color w:val="auto"/>
        </w:rPr>
      </w:pPr>
    </w:p>
    <w:p>
      <w:pPr>
        <w:jc w:val="both"/>
        <w:ind w:right="60" w:firstLine="360"/>
        <w:spacing w:after="0" w:line="301" w:lineRule="auto"/>
        <w:rPr>
          <w:sz w:val="20"/>
          <w:szCs w:val="20"/>
          <w:color w:val="auto"/>
        </w:rPr>
      </w:pPr>
      <w:r>
        <w:rPr>
          <w:rFonts w:ascii="Arial" w:cs="Arial" w:eastAsia="Arial" w:hAnsi="Arial"/>
          <w:sz w:val="16"/>
          <w:szCs w:val="16"/>
          <w:color w:val="auto"/>
        </w:rPr>
        <w:t>If an entity or arrangement treated as a partnership for United States federal income tax purposes holds our common stock, the tax treatment of a partner in the partnership will generally depend upon the status of the partner and the activities of the partnership. If you are a partnership or treated as a partner in an entity or arrangement treated as a partnership that holds our common stock, you should consult your tax advisor as to the United States federal income tax consequences applicable to you.</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Distributions of cash or property (other than certain stock distributions) with respect to our common stock will be treated as dividends when paid to the extent of our current and accumulated earnings and profits as of the end of our taxable year of the distribution, determined for United States federal income tax purposes. To the extent any such distributions exceed both our current and accumulated earnings and profits, such excess amount will first be treated as a tax-free return of capital reducing your adjusted tax basis in our common stock, but not below zero, and thereafter will be treated as gain from the sale or other taxable disposition of such stock, the treatment of which is discussed under “Gain on Disposition of Shares of Common Stock.” Your adjusted tax basis in a share of our common stock is generally your purchase price for such share, reduced (but not below zero) by the amount of such prior tax free returns of capital.</w:t>
      </w:r>
    </w:p>
    <w:p>
      <w:pPr>
        <w:spacing w:after="0" w:line="8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Subject to the withholding requirements of the Foreign Account Tax Compliance Act, or FATCA, and with respect to effectively connected dividends, each of which is described below, dividends paid to a Non-U.S. Holder with respect to shares of our common stock will be subject to withholding of United States federal income tax at a 30% gross rate or at a lower rate if you are eligible for the benefits of an income tax treaty that provides for a lower rate.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claim the benefit of a lower treaty rate with respect to dividends paid to you, you must furnish to us or our paying agent:</w:t>
      </w:r>
    </w:p>
    <w:p>
      <w:pPr>
        <w:spacing w:after="0" w:line="129" w:lineRule="exact"/>
        <w:rPr>
          <w:sz w:val="20"/>
          <w:szCs w:val="20"/>
          <w:color w:val="auto"/>
        </w:rPr>
      </w:pPr>
    </w:p>
    <w:p>
      <w:pPr>
        <w:ind w:left="700" w:right="280" w:hanging="344"/>
        <w:spacing w:after="0" w:line="342"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valid IRS Form W-8BEN, W-8BEN-E or an acceptable substitute form upon which you certify, under penalties of perjury, your status as a non-U.S. person and your entitlement to the lower treaty rate with respect to such payments, or</w:t>
      </w:r>
    </w:p>
    <w:p>
      <w:pPr>
        <w:spacing w:after="0" w:line="15" w:lineRule="exact"/>
        <w:rPr>
          <w:rFonts w:ascii="Arial" w:cs="Arial" w:eastAsia="Arial" w:hAnsi="Arial"/>
          <w:sz w:val="16"/>
          <w:szCs w:val="16"/>
          <w:color w:val="auto"/>
        </w:rPr>
      </w:pPr>
    </w:p>
    <w:p>
      <w:pPr>
        <w:ind w:left="700" w:right="240" w:hanging="344"/>
        <w:spacing w:after="0" w:line="308" w:lineRule="auto"/>
        <w:tabs>
          <w:tab w:leader="none" w:pos="7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our common stock is held through certain foreign intermediaries or foreign partnerships, other documentary evidence establishing your entitlement to the lower treaty rate in accordance with Treasury Regulations.</w:t>
      </w:r>
    </w:p>
    <w:p>
      <w:pPr>
        <w:spacing w:after="0" w:line="38"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This certification must be provided to us or our paying agent prior to the payment to you of any dividends and must be updated periodically, including upon a change in circumstances that makes any information on such certificate incorrect.</w:t>
      </w:r>
    </w:p>
    <w:p>
      <w:pPr>
        <w:spacing w:after="0" w:line="38"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IRS.</w:t>
      </w:r>
    </w:p>
    <w:p>
      <w:pPr>
        <w:spacing w:after="0" w:line="62"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(or, in the case of an individual, a fixed base) that you maintain in the United States, you will be taxed on a net income basis at applicable graduated individual or corporate tax rates in generally the same manner as if you were a U.S. person as defined under the Code, unless an applicable income tax treaty provides otherwise. However, we generally are not required to withhold tax from effectively connected dividends, provided that you have furnished to us or our paying agent a valid IRS Form W-8ECI or an acceptable substitute form upon which you represent, under penalties of perjury, that:</w:t>
      </w:r>
    </w:p>
    <w:p>
      <w:pPr>
        <w:spacing w:after="0" w:line="87" w:lineRule="exact"/>
        <w:rPr>
          <w:sz w:val="20"/>
          <w:szCs w:val="20"/>
          <w:color w:val="auto"/>
        </w:rPr>
      </w:pPr>
    </w:p>
    <w:p>
      <w:pPr>
        <w:ind w:left="700" w:hanging="344"/>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are a non-U.S. person; and</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are includible in your gross income.</w:t>
      </w:r>
    </w:p>
    <w:p>
      <w:pPr>
        <w:spacing w:after="0" w:line="62"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If you are a corporate non-U.S. holder, effectively connected dividends that you receive may, under certain circumstances, be subject to an additional “branch profits tax” at a 30% gross rate, or at a lower rate if you are eligible for the benefits of an applicable income tax treaty.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Subject to the discussions below regarding backup withholding and FATCA, as a non-U.S. holder, you generally will not be subject to United States federal income or withholding tax on gain realized on the sale, exchange or other disposition of our common stock unless (i) you are an individual who is present in the United States for 183 or more days in the taxable year of the sale or other disposition and certain other conditions exist, (ii) the gain is “effectively connected” with your conduct of a trade or business in the United States, and the gain is attributable to a permanent establishment (or, in the case of a non-U.S. individual, a fixed base) that you maintain in the United States, if such permanent establishment or fixed base is required by an applicable income tax treaty as a condition to subjecting you to United States taxation on a net income basis; or (iii) we are or have been a U.S. real property holding corporation, or USRPHC, for United States federal income tax purposes at any time during the shorter of the five-year period ending on the date of the disposition or the period that you held shares of our common stock, and certain other conditions are met.</w:t>
      </w:r>
    </w:p>
    <w:p>
      <w:pPr>
        <w:spacing w:after="0" w:line="86"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If you are an individual described in (i) above, you will be subject to a 30% tax (or such lower rate as may be specified by an applicable income tax treaty) on the net gain derived from the sale, which may be offset by certain United States source capital losses, if any, recognized in the taxable year of the disposition of our common stock. If you are a non-U.S. holder described in (ii) above, gain recognized on the sale generally will be subject to United States federal income tax at graduated United States federal income tax rates on a net income basis and in generally the same manner as if the non-U.S. holder were a U.S. person as defined in the Code, unless an applicable income tax treaty provides otherwise. Additionally, a non-U.S. holder that is a corporation may be subject to the branch profits tax equal to 30% of its effectively connected earnings and profits, subject to certain adjustments, or at such lower rate as may be specified by an applicable income tax treaty.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Although we have not made a determination, we believe that we are not currently and we do not expect to become a USRPHC in the foreseeable future. Generally,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become a USRPHC, as long as our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our common stock, more than 5% of our common stock will be treated as disposing of a U.S. real property interest and will be taxable on gain realized on the disposition of our common stock as a result of our status as a USRPHC. If we were to become a USRPHC and our common stock were not considered to be regularly traded on an established securities market, such holder (regardless of the percentage of stock owned) would be treated as disposing of a U.S. real property interest and would be subject to U.S. federal income tax on a taxable disposition of our common stock (as described in the preceding paragraph), and a 10% withholding tax would apply to the gross proceeds from such disposition unless the holder is able to obtain a withholding certificate from the IRS reducing or eliminating the amount to be withheld, or otherwise qualifies for an exemption (such as in the case of certain nonrecognition transactions).</w:t>
      </w:r>
    </w:p>
    <w:p>
      <w:pPr>
        <w:spacing w:after="0" w:line="63"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Payments of dividends, and the tax withheld on those payments, are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also may be made available to the tax authorities in the country in which the non-U.S. holder resides. U.S. backup withholding generally will apply to payments of dividends to a non-U.S. holder unless such non-U.S. holder furnishes to the payor a Form W-8BEN or Form W-8BEN-E (or other applicable or successor form), or otherwise establishes an exemption and the payor does not have actual knowledge or reason to know that the holder is a U.S. person, as defined under the Code, that is not an exempt recipient or that the conditions of any other exemption are not, in fact, satisfied.</w:t>
      </w:r>
    </w:p>
    <w:p>
      <w:pPr>
        <w:spacing w:after="0" w:line="57"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Payment of the proceeds of a sale or other disposition of our common stock within the United States or conducted through certain U.S.-related entities and financial intermediaries is subject to information reporting and, depending on the circumstances, backup withholding, unless the non-U.S. holder, or beneficial owner thereof, as applicable, certifies that it is a non-U.S. holder on Form W-8BEN, W-8BEN-E (or other applicable or successor form), or otherwise establishes an exemption and the payor does not have actual knowledge or reason to know the holder is a U.S. person, as defined under the Code, that is not an exempt recipient or that the conditions of any other exemption are not, in fact, satisfied.</w:t>
      </w:r>
    </w:p>
    <w:p>
      <w:pPr>
        <w:spacing w:after="0" w:line="70"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Backup withholding is not an additional tax. Any amount withheld under the backup withholding rules from a payment to a non-U.S. holder may be allowed as a refund or a credit against the non-U.S. holder’s United States federal income tax liability, provided that the non-U.S. holder timely provides the required information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FATCA imposes a 30% withholding tax on certain types of payments made to foreign financial institutions, or FFIs, and certain other non-U.S. entities unless certain due diligence, reporting, withholding, and certification requirements are satisfied.</w:t>
      </w:r>
    </w:p>
    <w:p>
      <w:pPr>
        <w:spacing w:after="0" w:line="3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As a general matter, FATCA imposes a 30% withholding tax on dividends on, and, from and after January 1, 2019, gross proceeds from the sale or other disposition of, our common stock if paid to a foreign entity unless (i) the foreign entity is an FFI that undertakes certain due diligence, reporting, withholding, and certification obligations, or in the case of an FFI that is a resident in a jurisdiction that has entered into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intergovernmental agreement to implement FATCA, the entity complies with the diligence and reporting requirements of such an agreement; (ii) the foreign entity is not an FFI and either certifies that it does not have any “substantial” U.S. owners or furnishes identifying information regarding each substantial U.S. owner; or (iii) the foreign entity qualifies for an exemption from these rules. In certain cases, a “substantial” United States owner can mean an owner of any interest in the foreign entity.</w:t>
      </w:r>
    </w:p>
    <w:p>
      <w:pPr>
        <w:spacing w:after="0" w:line="63" w:lineRule="exact"/>
        <w:rPr>
          <w:sz w:val="20"/>
          <w:szCs w:val="20"/>
          <w:color w:val="auto"/>
        </w:rPr>
      </w:pPr>
    </w:p>
    <w:p>
      <w:pPr>
        <w:jc w:val="both"/>
        <w:ind w:right="60" w:firstLine="360"/>
        <w:spacing w:after="0" w:line="311" w:lineRule="auto"/>
        <w:rPr>
          <w:sz w:val="20"/>
          <w:szCs w:val="20"/>
          <w:color w:val="auto"/>
        </w:rPr>
      </w:pPr>
      <w:r>
        <w:rPr>
          <w:rFonts w:ascii="Arial" w:cs="Arial" w:eastAsia="Arial" w:hAnsi="Arial"/>
          <w:sz w:val="16"/>
          <w:szCs w:val="16"/>
          <w:color w:val="auto"/>
        </w:rPr>
        <w:t>If withholding is required under FATCA on a payment related to our common stock, investors that otherwise would be exempt from withholding (or that otherwise would be entitled to a reduced rate of withholding) generally will be required to seek a refund or credit from the IRS to obtain the benefit of such exemption or reduction (provided that such benefit is available).</w:t>
      </w:r>
    </w:p>
    <w:p>
      <w:pPr>
        <w:spacing w:after="0" w:line="4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Non-U.S. holders are encouraged to consult with their tax advisors regarding the possible implications of FATCA on their investment in our common stock.</w:t>
      </w:r>
    </w:p>
    <w:p>
      <w:pPr>
        <w:spacing w:after="0" w:line="5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color w:val="auto"/>
        </w:rPr>
        <w:t>This summary is for general information only and is not intended to constitute a complete description of all U.S. federal income tax consequences for non-U.S. holders relating to the purchase, ownership, and disposition of shares of our common stock acquired pursuant to this offering. If you are considering the purchase of shares of our common stock, you should consult with your tax advisor concerning the particular U.S. federal income tax consequences to you of the purchase, ownership and disposition of shares of our common stock, as well as the consequences to you arising under U.S. tax laws other than the federal income tax law discussed in this summary or under the laws of any other applicable taxing jurisdiction in light of your particular circumstances.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60" w:firstLine="360"/>
        <w:spacing w:after="0" w:line="296" w:lineRule="auto"/>
        <w:rPr>
          <w:sz w:val="20"/>
          <w:szCs w:val="20"/>
          <w:color w:val="auto"/>
        </w:rPr>
      </w:pPr>
      <w:r>
        <w:rPr>
          <w:rFonts w:ascii="Arial" w:cs="Arial" w:eastAsia="Arial" w:hAnsi="Arial"/>
          <w:sz w:val="16"/>
          <w:szCs w:val="16"/>
          <w:color w:val="auto"/>
        </w:rPr>
        <w:t>We and the selling shareholders are offering the shares of our common stock described in this prospectus in an underwritten offering in which we, the selling shareholders and the underwriters, Keefe, Bruyette &amp; Woods, Inc. and Sandler O’Neill &amp; Partners, L.P., are entering into an underwriting agreement with respect to the shares of our common stock being offered hereby. Subject to certain conditions, each underwriter has severally agreed to purchase, and we and the selling shareholders have severally and not jointly agreed to sell, the number of shares of our common stock indicated in the following table:</w:t>
      </w:r>
    </w:p>
    <w:p>
      <w:pPr>
        <w:spacing w:after="0" w:line="1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6350</wp:posOffset>
            </wp:positionV>
            <wp:extent cx="9683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Sandler O’Neill &amp;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606933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69330" cy="1797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131"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The underwriters are offering the shares of our common stock subject to a number of conditions, including (among other things) that the representations and warranties made by us and the selling shareholders to the underwriters in the underwriting agreement are true, that there is no material adverse change in the financial markets, that we and the selling shareholders deliver customary closing documents and legal opinions to the underwriters and receipt and acceptance of our common stock by the underwriters. The obligations of the underwriters to pay for and accept delivery of the shares offered by this prospectus are subject to these conditions. The underwriting agreement further provides that if any underwriter defaults, the purchase commitments of the non-defaulting underwriters may be increased or this offering may be terminated.</w:t>
      </w:r>
    </w:p>
    <w:p>
      <w:pPr>
        <w:spacing w:after="0" w:line="69"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offering documents to investors electronically. See “—Electronic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121"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Shares of our common stock sold by the underwriters to the public will be offered at the initial public offering price set forth on the cover page of this prospectus. Any shares of our common stock sold by the underwriters to securities dealers may be sold at a</w:t>
      </w:r>
    </w:p>
    <w:p>
      <w:pPr>
        <w:ind w:right="160"/>
        <w:spacing w:after="0" w:line="255" w:lineRule="auto"/>
        <w:rPr>
          <w:sz w:val="20"/>
          <w:szCs w:val="20"/>
          <w:color w:val="auto"/>
        </w:rPr>
      </w:pPr>
      <w:r>
        <w:rPr>
          <w:rFonts w:ascii="Arial" w:cs="Arial" w:eastAsia="Arial" w:hAnsi="Arial"/>
          <w:sz w:val="18"/>
          <w:szCs w:val="18"/>
          <w:color w:val="auto"/>
        </w:rPr>
        <w:t>discount of up to $ per share from the initial public offering price. If all of the shares of our common stock are not sold at the initial public offering price, the underwriters may change the offering price and the other selling terms. Sales of shares of our common stock made outside of the U.S. may be made by affiliates of the underwriters.</w:t>
      </w:r>
    </w:p>
    <w:p>
      <w:pPr>
        <w:spacing w:after="0" w:line="82"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following table shows the initial public offering price, underwriting discounts and proceeds before expenses to us and to the selling shareholders. The information assumes either no exercise or full exercise by the underwriters of their option to purchase</w:t>
      </w: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an additional</w:t>
            </w:r>
          </w:p>
        </w:tc>
        <w:tc>
          <w:tcPr>
            <w:tcW w:w="4860" w:type="dxa"/>
            <w:vAlign w:val="bottom"/>
          </w:tcPr>
          <w:p>
            <w:pPr>
              <w:ind w:left="220"/>
              <w:spacing w:after="0"/>
              <w:rPr>
                <w:sz w:val="20"/>
                <w:szCs w:val="20"/>
                <w:color w:val="auto"/>
              </w:rPr>
            </w:pPr>
            <w:r>
              <w:rPr>
                <w:rFonts w:ascii="Arial" w:cs="Arial" w:eastAsia="Arial" w:hAnsi="Arial"/>
                <w:sz w:val="18"/>
                <w:szCs w:val="18"/>
                <w:color w:val="auto"/>
              </w:rPr>
              <w:t>shares of common stock from us, discussed below:</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11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No Exercise</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9"/>
                <w:szCs w:val="19"/>
                <w:color w:val="auto"/>
              </w:rPr>
            </w:pPr>
          </w:p>
        </w:tc>
      </w:tr>
      <w:tr>
        <w:trPr>
          <w:trHeight w:val="243"/>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6020" w:type="dxa"/>
            <w:vAlign w:val="bottom"/>
            <w:gridSpan w:val="2"/>
          </w:tcPr>
          <w:p>
            <w:pPr>
              <w:spacing w:after="0"/>
              <w:rPr>
                <w:sz w:val="20"/>
                <w:szCs w:val="20"/>
                <w:color w:val="auto"/>
              </w:rPr>
            </w:pPr>
            <w:r>
              <w:rPr>
                <w:rFonts w:ascii="Arial" w:cs="Arial" w:eastAsia="Arial" w:hAnsi="Arial"/>
                <w:sz w:val="18"/>
                <w:szCs w:val="18"/>
                <w:color w:val="auto"/>
              </w:rPr>
              <w:t>Underwriting discounts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Proceeds to selling shareholders, before expenses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and the selling shareholders estimate the expenses of this offering, not including the underwriting discounts, to be approximately $ million and such expenses are payable by us. We also have agreed to reimburse the underwriters up to $20,000 for certain of their offering expenses, including their counsel fees for expenses related to FINRA matters, state securities and “blue sky” filings, and the directed share program. In accordance with FINRA Rule 5110, these reimbursed fees are deemed underwriting compensation for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have granted the underwriters an option to purchase up to additional shares of our common stock, at the initial public offering price, less the underwriting discount. The underwriters may exercise this option, in whole or in part, from time to time for a period of 30 days from the date of this prospectus. We will be obligated to sell these shares to the underwriters to the extent their option to purchase additional shares of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is exercised. Furthermore, if the underwriters exercise this option, each underwriter will be obligated, subject to the conditions in the underwriting agreement, to purchase a number of additional shares of common stock from the selling shareholders proportionate to the number of shares reflected next to such underwriter’s name in the table above relative to the total number of shares reflected in such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We, our executive officers and directors and the selling shareholders, will enter into lock-up agreements with the underwriters. Under these agreements, we and each of these persons may not, without the prior written approval of the underwriters and subject to limited exceptions:</w:t>
      </w:r>
    </w:p>
    <w:p>
      <w:pPr>
        <w:spacing w:after="0" w:line="76" w:lineRule="exact"/>
        <w:rPr>
          <w:sz w:val="20"/>
          <w:szCs w:val="20"/>
          <w:color w:val="auto"/>
        </w:rPr>
      </w:pPr>
    </w:p>
    <w:p>
      <w:pPr>
        <w:ind w:left="700" w:right="20" w:hanging="344"/>
        <w:spacing w:after="0" w:line="254"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Exchange Act,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exercise any right with respect to the registration thereof, or file or cause to be filed any registration statement under the Securities Act, with respect to any of the foregoing;</w:t>
      </w:r>
    </w:p>
    <w:p>
      <w:pPr>
        <w:spacing w:after="0" w:line="86" w:lineRule="exact"/>
        <w:rPr>
          <w:rFonts w:ascii="Arial" w:cs="Arial" w:eastAsia="Arial" w:hAnsi="Arial"/>
          <w:sz w:val="18"/>
          <w:szCs w:val="18"/>
          <w:color w:val="auto"/>
        </w:rPr>
      </w:pPr>
    </w:p>
    <w:p>
      <w:pPr>
        <w:ind w:left="700" w:right="260" w:hanging="344"/>
        <w:spacing w:after="0" w:line="259"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enter into any swap, hedge, or any other agreement or any transaction that transfers, in whole or in part, directly or indirectly, the economic consequence of ownership of the shares of our common stock or such other securities, whether any such swap or transaction is to be settled by delivery of shares of our common stock or other securities, in cash or otherwise; or</w:t>
      </w:r>
    </w:p>
    <w:p>
      <w:pPr>
        <w:spacing w:after="0" w:line="78" w:lineRule="exact"/>
        <w:rPr>
          <w:rFonts w:ascii="Arial" w:cs="Arial" w:eastAsia="Arial" w:hAnsi="Arial"/>
          <w:sz w:val="18"/>
          <w:szCs w:val="18"/>
          <w:color w:val="auto"/>
        </w:rPr>
      </w:pPr>
    </w:p>
    <w:p>
      <w:pPr>
        <w:ind w:left="700" w:right="220" w:hanging="344"/>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pledge, sale or disposition, or to enter into any such swap, hedge, transaction or other arrangement.</w:t>
      </w:r>
    </w:p>
    <w:p>
      <w:pPr>
        <w:spacing w:after="0" w:line="62" w:lineRule="exact"/>
        <w:rPr>
          <w:sz w:val="20"/>
          <w:szCs w:val="20"/>
          <w:color w:val="auto"/>
        </w:rPr>
      </w:pPr>
    </w:p>
    <w:p>
      <w:pPr>
        <w:ind w:right="80" w:firstLine="360"/>
        <w:spacing w:after="0" w:line="296" w:lineRule="auto"/>
        <w:rPr>
          <w:sz w:val="20"/>
          <w:szCs w:val="20"/>
          <w:color w:val="auto"/>
        </w:rPr>
      </w:pPr>
      <w:r>
        <w:rPr>
          <w:rFonts w:ascii="Arial" w:cs="Arial" w:eastAsia="Arial" w:hAnsi="Arial"/>
          <w:sz w:val="16"/>
          <w:szCs w:val="16"/>
          <w:color w:val="auto"/>
        </w:rPr>
        <w:t>These restrictions will be in effect for a period of 180 days after the date of this prospectus. At any time and without public notice, the underwriters may, in their sole discretion, waive or release all or some of the securities from these lock-up agreements. However, as to any of our executive officers or directors, the underwriters have agreed to notify us at least three business days before the effective date of any release or waiver, and we have agreed to announce the impending release or waiver by press release through a major news service at least two business days before the effective date of the release or waiver.</w:t>
      </w:r>
    </w:p>
    <w:p>
      <w:pPr>
        <w:spacing w:after="0" w:line="53" w:lineRule="exact"/>
        <w:rPr>
          <w:sz w:val="20"/>
          <w:szCs w:val="20"/>
          <w:color w:val="auto"/>
        </w:rPr>
      </w:pPr>
    </w:p>
    <w:p>
      <w:pPr>
        <w:ind w:right="120" w:firstLine="360"/>
        <w:spacing w:after="0" w:line="311" w:lineRule="auto"/>
        <w:rPr>
          <w:sz w:val="20"/>
          <w:szCs w:val="20"/>
          <w:color w:val="auto"/>
        </w:rPr>
      </w:pPr>
      <w:r>
        <w:rPr>
          <w:rFonts w:ascii="Arial" w:cs="Arial" w:eastAsia="Arial" w:hAnsi="Arial"/>
          <w:sz w:val="16"/>
          <w:szCs w:val="16"/>
          <w:color w:val="auto"/>
        </w:rPr>
        <w:t>These restrictions also apply to securities convertible into or exchangeable or exercisable for or repayable with our common stock to the same extent as they apply to our common stock. They also apply to our common stock owned now or later acquired by the person executing the agreement or for which the person executing the agreement later acquires the power of disposition.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among us, the selling shareholders and the underwriters. In addition to prevailing market conditions, among the factors considered in determining the initial public offering price of our common stock were our historical performance, our business potential and our earnings prospects, an assessment of our management, the recent market prices of, and demand for, publicly-traded common stock of comparable companies, the consideration of the above factors in relation to market valuation of comparable companies in related businesses and other factors deemed relevant by the underwriters and us. Neither we nor the underwriters can assure investors that an active trading market for the shares of our common stock may not develop. It is also possible that the shares of our common stock will not trade in the public market at or above the initial public offering price following the completion of this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common stock on the NASDAQ Global Select Market under the symbol “SPFI.”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Contribution</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We and the selling shareholders have agreed to indemnify the underwriters and their affiliates, selling agents and controlling persons against certain liabilities, including under the Securities Act. If we are unable to provide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indemnification, we will contribute to the payments the underwriters and its affiliates, selling agents and controlling persons may be required to make in respect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To facilitate this offering and in accordance with Regulation M under the Exchange Act, or Regulation M, the underwriters may, but are not obligated to, engage in transactions that stabilize, maintain or otherwise affect the price of our common stock, including:</w:t>
      </w:r>
    </w:p>
    <w:p>
      <w:pPr>
        <w:spacing w:after="0" w:line="76" w:lineRule="exact"/>
        <w:rPr>
          <w:sz w:val="20"/>
          <w:szCs w:val="20"/>
          <w:color w:val="auto"/>
        </w:rPr>
      </w:pPr>
    </w:p>
    <w:p>
      <w:pPr>
        <w:ind w:left="700" w:hanging="344"/>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short sales;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it is required to purchase in this offering.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84"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they may purchase shares through the option to purchase additional shares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8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As an additional means of facilitating our initial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short positions or to stabilize the price of our common stock.</w:t>
      </w:r>
    </w:p>
    <w:p>
      <w:pPr>
        <w:spacing w:after="0" w:line="6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Neither we nor the underwriters make any representation or prediction as to the effect that the transactions described above may have on the price of our common stock. If these activities are commenced, they may be discontinued by the underwriters at any time without notice. The underwriters may carry out these transactions on the NASDAQ Global Select Market, in the over-the-counter market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In connection with this offering, the underwriters and the selling group members, if any, who are qualified market markers on the NASDAQ Global Select Market may engage in passive market making transactions in our common stock on the NASDAQ Global Select Market in accordance with Rule 103 of Regulation M during a period before the commencement of offers or sales of our common stock and extending through the completion of the distribution of this offering. A passive market maker must generally display its bid at a price not in excess of the highest independent bid of that security. However, if all independent bids are lowered below the passive market maker’s bid, the passive market maker may continue to bid and effect purchases at a price exceeding the then highest independent bid until specified purchase limits are exceeded, at which time such bid must be lowered to an amount no higher than the then highest independent bid. Passive market making may cause the price of our common stock to be higher than the price that otherwise would exist in the open market in the absence of those transactions. The underwriters engaged in passive market making are not required to engage in passive market making and may end passive market making activities at any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the underwriters or its affiliates. In those cases, prospective investors may view offering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on any other website maintained by the underwriters is not part of this prospectus, has not been approved and/or endorsed by the underwriters or us, and should not be relied upon by investors.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At our request, the underwriters have reserved for sale, at the initial public offering price, up to shares of our common stock for sale to our directors, executive officers, employees and business associates and certain other related persons. Reserved shares purchased by our directors and executive officers will be subject to the lock-up provisions described above. The number of shares of our common stock available for sale to the general public will be reduced to the extent these persons purchase the reserved shares. We do not know if these persons will choose to purchase all or any portion of these reserved shares. Any reserved shares of our common stock that are not so purchased will be offered by the underwriters to the general public on the same terms as the other shares of our common stock offered by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2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Hunton Andrews Kurth LLP, Dallas, Texas, will pass upon the validity of the shares of common stock offered by this prospectus and certain other legal matters for us and for the selling shareholders. Fenimore, Kay, Harrison &amp; Ford, LLP, Austin, Texas, is acting as counsel for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consolidated financial statements as of and for the year ended December 31, 2017 appearing in this prospectus and registration statement have been audited by Weaver and Tidwell, L.L.P., independent registered public accounting firm, as set forth in its report thereon appearing elsewhere herein, and are included in reliance upon such report given on the authority of that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our common stock offered hereby. This prospectus, which constitutes part of the registration statement, does not contain all of the information set forth in the registration statement or the exhibits or schedules filed therewith. Some items are omitted in accordance with the rules and regulations of the SEC. For further information about us and our common stock that we propose to sell in this offering, we refer you to the registration statement and the exhibits and schedules filed as a part of the registration statement.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You may read and copy the registration statement, including the exhibits and schedules to the registration statement, at the SEC’s Public Reference Room at 100 F Street, N.E., Room 1580, and Washington, D.C. 20549. Please call the SEC at 1-800-SEC-0330 for further information on the operation of the Public Reference Room. Our filings with the SEC, including the registration statement, are also available to you for free on the SEC’s internet website at www.sec.gov.</w:t>
      </w:r>
    </w:p>
    <w:p>
      <w:pPr>
        <w:spacing w:after="0" w:line="7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Following the offering, we will become subject to the informational and reporting requirements of the Exchange Act and, in accordance with those requirements, will file reports and proxy and information statements and other information with the SEC. You will be able to inspect and copy these reports and proxy and information statements and other information at the addresses set forth above. We intend to furnish to our shareholders our annual reports containing our audited consolidated financial statements certified by an independent public accounting firm.</w:t>
      </w:r>
    </w:p>
    <w:p>
      <w:pPr>
        <w:spacing w:after="0" w:line="80"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We also maintain an internet site at www.city.bank. Information on, or accessible through, our website is not part of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5"/>
                <w:szCs w:val="15"/>
                <w:color w:val="auto"/>
              </w:rPr>
            </w:pPr>
          </w:p>
        </w:tc>
      </w:tr>
      <w:tr>
        <w:trPr>
          <w:trHeight w:val="189"/>
        </w:trPr>
        <w:tc>
          <w:tcPr>
            <w:tcW w:w="4500" w:type="dxa"/>
            <w:vAlign w:val="bottom"/>
            <w:gridSpan w:val="7"/>
            <w:shd w:val="clear" w:color="auto" w:fill="CCEEFF"/>
          </w:tcPr>
          <w:p>
            <w:pPr>
              <w:spacing w:after="0" w:line="189" w:lineRule="exact"/>
              <w:rPr>
                <w:rFonts w:ascii="Arial" w:cs="Arial" w:eastAsia="Arial" w:hAnsi="Arial"/>
                <w:sz w:val="18"/>
                <w:szCs w:val="18"/>
                <w:color w:val="0000EE"/>
              </w:rPr>
            </w:pPr>
            <w:hyperlink w:anchor="page147">
              <w:r>
                <w:rPr>
                  <w:rFonts w:ascii="Arial" w:cs="Arial" w:eastAsia="Arial" w:hAnsi="Arial"/>
                  <w:sz w:val="18"/>
                  <w:szCs w:val="18"/>
                  <w:color w:val="0000EE"/>
                </w:rPr>
                <w:t>Independent Auditor’s Report</w:t>
              </w:r>
            </w:hyperlink>
          </w:p>
        </w:tc>
        <w:tc>
          <w:tcPr>
            <w:tcW w:w="4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rFonts w:ascii="Arial" w:cs="Arial" w:eastAsia="Arial" w:hAnsi="Arial"/>
                <w:sz w:val="18"/>
                <w:szCs w:val="18"/>
                <w:color w:val="0000EE"/>
              </w:rPr>
            </w:pPr>
            <w:hyperlink w:anchor="page147">
              <w:r>
                <w:rPr>
                  <w:rFonts w:ascii="Arial" w:cs="Arial" w:eastAsia="Arial" w:hAnsi="Arial"/>
                  <w:sz w:val="18"/>
                  <w:szCs w:val="18"/>
                  <w:color w:val="0000EE"/>
                </w:rPr>
                <w:t>F-2</w:t>
              </w:r>
            </w:hyperlink>
          </w:p>
        </w:tc>
      </w:tr>
      <w:tr>
        <w:trPr>
          <w:trHeight w:val="34"/>
        </w:trPr>
        <w:tc>
          <w:tcPr>
            <w:tcW w:w="20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2160" w:type="dxa"/>
            <w:vAlign w:val="bottom"/>
            <w:gridSpan w:val="2"/>
          </w:tcPr>
          <w:p>
            <w:pPr>
              <w:spacing w:after="0" w:line="189"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Consolidated Balance Sheet</w:t>
              </w:r>
            </w:hyperlink>
          </w:p>
        </w:tc>
        <w:tc>
          <w:tcPr>
            <w:tcW w:w="2340" w:type="dxa"/>
            <w:vAlign w:val="bottom"/>
            <w:gridSpan w:val="5"/>
          </w:tcPr>
          <w:p>
            <w:pPr>
              <w:spacing w:after="0"/>
              <w:rPr>
                <w:sz w:val="16"/>
                <w:szCs w:val="16"/>
                <w:color w:val="auto"/>
              </w:rPr>
            </w:pPr>
          </w:p>
        </w:tc>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gridSpan w:val="2"/>
          </w:tcPr>
          <w:p>
            <w:pPr>
              <w:spacing w:after="0" w:line="189" w:lineRule="exact"/>
              <w:rPr>
                <w:rFonts w:ascii="Arial" w:cs="Arial" w:eastAsia="Arial" w:hAnsi="Arial"/>
                <w:sz w:val="18"/>
                <w:szCs w:val="18"/>
                <w:color w:val="0000EE"/>
              </w:rPr>
            </w:pPr>
            <w:hyperlink w:anchor="page148">
              <w:r>
                <w:rPr>
                  <w:rFonts w:ascii="Arial" w:cs="Arial" w:eastAsia="Arial" w:hAnsi="Arial"/>
                  <w:sz w:val="18"/>
                  <w:szCs w:val="18"/>
                  <w:color w:val="0000EE"/>
                </w:rPr>
                <w:t>F-3</w:t>
              </w:r>
            </w:hyperlink>
          </w:p>
        </w:tc>
      </w:tr>
      <w:tr>
        <w:trPr>
          <w:trHeight w:val="34"/>
        </w:trPr>
        <w:tc>
          <w:tcPr>
            <w:tcW w:w="20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368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Consolidated Statement of Comprehensive Income</w:t>
              </w:r>
            </w:hyperlink>
          </w:p>
        </w:tc>
        <w:tc>
          <w:tcPr>
            <w:tcW w:w="820" w:type="dxa"/>
            <w:vAlign w:val="bottom"/>
            <w:gridSpan w:val="2"/>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rFonts w:ascii="Arial" w:cs="Arial" w:eastAsia="Arial" w:hAnsi="Arial"/>
                <w:sz w:val="18"/>
                <w:szCs w:val="18"/>
                <w:color w:val="0000EE"/>
              </w:rPr>
            </w:pPr>
            <w:hyperlink w:anchor="page149">
              <w:r>
                <w:rPr>
                  <w:rFonts w:ascii="Arial" w:cs="Arial" w:eastAsia="Arial" w:hAnsi="Arial"/>
                  <w:sz w:val="18"/>
                  <w:szCs w:val="18"/>
                  <w:color w:val="0000EE"/>
                </w:rPr>
                <w:t>F-4</w:t>
              </w:r>
            </w:hyperlink>
          </w:p>
        </w:tc>
      </w:tr>
      <w:tr>
        <w:trPr>
          <w:trHeight w:val="34"/>
        </w:trPr>
        <w:tc>
          <w:tcPr>
            <w:tcW w:w="20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7"/>
          </w:tcPr>
          <w:p>
            <w:pPr>
              <w:spacing w:after="0" w:line="189" w:lineRule="exact"/>
              <w:rPr>
                <w:rFonts w:ascii="Arial" w:cs="Arial" w:eastAsia="Arial" w:hAnsi="Arial"/>
                <w:sz w:val="18"/>
                <w:szCs w:val="18"/>
                <w:color w:val="0000EE"/>
                <w:w w:val="94"/>
              </w:rPr>
            </w:pPr>
            <w:hyperlink w:anchor="page150">
              <w:r>
                <w:rPr>
                  <w:rFonts w:ascii="Arial" w:cs="Arial" w:eastAsia="Arial" w:hAnsi="Arial"/>
                  <w:sz w:val="18"/>
                  <w:szCs w:val="18"/>
                  <w:color w:val="0000EE"/>
                  <w:w w:val="94"/>
                </w:rPr>
                <w:t>Consolidated Statement of Changes in Stockholders’ Equity</w:t>
              </w:r>
            </w:hyperlink>
          </w:p>
        </w:tc>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gridSpan w:val="2"/>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F-5</w:t>
              </w:r>
            </w:hyperlink>
          </w:p>
        </w:tc>
      </w:tr>
      <w:tr>
        <w:trPr>
          <w:trHeight w:val="34"/>
        </w:trPr>
        <w:tc>
          <w:tcPr>
            <w:tcW w:w="20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880" w:type="dxa"/>
            <w:vAlign w:val="bottom"/>
            <w:gridSpan w:val="3"/>
            <w:shd w:val="clear" w:color="auto" w:fill="CCEEFF"/>
          </w:tcPr>
          <w:p>
            <w:pPr>
              <w:spacing w:after="0" w:line="189"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Consolidated Statements of Cash Flows</w:t>
              </w:r>
            </w:hyperlink>
          </w:p>
        </w:tc>
        <w:tc>
          <w:tcPr>
            <w:tcW w:w="1620" w:type="dxa"/>
            <w:vAlign w:val="bottom"/>
            <w:gridSpan w:val="4"/>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F-6</w:t>
              </w:r>
            </w:hyperlink>
          </w:p>
        </w:tc>
      </w:tr>
      <w:tr>
        <w:trPr>
          <w:trHeight w:val="34"/>
        </w:trPr>
        <w:tc>
          <w:tcPr>
            <w:tcW w:w="20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3160" w:type="dxa"/>
            <w:vAlign w:val="bottom"/>
            <w:gridSpan w:val="4"/>
          </w:tcPr>
          <w:p>
            <w:pPr>
              <w:spacing w:after="0" w:line="189"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Notes to Consolidated Financial Statements</w:t>
              </w:r>
            </w:hyperlink>
          </w:p>
        </w:tc>
        <w:tc>
          <w:tcPr>
            <w:tcW w:w="1340" w:type="dxa"/>
            <w:vAlign w:val="bottom"/>
            <w:gridSpan w:val="3"/>
          </w:tcPr>
          <w:p>
            <w:pPr>
              <w:spacing w:after="0"/>
              <w:rPr>
                <w:sz w:val="16"/>
                <w:szCs w:val="16"/>
                <w:color w:val="auto"/>
              </w:rPr>
            </w:pPr>
          </w:p>
        </w:tc>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gridSpan w:val="2"/>
          </w:tcPr>
          <w:p>
            <w:pPr>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F-7</w:t>
              </w:r>
            </w:hyperlink>
          </w:p>
        </w:tc>
      </w:tr>
      <w:tr>
        <w:trPr>
          <w:trHeight w:val="466"/>
        </w:trPr>
        <w:tc>
          <w:tcPr>
            <w:tcW w:w="20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465580" cy="4457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audited the accompanying consolidated financial statements of South Plains Financial, Inc. and Subsidiaries (the Company), which comprise the consolidated balance sheet as of December 31, 2017, and the related consolidated statements of comprehensive income, changes in stockholders’ equity, and cash flows for the year then ended, and the related notes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Consolidated Financial Statements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audit opinion.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192024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20240" cy="24003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WEAVER AND TIDWELL,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7500" w:type="dxa"/>
            <w:vAlign w:val="bottom"/>
            <w:gridSpan w:val="3"/>
          </w:tcPr>
          <w:p>
            <w:pPr>
              <w:jc w:val="center"/>
              <w:ind w:left="670"/>
              <w:spacing w:after="0"/>
              <w:rPr>
                <w:sz w:val="20"/>
                <w:szCs w:val="20"/>
                <w:color w:val="auto"/>
              </w:rPr>
            </w:pPr>
            <w:r>
              <w:rPr>
                <w:rFonts w:ascii="Arial" w:cs="Arial" w:eastAsia="Arial" w:hAnsi="Arial"/>
                <w:sz w:val="18"/>
                <w:szCs w:val="18"/>
                <w:b w:val="1"/>
                <w:bCs w:val="1"/>
                <w:i w:val="1"/>
                <w:iCs w:val="1"/>
                <w:color w:val="auto"/>
                <w:w w:val="98"/>
              </w:rPr>
              <w:t>SOUTH PLAINS FINANCIAL, INC. AND SUBSIDIARIES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660" w:type="dxa"/>
            <w:vAlign w:val="bottom"/>
          </w:tcPr>
          <w:p>
            <w:pPr>
              <w:spacing w:after="0"/>
              <w:rPr>
                <w:sz w:val="24"/>
                <w:szCs w:val="24"/>
                <w:color w:val="auto"/>
              </w:rPr>
            </w:pPr>
          </w:p>
        </w:tc>
        <w:tc>
          <w:tcPr>
            <w:tcW w:w="7500" w:type="dxa"/>
            <w:vAlign w:val="bottom"/>
            <w:gridSpan w:val="3"/>
          </w:tcPr>
          <w:p>
            <w:pPr>
              <w:jc w:val="center"/>
              <w:ind w:left="650"/>
              <w:spacing w:after="0"/>
              <w:rPr>
                <w:sz w:val="20"/>
                <w:szCs w:val="20"/>
                <w:color w:val="auto"/>
              </w:rPr>
            </w:pPr>
            <w:r>
              <w:rPr>
                <w:rFonts w:ascii="Arial" w:cs="Arial" w:eastAsia="Arial" w:hAnsi="Arial"/>
                <w:sz w:val="18"/>
                <w:szCs w:val="18"/>
                <w:b w:val="1"/>
                <w:bCs w:val="1"/>
                <w:i w:val="1"/>
                <w:iCs w:val="1"/>
                <w:color w:val="auto"/>
                <w:w w:val="96"/>
              </w:rPr>
              <w:t>CONSOLIDATED BALANCE SHEET</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6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ASSETS</w:t>
            </w:r>
          </w:p>
        </w:tc>
        <w:tc>
          <w:tcPr>
            <w:tcW w:w="7500" w:type="dxa"/>
            <w:vAlign w:val="bottom"/>
            <w:tcBorders>
              <w:bottom w:val="single" w:sz="8" w:color="CCEEFF"/>
            </w:tcBorders>
            <w:gridSpan w:val="3"/>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37"/>
        </w:trPr>
        <w:tc>
          <w:tcPr>
            <w:tcW w:w="816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53,106</w:t>
            </w:r>
          </w:p>
        </w:tc>
      </w:tr>
      <w:tr>
        <w:trPr>
          <w:trHeight w:val="249"/>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241,457</w:t>
            </w:r>
          </w:p>
        </w:tc>
      </w:tr>
      <w:tr>
        <w:trPr>
          <w:trHeight w:val="237"/>
        </w:trPr>
        <w:tc>
          <w:tcPr>
            <w:tcW w:w="8140" w:type="dxa"/>
            <w:vAlign w:val="bottom"/>
            <w:gridSpan w:val="3"/>
          </w:tcPr>
          <w:p>
            <w:pPr>
              <w:spacing w:after="0"/>
              <w:rPr>
                <w:sz w:val="20"/>
                <w:szCs w:val="20"/>
                <w:color w:val="auto"/>
              </w:rPr>
            </w:pPr>
            <w:r>
              <w:rPr>
                <w:rFonts w:ascii="Arial" w:cs="Arial" w:eastAsia="Arial" w:hAnsi="Arial"/>
                <w:sz w:val="18"/>
                <w:szCs w:val="18"/>
                <w:color w:val="auto"/>
              </w:rPr>
              <w:t>Federal funds sold</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3"/>
        </w:trPr>
        <w:tc>
          <w:tcPr>
            <w:tcW w:w="8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294,563</w:t>
            </w:r>
          </w:p>
        </w:tc>
      </w:tr>
      <w:tr>
        <w:trPr>
          <w:trHeight w:val="237"/>
        </w:trPr>
        <w:tc>
          <w:tcPr>
            <w:tcW w:w="816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194,179</w:t>
            </w:r>
          </w:p>
        </w:tc>
      </w:tr>
      <w:tr>
        <w:trPr>
          <w:trHeight w:val="249"/>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89,920</w:t>
            </w:r>
          </w:p>
        </w:tc>
      </w:tr>
      <w:tr>
        <w:trPr>
          <w:trHeight w:val="237"/>
        </w:trPr>
        <w:tc>
          <w:tcPr>
            <w:tcW w:w="8160" w:type="dxa"/>
            <w:vAlign w:val="bottom"/>
            <w:gridSpan w:val="4"/>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29,314</w:t>
            </w:r>
          </w:p>
        </w:tc>
      </w:tr>
      <w:tr>
        <w:trPr>
          <w:trHeight w:val="249"/>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1,816,694</w:t>
            </w:r>
          </w:p>
        </w:tc>
      </w:tr>
      <w:tr>
        <w:trPr>
          <w:trHeight w:val="237"/>
        </w:trPr>
        <w:tc>
          <w:tcPr>
            <w:tcW w:w="8160" w:type="dxa"/>
            <w:vAlign w:val="bottom"/>
            <w:gridSpan w:val="4"/>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14,303</w:t>
            </w:r>
          </w:p>
        </w:tc>
      </w:tr>
      <w:tr>
        <w:trPr>
          <w:trHeight w:val="249"/>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61,887</w:t>
            </w:r>
          </w:p>
        </w:tc>
      </w:tr>
      <w:tr>
        <w:trPr>
          <w:trHeight w:val="237"/>
        </w:trPr>
        <w:tc>
          <w:tcPr>
            <w:tcW w:w="8160" w:type="dxa"/>
            <w:vAlign w:val="bottom"/>
            <w:gridSpan w:val="4"/>
          </w:tcPr>
          <w:p>
            <w:pPr>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55,890</w:t>
            </w:r>
          </w:p>
        </w:tc>
      </w:tr>
      <w:tr>
        <w:trPr>
          <w:trHeight w:val="249"/>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Foreclosed assets, net</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2,830</w:t>
            </w:r>
          </w:p>
        </w:tc>
      </w:tr>
      <w:tr>
        <w:trPr>
          <w:trHeight w:val="237"/>
        </w:trPr>
        <w:tc>
          <w:tcPr>
            <w:tcW w:w="81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13,795</w:t>
            </w:r>
          </w:p>
        </w:tc>
        <w:tc>
          <w:tcPr>
            <w:tcW w:w="60" w:type="dxa"/>
            <w:vAlign w:val="bottom"/>
          </w:tcPr>
          <w:p>
            <w:pPr>
              <w:spacing w:after="0"/>
              <w:rPr>
                <w:sz w:val="20"/>
                <w:szCs w:val="20"/>
                <w:color w:val="auto"/>
              </w:rPr>
            </w:pPr>
          </w:p>
        </w:tc>
      </w:tr>
      <w:tr>
        <w:trPr>
          <w:trHeight w:val="277"/>
        </w:trPr>
        <w:tc>
          <w:tcPr>
            <w:tcW w:w="814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2,573,375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189"/>
        </w:trPr>
        <w:tc>
          <w:tcPr>
            <w:tcW w:w="8160" w:type="dxa"/>
            <w:vAlign w:val="bottom"/>
            <w:gridSpan w:val="4"/>
          </w:tcPr>
          <w:p>
            <w:pPr>
              <w:spacing w:after="0" w:line="189"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660" w:type="dxa"/>
            <w:vAlign w:val="bottom"/>
            <w:tcBorders>
              <w:top w:val="single" w:sz="8" w:color="auto"/>
            </w:tcBorders>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4"/>
          </w:tcPr>
          <w:p>
            <w:pPr>
              <w:ind w:left="180"/>
              <w:spacing w:after="0"/>
              <w:rPr>
                <w:sz w:val="20"/>
                <w:szCs w:val="20"/>
                <w:color w:val="auto"/>
              </w:rPr>
            </w:pPr>
            <w:r>
              <w:rPr>
                <w:rFonts w:ascii="Arial" w:cs="Arial" w:eastAsia="Arial" w:hAnsi="Arial"/>
                <w:sz w:val="18"/>
                <w:szCs w:val="18"/>
                <w:color w:val="auto"/>
              </w:rPr>
              <w:t>Noninterest-bearing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475,162</w:t>
            </w:r>
          </w:p>
        </w:tc>
      </w:tr>
      <w:tr>
        <w:trPr>
          <w:trHeight w:val="243"/>
        </w:trPr>
        <w:tc>
          <w:tcPr>
            <w:tcW w:w="8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1,678,919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gridSpan w:val="4"/>
          </w:tcPr>
          <w:p>
            <w:pPr>
              <w:ind w:left="360"/>
              <w:spacing w:after="0"/>
              <w:rPr>
                <w:sz w:val="20"/>
                <w:szCs w:val="20"/>
                <w:color w:val="auto"/>
              </w:rPr>
            </w:pPr>
            <w:r>
              <w:rPr>
                <w:rFonts w:ascii="Arial" w:cs="Arial" w:eastAsia="Arial" w:hAnsi="Arial"/>
                <w:sz w:val="18"/>
                <w:szCs w:val="18"/>
                <w:color w:val="auto"/>
              </w:rPr>
              <w:t>Total deposits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2,154,081</w:t>
            </w:r>
          </w:p>
        </w:tc>
      </w:tr>
      <w:tr>
        <w:trPr>
          <w:trHeight w:val="249"/>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15,550</w:t>
            </w:r>
          </w:p>
        </w:tc>
      </w:tr>
      <w:tr>
        <w:trPr>
          <w:trHeight w:val="237"/>
        </w:trPr>
        <w:tc>
          <w:tcPr>
            <w:tcW w:w="8160" w:type="dxa"/>
            <w:vAlign w:val="bottom"/>
            <w:gridSpan w:val="4"/>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26,137</w:t>
            </w:r>
          </w:p>
        </w:tc>
      </w:tr>
      <w:tr>
        <w:trPr>
          <w:trHeight w:val="249"/>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95,000</w:t>
            </w:r>
          </w:p>
        </w:tc>
      </w:tr>
      <w:tr>
        <w:trPr>
          <w:trHeight w:val="237"/>
        </w:trPr>
        <w:tc>
          <w:tcPr>
            <w:tcW w:w="8160" w:type="dxa"/>
            <w:vAlign w:val="bottom"/>
            <w:gridSpan w:val="4"/>
          </w:tcPr>
          <w:p>
            <w:pPr>
              <w:spacing w:after="0"/>
              <w:rPr>
                <w:sz w:val="20"/>
                <w:szCs w:val="20"/>
                <w:color w:val="auto"/>
              </w:rPr>
            </w:pPr>
            <w:r>
              <w:rPr>
                <w:rFonts w:ascii="Arial" w:cs="Arial" w:eastAsia="Arial" w:hAnsi="Arial"/>
                <w:sz w:val="18"/>
                <w:szCs w:val="18"/>
                <w:color w:val="auto"/>
              </w:rPr>
              <w:t>Subordinated debt securities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20,887</w:t>
            </w:r>
          </w:p>
        </w:tc>
      </w:tr>
      <w:tr>
        <w:trPr>
          <w:trHeight w:val="243"/>
        </w:trPr>
        <w:tc>
          <w:tcPr>
            <w:tcW w:w="8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8140" w:type="dxa"/>
            <w:vAlign w:val="bottom"/>
            <w:gridSpan w:val="3"/>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2,358,048</w:t>
            </w:r>
          </w:p>
        </w:tc>
        <w:tc>
          <w:tcPr>
            <w:tcW w:w="60" w:type="dxa"/>
            <w:vAlign w:val="bottom"/>
          </w:tcPr>
          <w:p>
            <w:pPr>
              <w:spacing w:after="0"/>
              <w:rPr>
                <w:sz w:val="20"/>
                <w:szCs w:val="20"/>
                <w:color w:val="auto"/>
              </w:rPr>
            </w:pPr>
          </w:p>
        </w:tc>
      </w:tr>
      <w:tr>
        <w:trPr>
          <w:trHeight w:val="243"/>
        </w:trPr>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4"/>
          </w:tcPr>
          <w:p>
            <w:pPr>
              <w:ind w:left="180"/>
              <w:spacing w:after="0"/>
              <w:rPr>
                <w:sz w:val="20"/>
                <w:szCs w:val="20"/>
                <w:color w:val="auto"/>
              </w:rPr>
            </w:pPr>
            <w:r>
              <w:rPr>
                <w:rFonts w:ascii="Arial" w:cs="Arial" w:eastAsia="Arial" w:hAnsi="Arial"/>
                <w:sz w:val="18"/>
                <w:szCs w:val="18"/>
                <w:color w:val="auto"/>
              </w:rPr>
              <w:t>Common stock, $1 par value, 1,000,000 shares authorized; 505,117 issued</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505</w:t>
            </w:r>
          </w:p>
        </w:tc>
      </w:tr>
      <w:tr>
        <w:trPr>
          <w:trHeight w:val="249"/>
        </w:trPr>
        <w:tc>
          <w:tcPr>
            <w:tcW w:w="8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100,537</w:t>
            </w:r>
          </w:p>
        </w:tc>
      </w:tr>
      <w:tr>
        <w:trPr>
          <w:trHeight w:val="237"/>
        </w:trPr>
        <w:tc>
          <w:tcPr>
            <w:tcW w:w="8160" w:type="dxa"/>
            <w:vAlign w:val="bottom"/>
            <w:gridSpan w:val="4"/>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120,589</w:t>
            </w:r>
          </w:p>
        </w:tc>
      </w:tr>
      <w:tr>
        <w:trPr>
          <w:trHeight w:val="249"/>
        </w:trPr>
        <w:tc>
          <w:tcPr>
            <w:tcW w:w="8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7"/>
        </w:trPr>
        <w:tc>
          <w:tcPr>
            <w:tcW w:w="8160" w:type="dxa"/>
            <w:vAlign w:val="bottom"/>
            <w:gridSpan w:val="4"/>
          </w:tcPr>
          <w:p>
            <w:pPr>
              <w:ind w:left="180"/>
              <w:spacing w:after="0"/>
              <w:rPr>
                <w:sz w:val="20"/>
                <w:szCs w:val="20"/>
                <w:color w:val="auto"/>
              </w:rPr>
            </w:pPr>
            <w:r>
              <w:rPr>
                <w:rFonts w:ascii="Arial" w:cs="Arial" w:eastAsia="Arial" w:hAnsi="Arial"/>
                <w:sz w:val="18"/>
                <w:szCs w:val="18"/>
                <w:color w:val="auto"/>
              </w:rPr>
              <w:t>Treasury stock, at cost (12,733 shares)</w:t>
            </w: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(5,858)</w:t>
            </w:r>
          </w:p>
        </w:tc>
      </w:tr>
      <w:tr>
        <w:trPr>
          <w:trHeight w:val="243"/>
        </w:trPr>
        <w:tc>
          <w:tcPr>
            <w:tcW w:w="8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Unearned Employee Stock Ownership Plan (ESOP) shares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814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215,327</w:t>
            </w:r>
          </w:p>
        </w:tc>
        <w:tc>
          <w:tcPr>
            <w:tcW w:w="60" w:type="dxa"/>
            <w:vAlign w:val="bottom"/>
          </w:tcPr>
          <w:p>
            <w:pPr>
              <w:spacing w:after="0"/>
              <w:rPr>
                <w:sz w:val="20"/>
                <w:szCs w:val="20"/>
                <w:color w:val="auto"/>
              </w:rPr>
            </w:pPr>
          </w:p>
        </w:tc>
      </w:tr>
      <w:tr>
        <w:trPr>
          <w:trHeight w:val="277"/>
        </w:trPr>
        <w:tc>
          <w:tcPr>
            <w:tcW w:w="814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2,573,375</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8160" w:type="dxa"/>
            <w:vAlign w:val="bottom"/>
            <w:gridSpan w:val="2"/>
          </w:tcPr>
          <w:p>
            <w:pPr>
              <w:ind w:left="2200"/>
              <w:spacing w:after="0"/>
              <w:rPr>
                <w:sz w:val="20"/>
                <w:szCs w:val="20"/>
                <w:color w:val="auto"/>
              </w:rPr>
            </w:pPr>
            <w:r>
              <w:rPr>
                <w:rFonts w:ascii="Arial" w:cs="Arial" w:eastAsia="Arial" w:hAnsi="Arial"/>
                <w:sz w:val="18"/>
                <w:szCs w:val="18"/>
                <w:b w:val="1"/>
                <w:bCs w:val="1"/>
                <w:i w:val="1"/>
                <w:iCs w:val="1"/>
                <w:color w:val="auto"/>
              </w:rPr>
              <w:t>CONSOLIDATED STATEMENT OF COMPREHENSIVE INCOME</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8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gridSpan w:val="2"/>
          </w:tcPr>
          <w:p>
            <w:pPr>
              <w:spacing w:after="0"/>
              <w:rPr>
                <w:sz w:val="14"/>
                <w:szCs w:val="14"/>
                <w:color w:val="auto"/>
              </w:rPr>
            </w:pPr>
          </w:p>
        </w:tc>
      </w:tr>
      <w:tr>
        <w:trPr>
          <w:trHeight w:val="196"/>
        </w:trPr>
        <w:tc>
          <w:tcPr>
            <w:tcW w:w="8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r>
      <w:tr>
        <w:trPr>
          <w:trHeight w:val="243"/>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Loans, including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94,110</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7,469</w:t>
            </w:r>
          </w:p>
        </w:tc>
      </w:tr>
      <w:tr>
        <w:trPr>
          <w:trHeight w:val="237"/>
        </w:trPr>
        <w:tc>
          <w:tcPr>
            <w:tcW w:w="8140" w:type="dxa"/>
            <w:vAlign w:val="bottom"/>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2,861</w:t>
            </w:r>
          </w:p>
        </w:tc>
        <w:tc>
          <w:tcPr>
            <w:tcW w:w="60" w:type="dxa"/>
            <w:vAlign w:val="bottom"/>
          </w:tcPr>
          <w:p>
            <w:pPr>
              <w:spacing w:after="0"/>
              <w:rPr>
                <w:sz w:val="20"/>
                <w:szCs w:val="20"/>
                <w:color w:val="auto"/>
              </w:rPr>
            </w:pPr>
          </w:p>
        </w:tc>
      </w:tr>
      <w:tr>
        <w:trPr>
          <w:trHeight w:val="237"/>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104,440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12,404</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175</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979</w:t>
            </w:r>
          </w:p>
        </w:tc>
      </w:tr>
      <w:tr>
        <w:trPr>
          <w:trHeight w:val="24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8140" w:type="dxa"/>
            <w:vAlign w:val="bottom"/>
          </w:tcPr>
          <w:p>
            <w:pPr>
              <w:ind w:left="360"/>
              <w:spacing w:after="0"/>
              <w:rPr>
                <w:sz w:val="20"/>
                <w:szCs w:val="20"/>
                <w:color w:val="auto"/>
              </w:rPr>
            </w:pPr>
            <w:r>
              <w:rPr>
                <w:rFonts w:ascii="Arial" w:cs="Arial" w:eastAsia="Arial" w:hAnsi="Arial"/>
                <w:sz w:val="18"/>
                <w:szCs w:val="18"/>
                <w:color w:val="auto"/>
              </w:rPr>
              <w:t>Total interest expense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15,977</w:t>
            </w:r>
          </w:p>
        </w:tc>
        <w:tc>
          <w:tcPr>
            <w:tcW w:w="60" w:type="dxa"/>
            <w:vAlign w:val="bottom"/>
          </w:tcPr>
          <w:p>
            <w:pPr>
              <w:spacing w:after="0"/>
              <w:rPr>
                <w:sz w:val="20"/>
                <w:szCs w:val="20"/>
                <w:color w:val="auto"/>
              </w:rPr>
            </w:pPr>
          </w:p>
        </w:tc>
      </w:tr>
      <w:tr>
        <w:trPr>
          <w:trHeight w:val="243"/>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88,463</w:t>
            </w:r>
          </w:p>
        </w:tc>
      </w:tr>
      <w:tr>
        <w:trPr>
          <w:trHeight w:val="237"/>
        </w:trPr>
        <w:tc>
          <w:tcPr>
            <w:tcW w:w="81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3,966</w:t>
            </w:r>
          </w:p>
        </w:tc>
        <w:tc>
          <w:tcPr>
            <w:tcW w:w="60" w:type="dxa"/>
            <w:vAlign w:val="bottom"/>
          </w:tcPr>
          <w:p>
            <w:pPr>
              <w:spacing w:after="0"/>
              <w:rPr>
                <w:sz w:val="20"/>
                <w:szCs w:val="20"/>
                <w:color w:val="auto"/>
              </w:rPr>
            </w:pPr>
          </w:p>
        </w:tc>
      </w:tr>
      <w:tr>
        <w:trPr>
          <w:trHeight w:val="236"/>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84,497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7,425</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Income from insurance activities</w:t>
            </w:r>
          </w:p>
        </w:tc>
        <w:tc>
          <w:tcPr>
            <w:tcW w:w="16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6,422</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sales of loans</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18,936</w:t>
            </w:r>
          </w:p>
        </w:tc>
      </w:tr>
      <w:tr>
        <w:trPr>
          <w:trHeight w:val="236"/>
        </w:trPr>
        <w:tc>
          <w:tcPr>
            <w:tcW w:w="814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14,606</w:t>
            </w:r>
          </w:p>
        </w:tc>
        <w:tc>
          <w:tcPr>
            <w:tcW w:w="60" w:type="dxa"/>
            <w:vAlign w:val="bottom"/>
          </w:tcPr>
          <w:p>
            <w:pPr>
              <w:spacing w:after="0"/>
              <w:rPr>
                <w:sz w:val="20"/>
                <w:szCs w:val="20"/>
                <w:color w:val="auto"/>
              </w:rPr>
            </w:pPr>
          </w:p>
        </w:tc>
      </w:tr>
      <w:tr>
        <w:trPr>
          <w:trHeight w:val="236"/>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47,389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67,127</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Occupancy and equipment, net</w:t>
            </w:r>
          </w:p>
        </w:tc>
        <w:tc>
          <w:tcPr>
            <w:tcW w:w="16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12,988</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4,544</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Marketing and development</w:t>
            </w:r>
          </w:p>
        </w:tc>
        <w:tc>
          <w:tcPr>
            <w:tcW w:w="16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2,994</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Foreclosed assets, net</w:t>
            </w:r>
          </w:p>
        </w:tc>
        <w:tc>
          <w:tcPr>
            <w:tcW w:w="1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r>
      <w:tr>
        <w:trPr>
          <w:trHeight w:val="237"/>
        </w:trPr>
        <w:tc>
          <w:tcPr>
            <w:tcW w:w="814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20,247</w:t>
            </w:r>
          </w:p>
        </w:tc>
        <w:tc>
          <w:tcPr>
            <w:tcW w:w="60" w:type="dxa"/>
            <w:vAlign w:val="bottom"/>
          </w:tcPr>
          <w:p>
            <w:pPr>
              <w:spacing w:after="0"/>
              <w:rPr>
                <w:sz w:val="20"/>
                <w:szCs w:val="20"/>
                <w:color w:val="auto"/>
              </w:rPr>
            </w:pPr>
          </w:p>
        </w:tc>
      </w:tr>
      <w:tr>
        <w:trPr>
          <w:trHeight w:val="236"/>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108,144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23,742</w:t>
            </w:r>
          </w:p>
        </w:tc>
      </w:tr>
      <w:tr>
        <w:trPr>
          <w:trHeight w:val="243"/>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8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23,635</w:t>
            </w:r>
          </w:p>
        </w:tc>
        <w:tc>
          <w:tcPr>
            <w:tcW w:w="60" w:type="dxa"/>
            <w:vAlign w:val="bottom"/>
          </w:tcPr>
          <w:p>
            <w:pPr>
              <w:spacing w:after="0"/>
              <w:rPr>
                <w:sz w:val="20"/>
                <w:szCs w:val="20"/>
                <w:color w:val="auto"/>
              </w:rPr>
            </w:pPr>
          </w:p>
        </w:tc>
      </w:tr>
      <w:tr>
        <w:trPr>
          <w:trHeight w:val="243"/>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Change in net unrealized gain (loss) on securities available for sale</w:t>
            </w: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(1,320)</w:t>
            </w:r>
          </w:p>
        </w:tc>
      </w:tr>
      <w:tr>
        <w:trPr>
          <w:trHeight w:val="24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adjustment for losses included in net income</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6"/>
        </w:trPr>
        <w:tc>
          <w:tcPr>
            <w:tcW w:w="814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(829)</w:t>
            </w:r>
          </w:p>
        </w:tc>
      </w:tr>
      <w:tr>
        <w:trPr>
          <w:trHeight w:val="277"/>
        </w:trPr>
        <w:tc>
          <w:tcPr>
            <w:tcW w:w="8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Comprehensive income</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 OF CHANGES IN STOCKHOLDERS’ EQUITY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2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4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3"/>
              </w:rPr>
              <w:t>Additional</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92"/>
              </w:rPr>
              <w:t>Unearned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4"/>
              </w:rPr>
              <w:t>Paid-in</w:t>
            </w:r>
          </w:p>
        </w:tc>
        <w:tc>
          <w:tcPr>
            <w:tcW w:w="94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3"/>
                <w:szCs w:val="13"/>
                <w:color w:val="auto"/>
              </w:rPr>
            </w:pPr>
          </w:p>
        </w:tc>
        <w:tc>
          <w:tcPr>
            <w:tcW w:w="7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7"/>
              </w:rPr>
              <w:t>ESOP</w:t>
            </w:r>
          </w:p>
        </w:tc>
        <w:tc>
          <w:tcPr>
            <w:tcW w:w="82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4"/>
              </w:rPr>
              <w:t>Treasury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1"/>
              </w:rPr>
              <w:t>(In thousands, except share data)</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505,117</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$ 100,139</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$ 105,226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(5,858)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$ 199,719</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23,635</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23,635</w:t>
            </w:r>
          </w:p>
        </w:tc>
        <w:tc>
          <w:tcPr>
            <w:tcW w:w="0" w:type="dxa"/>
            <w:vAlign w:val="bottom"/>
          </w:tcPr>
          <w:p>
            <w:pPr>
              <w:spacing w:after="0"/>
              <w:rPr>
                <w:sz w:val="1"/>
                <w:szCs w:val="1"/>
                <w:color w:val="auto"/>
              </w:rPr>
            </w:pPr>
          </w:p>
        </w:tc>
      </w:tr>
      <w:tr>
        <w:trPr>
          <w:trHeight w:val="221"/>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on common</w:t>
            </w:r>
          </w:p>
        </w:tc>
        <w:tc>
          <w:tcPr>
            <w:tcW w:w="6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(7,874)</w:t>
            </w: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6"/>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Earned ESOP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Borders>
              <w:righ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676</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2300" w:type="dxa"/>
            <w:vAlign w:val="bottom"/>
            <w:tcBorders>
              <w:right w:val="single" w:sz="8" w:color="auto"/>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505,117</w:t>
            </w:r>
          </w:p>
        </w:tc>
        <w:tc>
          <w:tcPr>
            <w:tcW w:w="180" w:type="dxa"/>
            <w:vAlign w:val="bottom"/>
          </w:tcPr>
          <w:p>
            <w:pPr>
              <w:spacing w:after="0"/>
              <w:rPr>
                <w:sz w:val="18"/>
                <w:szCs w:val="18"/>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505</w:t>
            </w:r>
          </w:p>
        </w:tc>
        <w:tc>
          <w:tcPr>
            <w:tcW w:w="180" w:type="dxa"/>
            <w:vAlign w:val="bottom"/>
            <w:vMerge w:val="restart"/>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2"/>
              </w:rPr>
              <w:t>$ 100,537</w:t>
            </w:r>
          </w:p>
        </w:tc>
        <w:tc>
          <w:tcPr>
            <w:tcW w:w="180" w:type="dxa"/>
            <w:vAlign w:val="bottom"/>
            <w:vMerge w:val="restart"/>
          </w:tcPr>
          <w:p>
            <w:pPr>
              <w:spacing w:after="0"/>
              <w:rPr>
                <w:sz w:val="18"/>
                <w:szCs w:val="18"/>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2"/>
              </w:rPr>
              <w:t>$ 120,589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(446)</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1"/>
              </w:rPr>
              <w:t>$ (5,858)</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9"/>
              </w:rPr>
              <w:t>$ 215,327</w:t>
            </w:r>
          </w:p>
        </w:tc>
        <w:tc>
          <w:tcPr>
            <w:tcW w:w="0" w:type="dxa"/>
            <w:vAlign w:val="bottom"/>
          </w:tcPr>
          <w:p>
            <w:pPr>
              <w:spacing w:after="0"/>
              <w:rPr>
                <w:sz w:val="1"/>
                <w:szCs w:val="1"/>
                <w:color w:val="auto"/>
              </w:rPr>
            </w:pPr>
          </w:p>
        </w:tc>
      </w:tr>
      <w:tr>
        <w:trPr>
          <w:trHeight w:val="217"/>
        </w:trPr>
        <w:tc>
          <w:tcPr>
            <w:tcW w:w="2300" w:type="dxa"/>
            <w:vAlign w:val="bottom"/>
          </w:tcPr>
          <w:p>
            <w:pPr>
              <w:ind w:left="180"/>
              <w:spacing w:after="0"/>
              <w:rPr>
                <w:sz w:val="20"/>
                <w:szCs w:val="20"/>
                <w:color w:val="auto"/>
              </w:rPr>
            </w:pPr>
            <w:r>
              <w:rPr>
                <w:rFonts w:ascii="Arial" w:cs="Arial" w:eastAsia="Arial" w:hAnsi="Arial"/>
                <w:sz w:val="18"/>
                <w:szCs w:val="18"/>
                <w:color w:val="auto"/>
              </w:rPr>
              <w:t>2017</w:t>
            </w: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8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23,635</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3,966</w:t>
            </w:r>
          </w:p>
        </w:tc>
      </w:tr>
      <w:tr>
        <w:trPr>
          <w:trHeight w:val="249"/>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foreclosed asset losses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5,284</w:t>
            </w:r>
          </w:p>
        </w:tc>
      </w:tr>
      <w:tr>
        <w:trPr>
          <w:trHeight w:val="249"/>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Accretion and amortization</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2,984</w:t>
            </w: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Other gains, net</w:t>
            </w: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49"/>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gain on sales of loans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(18,936)</w:t>
            </w: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542,132</w:t>
            </w:r>
          </w:p>
        </w:tc>
      </w:tr>
      <w:tr>
        <w:trPr>
          <w:trHeight w:val="249"/>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Loans originated for sale</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(526,728)</w:t>
            </w: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Earned ESOP shares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676</w:t>
            </w:r>
          </w:p>
        </w:tc>
      </w:tr>
      <w:tr>
        <w:trPr>
          <w:trHeight w:val="249"/>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on bank-owned life insurance</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Net change in:</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Accrued interest receivable and other assets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37"/>
        </w:trPr>
        <w:tc>
          <w:tcPr>
            <w:tcW w:w="8140" w:type="dxa"/>
            <w:vAlign w:val="bottom"/>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5,162</w:t>
            </w:r>
          </w:p>
        </w:tc>
        <w:tc>
          <w:tcPr>
            <w:tcW w:w="60" w:type="dxa"/>
            <w:vAlign w:val="bottom"/>
          </w:tcPr>
          <w:p>
            <w:pPr>
              <w:spacing w:after="0"/>
              <w:rPr>
                <w:sz w:val="20"/>
                <w:szCs w:val="20"/>
                <w:color w:val="auto"/>
              </w:rPr>
            </w:pPr>
          </w:p>
        </w:tc>
      </w:tr>
      <w:tr>
        <w:trPr>
          <w:trHeight w:val="237"/>
        </w:trPr>
        <w:tc>
          <w:tcPr>
            <w:tcW w:w="8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from operating activities</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35,324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(328,160)</w:t>
            </w:r>
          </w:p>
        </w:tc>
      </w:tr>
      <w:tr>
        <w:trPr>
          <w:trHeight w:val="249"/>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64,767</w:t>
            </w: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287,788</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Activity in securities held to maturity:</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12,025</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 originations and principal collections, net</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(180,322)</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Purchases of premises and equipment, net</w:t>
            </w: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(9,024)</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36"/>
        </w:trPr>
        <w:tc>
          <w:tcPr>
            <w:tcW w:w="8140" w:type="dxa"/>
            <w:vAlign w:val="bottom"/>
          </w:tcPr>
          <w:p>
            <w:pPr>
              <w:ind w:left="180"/>
              <w:spacing w:after="0"/>
              <w:rPr>
                <w:sz w:val="20"/>
                <w:szCs w:val="20"/>
                <w:color w:val="auto"/>
              </w:rPr>
            </w:pPr>
            <w:r>
              <w:rPr>
                <w:rFonts w:ascii="Arial" w:cs="Arial" w:eastAsia="Arial" w:hAnsi="Arial"/>
                <w:sz w:val="18"/>
                <w:szCs w:val="18"/>
                <w:color w:val="auto"/>
              </w:rPr>
              <w:t>Proceeds from sales of foreclosed assets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4,674</w:t>
            </w:r>
          </w:p>
        </w:tc>
        <w:tc>
          <w:tcPr>
            <w:tcW w:w="60" w:type="dxa"/>
            <w:vAlign w:val="bottom"/>
          </w:tcPr>
          <w:p>
            <w:pPr>
              <w:spacing w:after="0"/>
              <w:rPr>
                <w:sz w:val="20"/>
                <w:szCs w:val="20"/>
                <w:color w:val="auto"/>
              </w:rPr>
            </w:pPr>
          </w:p>
        </w:tc>
      </w:tr>
      <w:tr>
        <w:trPr>
          <w:trHeight w:val="237"/>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from investing activities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(148,079)</w:t>
            </w:r>
          </w:p>
        </w:tc>
      </w:tr>
      <w:tr>
        <w:trPr>
          <w:trHeight w:val="237"/>
        </w:trPr>
        <w:tc>
          <w:tcPr>
            <w:tcW w:w="8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change in deposits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63,158</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Net change in short-term borrowings</w:t>
            </w: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(10,690)</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made on notes payable and other borrowings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Cash dividends on common stock</w:t>
            </w: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(7,874)</w:t>
            </w:r>
          </w:p>
        </w:tc>
      </w:tr>
      <w:tr>
        <w:trPr>
          <w:trHeight w:val="24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8140" w:type="dxa"/>
            <w:vAlign w:val="bottom"/>
          </w:tcPr>
          <w:p>
            <w:pPr>
              <w:ind w:left="720"/>
              <w:spacing w:after="0"/>
              <w:rPr>
                <w:sz w:val="20"/>
                <w:szCs w:val="20"/>
                <w:color w:val="auto"/>
              </w:rPr>
            </w:pPr>
            <w:r>
              <w:rPr>
                <w:rFonts w:ascii="Arial" w:cs="Arial" w:eastAsia="Arial" w:hAnsi="Arial"/>
                <w:sz w:val="18"/>
                <w:szCs w:val="18"/>
                <w:color w:val="auto"/>
              </w:rPr>
              <w:t>Net cash from financing activities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43,918</w:t>
            </w:r>
          </w:p>
        </w:tc>
        <w:tc>
          <w:tcPr>
            <w:tcW w:w="60" w:type="dxa"/>
            <w:vAlign w:val="bottom"/>
          </w:tcPr>
          <w:p>
            <w:pPr>
              <w:spacing w:after="0"/>
              <w:rPr>
                <w:sz w:val="20"/>
                <w:szCs w:val="20"/>
                <w:color w:val="auto"/>
              </w:rPr>
            </w:pPr>
          </w:p>
        </w:tc>
      </w:tr>
      <w:tr>
        <w:trPr>
          <w:trHeight w:val="243"/>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(68,837)</w:t>
            </w:r>
          </w:p>
        </w:tc>
      </w:tr>
      <w:tr>
        <w:trPr>
          <w:trHeight w:val="236"/>
        </w:trPr>
        <w:tc>
          <w:tcPr>
            <w:tcW w:w="814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363,400</w:t>
            </w:r>
          </w:p>
        </w:tc>
        <w:tc>
          <w:tcPr>
            <w:tcW w:w="60" w:type="dxa"/>
            <w:vAlign w:val="bottom"/>
          </w:tcPr>
          <w:p>
            <w:pPr>
              <w:spacing w:after="0"/>
              <w:rPr>
                <w:sz w:val="20"/>
                <w:szCs w:val="20"/>
                <w:color w:val="auto"/>
              </w:rPr>
            </w:pPr>
          </w:p>
        </w:tc>
      </w:tr>
      <w:tr>
        <w:trPr>
          <w:trHeight w:val="277"/>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294,563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7"/>
        </w:trPr>
        <w:tc>
          <w:tcPr>
            <w:tcW w:w="816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15,892</w:t>
            </w: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Income taxes paid</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r>
      <w:tr>
        <w:trPr>
          <w:trHeight w:val="249"/>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1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1,954</w:t>
            </w:r>
          </w:p>
        </w:tc>
      </w:tr>
      <w:tr>
        <w:trPr>
          <w:trHeight w:val="24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Financed foreclosed asset sales</w:t>
            </w: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2,280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71"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04" w:lineRule="exact"/>
        <w:rPr>
          <w:sz w:val="20"/>
          <w:szCs w:val="20"/>
          <w:color w:val="auto"/>
        </w:rPr>
      </w:pPr>
    </w:p>
    <w:p>
      <w:pPr>
        <w:ind w:left="360" w:hanging="355"/>
        <w:spacing w:after="0"/>
        <w:tabs>
          <w:tab w:leader="none" w:pos="3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u w:val="single" w:color="auto"/>
          <w:color w:val="auto"/>
        </w:rPr>
        <w:t>Nature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South Plains Financial, Inc. (SPFI) is a Texas bank holding company that conducts its principal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subsidiaries from offices located throughout Texas and Eastern New Mexico. Principal activities include commercial and retail banking, along with insurance, investment, trust, and mortgage services. Subsidiaries of SPFI follow:</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Wholly Owned,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City Bank</w:t>
            </w:r>
          </w:p>
        </w:tc>
        <w:tc>
          <w:tcPr>
            <w:tcW w:w="4980" w:type="dxa"/>
            <w:vAlign w:val="bottom"/>
          </w:tcPr>
          <w:p>
            <w:pPr>
              <w:ind w:left="620"/>
              <w:spacing w:after="0"/>
              <w:rPr>
                <w:sz w:val="20"/>
                <w:szCs w:val="20"/>
                <w:color w:val="auto"/>
              </w:rPr>
            </w:pPr>
            <w:r>
              <w:rPr>
                <w:rFonts w:ascii="Arial" w:cs="Arial" w:eastAsia="Arial" w:hAnsi="Arial"/>
                <w:sz w:val="18"/>
                <w:szCs w:val="18"/>
                <w:color w:val="auto"/>
              </w:rPr>
              <w:t>Bank subsidiary</w:t>
            </w:r>
          </w:p>
        </w:tc>
      </w:tr>
      <w:tr>
        <w:trPr>
          <w:trHeight w:val="25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Windmark Insurance Agency, Inc.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Ruidoso Retail, Inc.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 Provence,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CBT Brushy Creek, LLC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Properties,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Wholly Owned, Equity Method Subsidiaries:</w:t>
            </w:r>
          </w:p>
        </w:tc>
        <w:tc>
          <w:tcPr>
            <w:tcW w:w="4980" w:type="dxa"/>
            <w:vAlign w:val="bottom"/>
          </w:tcPr>
          <w:p>
            <w:pPr>
              <w:spacing w:after="0"/>
              <w:rPr>
                <w:sz w:val="20"/>
                <w:szCs w:val="20"/>
                <w:color w:val="auto"/>
              </w:rPr>
            </w:pP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subsidiaries</w:t>
            </w:r>
          </w:p>
        </w:tc>
      </w:tr>
    </w:tbl>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(CFS) include the accounts of SPFI and its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consolidated subsidiaries (collectively referred to as the “Company”) identified above. All significant intercompany balances and transactions have been eliminated in consolidation.</w:t>
      </w:r>
    </w:p>
    <w:p>
      <w:pPr>
        <w:spacing w:after="0" w:line="7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Company’s CFS are prepared and presented in accordance with accounting principles generally accepted in the United States of America (GAAP).</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evaluated subsequent events for potential recognition and/or disclosure through March 21,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the CFS were available to be issued.</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and fair values of financial instruments can also involve significant management estimates.</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u w:val="single" w:color="auto"/>
          <w:color w:val="auto"/>
        </w:rPr>
        <w:t>Concentration of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is primarily involved in real estate, commercial, agricultural,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Comprehensive income is comprised of net income or loss and other comprehensive income or loss (OCI).</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examples of OCI items are unrealized holding gains and losses on securities available for sale, and subsequent decreases (if not an other-than-temporary impairment) or increases in the fair value of securities available for sale previously written down as impaired.</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includes all cash on hand, balances due from other banks, and Federal funds sold,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original maturities within three months, as cash and cash equivalents in the accompanying CFS. Federal regulations require the bank subsidiary to set aside specified amounts of cash as reserves against transaction and time deposits, which fluctuate daily. These reserves may be held as cash on hand or on deposit with a district Federal Reserve Bank. Management believes that the bank subsidiary complies with these requirements.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Investment securities may be classified into trading, held to maturity (HTM) or available for sale (AFS) portfolios.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that are held principally for resale in the near term are classified as trading. Securities that management has the ability and positive intent to hold to maturity are classified as HTM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7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recorded at amortized cost. Securities not classified as trading or HTM are AFS and are reported at fair value with unrealized gains and losses excluded from earnings, but included in the determination of OCI.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6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u w:val="single" w:color="auto"/>
          <w:color w:val="auto"/>
        </w:rPr>
        <w:t>Nonmarketable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Securities with limited marketability, such as stock in the Federal Home Loan Bank of Dallas</w:t>
      </w:r>
      <w:r>
        <w:rPr>
          <w:rFonts w:ascii="Arial" w:cs="Arial" w:eastAsia="Arial" w:hAnsi="Arial"/>
          <w:sz w:val="18"/>
          <w:szCs w:val="18"/>
          <w:i w:val="1"/>
          <w:iCs w:val="1"/>
          <w:color w:val="auto"/>
        </w:rPr>
        <w:t xml:space="preserve"> </w:t>
      </w:r>
      <w:r>
        <w:rPr>
          <w:rFonts w:ascii="Arial" w:cs="Arial" w:eastAsia="Arial" w:hAnsi="Arial"/>
          <w:sz w:val="18"/>
          <w:szCs w:val="18"/>
          <w:color w:val="auto"/>
        </w:rPr>
        <w:t>(FHLB), are carried at cost and are reported in other assets. Windmark Insurance Agency, Inc. owns 50% of WBSPF, LLC and accounts for its ownership using the equity method of accounting.</w:t>
      </w:r>
    </w:p>
    <w:p>
      <w:pPr>
        <w:spacing w:after="0" w:line="76"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i w:val="1"/>
          <w:iCs w:val="1"/>
          <w:u w:val="single" w:color="auto"/>
          <w:color w:val="auto"/>
        </w:rPr>
        <w:t>Loans</w:t>
      </w:r>
      <w:r>
        <w:rPr>
          <w:rFonts w:ascii="Arial" w:cs="Arial" w:eastAsia="Arial" w:hAnsi="Arial"/>
          <w:sz w:val="16"/>
          <w:szCs w:val="16"/>
          <w:i w:val="1"/>
          <w:iCs w:val="1"/>
          <w:color w:val="auto"/>
        </w:rPr>
        <w:t xml:space="preserve"> </w:t>
      </w:r>
      <w:r>
        <w:rPr>
          <w:rFonts w:ascii="Arial" w:cs="Arial" w:eastAsia="Arial" w:hAnsi="Arial"/>
          <w:sz w:val="16"/>
          <w:szCs w:val="16"/>
          <w:color w:val="auto"/>
        </w:rPr>
        <w:t>– Loans that management has the intent and ability to hold for the foreseeable future or until maturity or payoff are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8"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i w:val="1"/>
          <w:iCs w:val="1"/>
          <w:u w:val="single" w:color="auto"/>
          <w:color w:val="auto"/>
        </w:rPr>
        <w:t>Allowance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 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changes in the economic environment and market conditions. In connection with the determination of the estimated losses on loans, management obtains independent appraisals for significant collateral. The bank subsidiary’s loans are generally secured by specific items of collateral including real property, crops, livestock, consumer assets, and other business assets.</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 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u w:val="single" w:color="auto"/>
          <w:color w:val="auto"/>
        </w:rPr>
        <w:t>Premises and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 Land is carried at cost. Buildings and equipment are carried at cost, less accumulated depreciation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computed on the straight-line method over the estimated useful lives of the assets. Leasehold improvements are depreciated over the lesser of the term of the respective leases or the estimated useful lives of the improvements.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7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Foreclosed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Assets acquired through, or in lieu of, loan foreclosure or repossession are held for sale and are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net expenses from foreclosed assets.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Bank-Owned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has purchased life insurance policies on various officers and also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These policies are issued by third party insurance companies. Assets are carried at the cash surrender value and changes in the cash surrender values are recognized in other noninterest income in the accompanying CFS.</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u w:val="single" w:color="auto"/>
          <w:color w:val="auto"/>
        </w:rPr>
        <w:t>Mortgage Banking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 Commitments to fund mortgage loans (interest rate locks) to be sold into the secondary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into.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53"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order to hedge the change in interest rates resulting from all other mortgage commitments to funds loans, the Company enters into forward sales of mortgage-backed securities contracts. At inception, these interest rate locks are recorded at fair value and is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CFS.</w:t>
      </w:r>
    </w:p>
    <w:p>
      <w:pPr>
        <w:spacing w:after="0" w:line="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7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6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 Advertising costs are recognized when incurred. Advertising costs during 2017 were approximately $2.6 million.</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elected to be taxed as an S corporation beginning January 1, 1998. Accordingly, Federal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reflected in the CFS. The Company files a consolidated Federal income tax return.</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2006, the State of Texas modified the franchise tax structure. The change was effective for franchise tax reports filed on or after January 1, 2008. The modified tax is an income tax for financial reporting purposes under GAAP and the Company and its subsidiaries are subject to the modified tax as a combined group.</w:t>
      </w:r>
    </w:p>
    <w:p>
      <w:pPr>
        <w:spacing w:after="0" w:line="7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u w:val="single" w:color="auto"/>
          <w:color w:val="auto"/>
        </w:rPr>
        <w:t>Trust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Custodial assets of City Bank’s trust department, other than cash on deposit at City Bank, if any, are not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accompanying CFS because they are not assets of City Bank. Trust fees are recognized on the accrual basis.</w:t>
      </w:r>
    </w:p>
    <w:p>
      <w:pPr>
        <w:spacing w:after="0" w:line="1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i w:val="1"/>
          <w:iCs w:val="1"/>
          <w:u w:val="single" w:color="auto"/>
          <w:color w:val="auto"/>
        </w:rPr>
        <w:t>Fair Values of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 Fair values of financial instruments are estimated using relevant market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assumptions, as more fully described in Note 13. Fair value estimates involve uncertainties and matters of significant judgment. Changes in assumptions or in market conditions could significantly affect estimates.</w:t>
      </w:r>
    </w:p>
    <w:p>
      <w:pPr>
        <w:spacing w:after="0" w:line="5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Accounting Standards Board (FASB) Accounting Standards Codification (ASC) </w:t>
      </w:r>
      <w:r>
        <w:rPr>
          <w:rFonts w:ascii="Arial" w:cs="Arial" w:eastAsia="Arial" w:hAnsi="Arial"/>
          <w:sz w:val="18"/>
          <w:szCs w:val="18"/>
          <w:color w:val="auto"/>
        </w:rPr>
        <w:t>constitutes U.S. GAAP for nongovernmental entities. Updates to ASC are prescribed in Accounting Standards Updates (ASU), which are not authoritative until incorporated into ASC.</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ASU 2014-09 Revenue from Contracts with Customers (Topic 606) </w:t>
      </w:r>
      <w:r>
        <w:rPr>
          <w:rFonts w:ascii="Arial" w:cs="Arial" w:eastAsia="Arial" w:hAnsi="Arial"/>
          <w:sz w:val="17"/>
          <w:szCs w:val="17"/>
          <w:color w:val="auto"/>
        </w:rPr>
        <w:t>and</w:t>
      </w:r>
      <w:r>
        <w:rPr>
          <w:rFonts w:ascii="Arial" w:cs="Arial" w:eastAsia="Arial" w:hAnsi="Arial"/>
          <w:sz w:val="17"/>
          <w:szCs w:val="17"/>
          <w:i w:val="1"/>
          <w:iCs w:val="1"/>
          <w:color w:val="auto"/>
        </w:rPr>
        <w:t xml:space="preserve"> ASU 2016-14 - Revenue from Contracts with Customers (Topic 606) - Deferral of the Effective Date. </w:t>
      </w:r>
      <w:r>
        <w:rPr>
          <w:rFonts w:ascii="Arial" w:cs="Arial" w:eastAsia="Arial" w:hAnsi="Arial"/>
          <w:sz w:val="17"/>
          <w:szCs w:val="17"/>
          <w:color w:val="auto"/>
        </w:rPr>
        <w:t>The FASB amended existing guidance related to revenue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beginning January 1, 2019. The adoption of this standard is not expected to have a material impact on the Company’s operating results or financial condition.</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ASU 2016-02 Leases (Topic 842). </w:t>
      </w:r>
      <w:r>
        <w:rPr>
          <w:rFonts w:ascii="Arial" w:cs="Arial" w:eastAsia="Arial" w:hAnsi="Arial"/>
          <w:sz w:val="18"/>
          <w:szCs w:val="18"/>
          <w:color w:val="auto"/>
        </w:rPr>
        <w:t>The FASB amended existing guidance that requires that lessees recognize lease assets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the balance sheet and disclose key information about leasing arrangements. The Company is in the process of determining the effect of the standard on its consolidated operating results and financial condition. These amendments are effective beginning January 1, 2020</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ASU 2016-13 Financial Instruments - Credit Losses (Topic 326). </w:t>
      </w:r>
      <w:r>
        <w:rPr>
          <w:rFonts w:ascii="Arial" w:cs="Arial" w:eastAsia="Arial" w:hAnsi="Arial"/>
          <w:sz w:val="18"/>
          <w:szCs w:val="18"/>
          <w:color w:val="auto"/>
        </w:rPr>
        <w:t>The FASB issued guidance to replace the incurred loss model with</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loss model, which is referred to as the current expected credit loss (CECL) model. The CECL model is applicable to the measurement of credit losses on financial assets measured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amortized cost, including loan receivables, held to maturity securities, and debt securities. ASU 2016-13 is effective for the Company for annual periods beginning after December 15, 2020,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8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ASU 2016-15 Statement of Cash Flows (Topic 320). </w:t>
      </w:r>
      <w:r>
        <w:rPr>
          <w:rFonts w:ascii="Arial" w:cs="Arial" w:eastAsia="Arial" w:hAnsi="Arial"/>
          <w:sz w:val="18"/>
          <w:szCs w:val="18"/>
          <w:color w:val="auto"/>
        </w:rPr>
        <w:t>The FASB issued guidance to address the diversity in how certain cash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payments are presented and classified in the statement of cash flows. The adoption of this standard is not expected to have a material impact on the Company’s operating results or financial condition. These amendments are effective beginning January 1, 2019.</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ASU 2017-12 Derivatives and Hedging (Topic 815). </w:t>
      </w:r>
      <w:r>
        <w:rPr>
          <w:rFonts w:ascii="Arial" w:cs="Arial" w:eastAsia="Arial" w:hAnsi="Arial"/>
          <w:sz w:val="18"/>
          <w:szCs w:val="18"/>
          <w:color w:val="auto"/>
        </w:rPr>
        <w:t>The FASB issued guidance to improve the financial reporting of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These amendments are effective beginning January 1, 2020. The adoption of this standard is not expected to have a material impact on the Company’s operating results or financial condition.</w:t>
      </w:r>
    </w:p>
    <w:p>
      <w:pPr>
        <w:spacing w:after="0" w:line="84" w:lineRule="exact"/>
        <w:rPr>
          <w:sz w:val="20"/>
          <w:szCs w:val="20"/>
          <w:color w:val="auto"/>
        </w:rPr>
      </w:pPr>
    </w:p>
    <w:p>
      <w:pPr>
        <w:ind w:left="360" w:hanging="355"/>
        <w:spacing w:after="0"/>
        <w:tabs>
          <w:tab w:leader="none" w:pos="3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securities, with gross unrealized gains and losses, at year-end follow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Amortized</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Unrealized</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w:t>
            </w:r>
          </w:p>
        </w:tc>
      </w:tr>
      <w:tr>
        <w:trPr>
          <w:trHeight w:val="185"/>
        </w:trPr>
        <w:tc>
          <w:tcPr>
            <w:tcW w:w="3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Gains</w:t>
            </w:r>
          </w:p>
        </w:tc>
        <w:tc>
          <w:tcPr>
            <w:tcW w:w="14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56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3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Available for sale:</w:t>
            </w:r>
          </w:p>
        </w:tc>
        <w:tc>
          <w:tcPr>
            <w:tcW w:w="14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9"/>
        </w:trPr>
        <w:tc>
          <w:tcPr>
            <w:tcW w:w="5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10,392</w:t>
            </w: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74,597</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74,984</w:t>
            </w:r>
          </w:p>
        </w:tc>
      </w:tr>
      <w:tr>
        <w:trPr>
          <w:trHeight w:val="249"/>
        </w:trPr>
        <w:tc>
          <w:tcPr>
            <w:tcW w:w="5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66,373</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65,783</w:t>
            </w:r>
          </w:p>
        </w:tc>
      </w:tr>
      <w:tr>
        <w:trPr>
          <w:trHeight w:val="24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43,353</w:t>
            </w: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43,020</w:t>
            </w:r>
          </w:p>
        </w:tc>
      </w:tr>
      <w:tr>
        <w:trPr>
          <w:trHeight w:val="20"/>
        </w:trPr>
        <w:tc>
          <w:tcPr>
            <w:tcW w:w="360" w:type="dxa"/>
            <w:vAlign w:val="bottom"/>
          </w:tcPr>
          <w:p>
            <w:pPr>
              <w:spacing w:after="0" w:line="20" w:lineRule="exact"/>
              <w:rPr>
                <w:sz w:val="1"/>
                <w:szCs w:val="1"/>
                <w:color w:val="auto"/>
              </w:rPr>
            </w:pPr>
          </w:p>
        </w:tc>
        <w:tc>
          <w:tcPr>
            <w:tcW w:w="56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562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194,625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194,179</w:t>
            </w:r>
          </w:p>
        </w:tc>
      </w:tr>
      <w:tr>
        <w:trPr>
          <w:trHeight w:val="23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56"/>
        </w:trPr>
        <w:tc>
          <w:tcPr>
            <w:tcW w:w="5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92,310</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562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amortized cost and fair value of debt securities at December 31, 2017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rPr>
              <w:t>Available for Sale</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Held to Maturity</w:t>
            </w:r>
          </w:p>
        </w:tc>
      </w:tr>
      <w:tr>
        <w:trPr>
          <w:trHeight w:val="160"/>
        </w:trPr>
        <w:tc>
          <w:tcPr>
            <w:tcW w:w="34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80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rPr>
              <w:t>Amortized</w:t>
            </w:r>
          </w:p>
        </w:tc>
        <w:tc>
          <w:tcPr>
            <w:tcW w:w="720" w:type="dxa"/>
            <w:vAlign w:val="bottom"/>
          </w:tcPr>
          <w:p>
            <w:pPr>
              <w:jc w:val="right"/>
              <w:ind w:right="155"/>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34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Value</w:t>
            </w:r>
          </w:p>
        </w:tc>
      </w:tr>
      <w:tr>
        <w:trPr>
          <w:trHeight w:val="23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23,283</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$ 23,399</w:t>
            </w: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25,601</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25,777</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30,635</w:t>
            </w:r>
          </w:p>
        </w:tc>
        <w:tc>
          <w:tcPr>
            <w:tcW w:w="720" w:type="dxa"/>
            <w:vAlign w:val="bottom"/>
          </w:tcPr>
          <w:p>
            <w:pPr>
              <w:jc w:val="right"/>
              <w:spacing w:after="0"/>
              <w:rPr>
                <w:sz w:val="20"/>
                <w:szCs w:val="20"/>
                <w:color w:val="auto"/>
              </w:rPr>
            </w:pPr>
            <w:r>
              <w:rPr>
                <w:rFonts w:ascii="Arial" w:cs="Arial" w:eastAsia="Arial" w:hAnsi="Arial"/>
                <w:sz w:val="18"/>
                <w:szCs w:val="18"/>
                <w:color w:val="auto"/>
              </w:rPr>
              <w:t>31,615</w:t>
            </w:r>
          </w:p>
        </w:tc>
      </w:tr>
      <w:tr>
        <w:trPr>
          <w:trHeight w:val="24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6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27,505</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27,473</w:t>
            </w: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After 10 years</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22,735</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23,022</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29,952</w:t>
            </w:r>
          </w:p>
        </w:tc>
        <w:tc>
          <w:tcPr>
            <w:tcW w:w="720" w:type="dxa"/>
            <w:vAlign w:val="bottom"/>
          </w:tcPr>
          <w:p>
            <w:pPr>
              <w:jc w:val="right"/>
              <w:spacing w:after="0"/>
              <w:rPr>
                <w:sz w:val="20"/>
                <w:szCs w:val="20"/>
                <w:color w:val="auto"/>
              </w:rPr>
            </w:pPr>
            <w:r>
              <w:rPr>
                <w:rFonts w:ascii="Arial" w:cs="Arial" w:eastAsia="Arial" w:hAnsi="Arial"/>
                <w:sz w:val="18"/>
                <w:szCs w:val="18"/>
                <w:color w:val="auto"/>
              </w:rPr>
              <w:t>31,162</w:t>
            </w:r>
          </w:p>
        </w:tc>
      </w:tr>
      <w:tr>
        <w:trPr>
          <w:trHeight w:val="24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109,726</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108,803</w:t>
            </w: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shd w:val="clear" w:color="auto" w:fill="CCEEFF"/>
          </w:tcPr>
          <w:p>
            <w:pPr>
              <w:spacing w:after="0" w:line="20" w:lineRule="exact"/>
              <w:rPr>
                <w:sz w:val="1"/>
                <w:szCs w:val="1"/>
                <w:color w:val="auto"/>
              </w:rPr>
            </w:pPr>
          </w:p>
        </w:tc>
        <w:tc>
          <w:tcPr>
            <w:tcW w:w="26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34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194,625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194,179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89,920</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$ 92,310</w:t>
            </w:r>
          </w:p>
        </w:tc>
      </w:tr>
      <w:tr>
        <w:trPr>
          <w:trHeight w:val="21"/>
        </w:trPr>
        <w:tc>
          <w:tcPr>
            <w:tcW w:w="3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3400" w:type="dxa"/>
            <w:vAlign w:val="bottom"/>
          </w:tcPr>
          <w:p>
            <w:pPr>
              <w:spacing w:after="0"/>
              <w:rPr>
                <w:sz w:val="24"/>
                <w:szCs w:val="24"/>
                <w:color w:val="auto"/>
              </w:rPr>
            </w:pPr>
          </w:p>
        </w:tc>
        <w:tc>
          <w:tcPr>
            <w:tcW w:w="2740" w:type="dxa"/>
            <w:vAlign w:val="bottom"/>
            <w:gridSpan w:val="2"/>
          </w:tcPr>
          <w:p>
            <w:pPr>
              <w:jc w:val="right"/>
              <w:ind w:right="1107"/>
              <w:spacing w:after="0"/>
              <w:rPr>
                <w:sz w:val="20"/>
                <w:szCs w:val="20"/>
                <w:color w:val="auto"/>
              </w:rPr>
            </w:pPr>
            <w:r>
              <w:rPr>
                <w:rFonts w:ascii="Arial" w:cs="Arial" w:eastAsia="Arial" w:hAnsi="Arial"/>
                <w:sz w:val="18"/>
                <w:szCs w:val="18"/>
                <w:color w:val="auto"/>
              </w:rPr>
              <w:t>F-12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3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8"/>
        </w:trPr>
        <w:tc>
          <w:tcPr>
            <w:tcW w:w="3400" w:type="dxa"/>
            <w:vAlign w:val="bottom"/>
            <w:shd w:val="clear" w:color="auto" w:fill="000000"/>
          </w:tcPr>
          <w:p>
            <w:pPr>
              <w:spacing w:after="0"/>
              <w:rPr>
                <w:sz w:val="5"/>
                <w:szCs w:val="5"/>
                <w:color w:val="auto"/>
              </w:rPr>
            </w:pPr>
          </w:p>
        </w:tc>
        <w:tc>
          <w:tcPr>
            <w:tcW w:w="262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 (Continued)</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Securities with a carrying value of approximately $188.1 million at December 31, 2017 were pledged to collateralize public deposits and for other purposes as required or permitted by law.</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segregates securities with unrealized losses at year-end, by the period they have been in a loss position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6"/>
              </w:rPr>
              <w:t>Less than 12 Months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6"/>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60" w:type="dxa"/>
            <w:vAlign w:val="bottom"/>
            <w:gridSpan w:val="3"/>
          </w:tcPr>
          <w:p>
            <w:pPr>
              <w:jc w:val="right"/>
              <w:ind w:right="240"/>
              <w:spacing w:after="0" w:line="160"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3"/>
                <w:szCs w:val="13"/>
                <w:color w:val="auto"/>
              </w:rPr>
            </w:pPr>
          </w:p>
        </w:tc>
        <w:tc>
          <w:tcPr>
            <w:tcW w:w="72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820" w:type="dxa"/>
            <w:vAlign w:val="bottom"/>
            <w:gridSpan w:val="2"/>
          </w:tcPr>
          <w:p>
            <w:pPr>
              <w:jc w:val="right"/>
              <w:ind w:right="440"/>
              <w:spacing w:after="0" w:line="160" w:lineRule="exact"/>
              <w:rPr>
                <w:sz w:val="20"/>
                <w:szCs w:val="20"/>
                <w:color w:val="auto"/>
              </w:rPr>
            </w:pPr>
            <w:r>
              <w:rPr>
                <w:rFonts w:ascii="Arial" w:cs="Arial" w:eastAsia="Arial" w:hAnsi="Arial"/>
                <w:sz w:val="14"/>
                <w:szCs w:val="14"/>
                <w:b w:val="1"/>
                <w:bCs w:val="1"/>
                <w:color w:val="auto"/>
              </w:rPr>
              <w:t>Fair</w:t>
            </w:r>
          </w:p>
        </w:tc>
        <w:tc>
          <w:tcPr>
            <w:tcW w:w="840" w:type="dxa"/>
            <w:vAlign w:val="bottom"/>
            <w:gridSpan w:val="3"/>
          </w:tcPr>
          <w:p>
            <w:pPr>
              <w:jc w:val="right"/>
              <w:ind w:right="120"/>
              <w:spacing w:after="0" w:line="160" w:lineRule="exact"/>
              <w:rPr>
                <w:sz w:val="20"/>
                <w:szCs w:val="20"/>
                <w:color w:val="auto"/>
              </w:rPr>
            </w:pPr>
            <w:r>
              <w:rPr>
                <w:rFonts w:ascii="Arial" w:cs="Arial" w:eastAsia="Arial" w:hAnsi="Arial"/>
                <w:sz w:val="14"/>
                <w:szCs w:val="14"/>
                <w:b w:val="1"/>
                <w:bCs w:val="1"/>
                <w:color w:val="auto"/>
                <w:w w:val="98"/>
              </w:rPr>
              <w:t>Unrealized</w:t>
            </w:r>
          </w:p>
        </w:tc>
      </w:tr>
      <w:tr>
        <w:trPr>
          <w:trHeight w:val="185"/>
        </w:trPr>
        <w:tc>
          <w:tcPr>
            <w:tcW w:w="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Loss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Loss</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36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40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U.S. government and agencies</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2,073</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2,073</w:t>
            </w:r>
          </w:p>
        </w:tc>
        <w:tc>
          <w:tcPr>
            <w:tcW w:w="160" w:type="dxa"/>
            <w:vAlign w:val="bottom"/>
            <w:tcBorders>
              <w:top w:val="single" w:sz="8" w:color="CCEEFF"/>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30,247</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6,389</w:t>
            </w: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36,636</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47,477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11,623</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59,100</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41,197</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41,197</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r>
      <w:tr>
        <w:trPr>
          <w:trHeight w:val="20"/>
        </w:trPr>
        <w:tc>
          <w:tcPr>
            <w:tcW w:w="360" w:type="dxa"/>
            <w:vAlign w:val="bottom"/>
            <w:shd w:val="clear" w:color="auto" w:fill="CCEEFF"/>
          </w:tcPr>
          <w:p>
            <w:pPr>
              <w:spacing w:after="0" w:line="20" w:lineRule="exact"/>
              <w:rPr>
                <w:sz w:val="1"/>
                <w:szCs w:val="1"/>
                <w:color w:val="auto"/>
              </w:rPr>
            </w:pPr>
          </w:p>
        </w:tc>
        <w:tc>
          <w:tcPr>
            <w:tcW w:w="36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120,994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139,006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r>
      <w:tr>
        <w:trPr>
          <w:trHeight w:val="28"/>
        </w:trPr>
        <w:tc>
          <w:tcPr>
            <w:tcW w:w="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Held to maturity:</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15,224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
        </w:trPr>
        <w:tc>
          <w:tcPr>
            <w:tcW w:w="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There were 121 securities with an unrealized loss at December 31, 2017.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December 31, 2017, management believes the impairments detailed in the table above are temporary and no impairment loss has been realized in the Company’s CFS.</w:t>
      </w:r>
    </w:p>
    <w:p>
      <w:pPr>
        <w:spacing w:after="0" w:line="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3.</w:t>
        <w:tab/>
        <w:t>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Loans are summarized by category at year-end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shd w:val="clear" w:color="auto" w:fill="CCEEFF"/>
          </w:tcPr>
          <w:p>
            <w:pPr>
              <w:spacing w:after="0"/>
              <w:rPr>
                <w:sz w:val="20"/>
                <w:szCs w:val="20"/>
                <w:color w:val="auto"/>
              </w:rPr>
            </w:pP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tcPr>
          <w:p>
            <w:pPr>
              <w:spacing w:after="0"/>
              <w:rPr>
                <w:sz w:val="20"/>
                <w:szCs w:val="20"/>
                <w:color w:val="auto"/>
              </w:rPr>
            </w:pPr>
          </w:p>
        </w:tc>
      </w:tr>
      <w:tr>
        <w:trPr>
          <w:trHeight w:val="249"/>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shd w:val="clear" w:color="auto" w:fill="CCEEFF"/>
          </w:tcPr>
          <w:p>
            <w:pPr>
              <w:spacing w:after="0"/>
              <w:rPr>
                <w:sz w:val="21"/>
                <w:szCs w:val="21"/>
                <w:color w:val="auto"/>
              </w:rPr>
            </w:pP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526,163</w:t>
            </w:r>
          </w:p>
        </w:tc>
        <w:tc>
          <w:tcPr>
            <w:tcW w:w="100" w:type="dxa"/>
            <w:vAlign w:val="bottom"/>
          </w:tcPr>
          <w:p>
            <w:pPr>
              <w:spacing w:after="0"/>
              <w:rPr>
                <w:sz w:val="20"/>
                <w:szCs w:val="20"/>
                <w:color w:val="auto"/>
              </w:rPr>
            </w:pPr>
          </w:p>
        </w:tc>
      </w:tr>
      <w:tr>
        <w:trPr>
          <w:trHeight w:val="249"/>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1,838,155</w:t>
            </w:r>
          </w:p>
        </w:tc>
        <w:tc>
          <w:tcPr>
            <w:tcW w:w="100" w:type="dxa"/>
            <w:vAlign w:val="bottom"/>
            <w:tcBorders>
              <w:top w:val="single" w:sz="8" w:color="CCEEFF"/>
            </w:tcBorders>
          </w:tcPr>
          <w:p>
            <w:pPr>
              <w:spacing w:after="0"/>
              <w:rPr>
                <w:sz w:val="20"/>
                <w:szCs w:val="20"/>
                <w:color w:val="auto"/>
              </w:rPr>
            </w:pP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(21,461)</w:t>
            </w:r>
          </w:p>
        </w:tc>
      </w:tr>
      <w:tr>
        <w:trPr>
          <w:trHeight w:val="223"/>
        </w:trPr>
        <w:tc>
          <w:tcPr>
            <w:tcW w:w="8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Loans, net</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1,816,694</w:t>
            </w:r>
          </w:p>
        </w:tc>
        <w:tc>
          <w:tcPr>
            <w:tcW w:w="100" w:type="dxa"/>
            <w:vAlign w:val="bottom"/>
            <w:tcBorders>
              <w:top w:val="single" w:sz="8" w:color="CCEEFF"/>
            </w:tcBorders>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u w:val="single" w:color="auto"/>
          <w:color w:val="auto"/>
        </w:rPr>
        <w:t>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 Commercial loans are underwritten after evaluating and understanding the borrower’s ability to operate profitably.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u w:val="single" w:color="auto"/>
          <w:color w:val="auto"/>
        </w:rPr>
        <w:t>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Loans for residential construction are for single-family properties to developers, builders, or end-users.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u w:val="single" w:color="auto"/>
          <w:color w:val="auto"/>
        </w:rPr>
        <w:t>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utilizes a computer-based credit scoring analysis to supplement its policies and procedures in</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 the Company’s risk. Residential real estate loans are included in consumer loans. The Company generally requires mortgage title insurance and hazard insurance on these loans.</w:t>
      </w:r>
    </w:p>
    <w:p>
      <w:pPr>
        <w:spacing w:after="0" w:line="6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following table details the activity in the allowance for loan losses during 2017 (in thousands). Allocation of a portion of the allowance to one category of loans does not preclude its availability to absorb losses in other categories.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Commercial</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Commercial -</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Commercial -</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Specialized</w:t>
            </w:r>
          </w:p>
        </w:tc>
        <w:tc>
          <w:tcPr>
            <w:tcW w:w="16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General</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Consumer</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Construction</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318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35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tcPr>
          <w:p>
            <w:pPr>
              <w:jc w:val="right"/>
              <w:ind w:right="9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4,049</w:t>
            </w:r>
          </w:p>
        </w:tc>
        <w:tc>
          <w:tcPr>
            <w:tcW w:w="1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3,474</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9,589</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3,910</w:t>
            </w:r>
          </w:p>
        </w:tc>
        <w:tc>
          <w:tcPr>
            <w:tcW w:w="340" w:type="dxa"/>
            <w:vAlign w:val="bottom"/>
            <w:tcBorders>
              <w:top w:val="single" w:sz="8" w:color="CCEEFF"/>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152</w:t>
            </w:r>
          </w:p>
        </w:tc>
        <w:tc>
          <w:tcPr>
            <w:tcW w:w="7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1"/>
              </w:rPr>
              <w:t>$ 21,174</w:t>
            </w:r>
          </w:p>
        </w:tc>
      </w:tr>
      <w:tr>
        <w:trPr>
          <w:trHeight w:val="249"/>
        </w:trPr>
        <w:tc>
          <w:tcPr>
            <w:tcW w:w="3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3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3,206</w:t>
            </w:r>
          </w:p>
        </w:tc>
        <w:tc>
          <w:tcPr>
            <w:tcW w:w="34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w:t>
            </w:r>
          </w:p>
        </w:tc>
      </w:tr>
      <w:tr>
        <w:trPr>
          <w:trHeight w:val="237"/>
        </w:trPr>
        <w:tc>
          <w:tcPr>
            <w:tcW w:w="354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3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(2,658)</w:t>
            </w:r>
          </w:p>
        </w:tc>
        <w:tc>
          <w:tcPr>
            <w:tcW w:w="1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(2,757)</w:t>
            </w:r>
          </w:p>
        </w:tc>
        <w:tc>
          <w:tcPr>
            <w:tcW w:w="3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(5,606)</w:t>
            </w:r>
          </w:p>
        </w:tc>
      </w:tr>
      <w:tr>
        <w:trPr>
          <w:trHeight w:val="249"/>
        </w:trPr>
        <w:tc>
          <w:tcPr>
            <w:tcW w:w="3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r>
      <w:tr>
        <w:trPr>
          <w:trHeight w:val="20"/>
        </w:trPr>
        <w:tc>
          <w:tcPr>
            <w:tcW w:w="360" w:type="dxa"/>
            <w:vAlign w:val="bottom"/>
            <w:shd w:val="clear" w:color="auto" w:fill="CCEEFF"/>
          </w:tcPr>
          <w:p>
            <w:pPr>
              <w:spacing w:after="0" w:line="20" w:lineRule="exact"/>
              <w:rPr>
                <w:sz w:val="1"/>
                <w:szCs w:val="1"/>
                <w:color w:val="auto"/>
              </w:rPr>
            </w:pPr>
          </w:p>
        </w:tc>
        <w:tc>
          <w:tcPr>
            <w:tcW w:w="3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3,769</w:t>
            </w:r>
          </w:p>
        </w:tc>
        <w:tc>
          <w:tcPr>
            <w:tcW w:w="1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2,367</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4,826</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$ 21,461</w:t>
            </w:r>
          </w:p>
        </w:tc>
      </w:tr>
      <w:tr>
        <w:trPr>
          <w:trHeight w:val="20"/>
        </w:trPr>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F-14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3180" w:type="dxa"/>
            <w:vAlign w:val="bottom"/>
            <w:tcBorders>
              <w:right w:val="single" w:sz="8" w:color="auto"/>
            </w:tcBorders>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Impaired loan information at year-end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Contractual</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With No</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With</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Related</w:t>
            </w: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Recorded</w:t>
            </w:r>
          </w:p>
        </w:tc>
      </w:tr>
      <w:tr>
        <w:trPr>
          <w:trHeight w:val="185"/>
        </w:trPr>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Allowance</w:t>
            </w:r>
          </w:p>
        </w:tc>
        <w:tc>
          <w:tcPr>
            <w:tcW w:w="8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r>
      <w:tr>
        <w:trPr>
          <w:trHeight w:val="221"/>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3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7"/>
        </w:trPr>
        <w:tc>
          <w:tcPr>
            <w:tcW w:w="35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7,815</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7,360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7,360</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4,982</w:t>
            </w:r>
          </w:p>
        </w:tc>
      </w:tr>
      <w:tr>
        <w:trPr>
          <w:trHeight w:val="249"/>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6,074</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5,367</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5,244</w:t>
            </w:r>
          </w:p>
        </w:tc>
      </w:tr>
      <w:tr>
        <w:trPr>
          <w:trHeight w:val="237"/>
        </w:trPr>
        <w:tc>
          <w:tcPr>
            <w:tcW w:w="35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4,901</w:t>
            </w:r>
          </w:p>
        </w:tc>
      </w:tr>
      <w:tr>
        <w:trPr>
          <w:trHeight w:val="249"/>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2,795</w:t>
            </w:r>
          </w:p>
        </w:tc>
      </w:tr>
      <w:tr>
        <w:trPr>
          <w:trHeight w:val="243"/>
        </w:trPr>
        <w:tc>
          <w:tcPr>
            <w:tcW w:w="35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3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17,922</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All impaired loans $250,000 and greater were specifically evaluated for impairment. Interest income recognized using a cash-basis method on impaired loans for 2017. Additional funds committed to be advanced on impaired loans are not significant.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age analysis on accruing past-due loans and nonaccrual loans at year-end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30-89 Days Past</w:t>
            </w: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90 Days or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Due</w:t>
            </w:r>
          </w:p>
        </w:tc>
        <w:tc>
          <w:tcPr>
            <w:tcW w:w="12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More Past Due</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Nonaccrual</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562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tcBorders>
              <w:top w:val="single" w:sz="8" w:color="CCEEFF"/>
            </w:tcBorders>
          </w:tcPr>
          <w:p>
            <w:pPr>
              <w:jc w:val="right"/>
              <w:ind w:right="9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2,562</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CEEFF"/>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5,558</w:t>
            </w:r>
          </w:p>
        </w:tc>
      </w:tr>
      <w:tr>
        <w:trPr>
          <w:trHeight w:val="249"/>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3,385</w:t>
            </w:r>
          </w:p>
        </w:tc>
      </w:tr>
      <w:tr>
        <w:trPr>
          <w:trHeight w:val="249"/>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4,343</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2,099</w:t>
            </w: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56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12,704</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562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can be non-accrual depending on the circumstances of the individual loans.</w:t>
      </w:r>
    </w:p>
    <w:p>
      <w:pPr>
        <w:spacing w:after="0" w:line="4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internal classifications of loans at year-end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Special</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Mention</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Substandard</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Doubtful</w:t>
            </w:r>
          </w:p>
        </w:tc>
        <w:tc>
          <w:tcPr>
            <w:tcW w:w="12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41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45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495,860</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1,233</w:t>
            </w:r>
          </w:p>
        </w:tc>
        <w:tc>
          <w:tcPr>
            <w:tcW w:w="240" w:type="dxa"/>
            <w:vAlign w:val="bottom"/>
            <w:tcBorders>
              <w:top w:val="single" w:sz="8" w:color="CCEEFF"/>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9,801</w:t>
            </w:r>
          </w:p>
        </w:tc>
        <w:tc>
          <w:tcPr>
            <w:tcW w:w="2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506,894</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322,424</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6,695</w:t>
            </w:r>
          </w:p>
        </w:tc>
        <w:tc>
          <w:tcPr>
            <w:tcW w:w="22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329,119</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397,390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4,037</w:t>
            </w:r>
          </w:p>
        </w:tc>
        <w:tc>
          <w:tcPr>
            <w:tcW w:w="2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8,150</w:t>
            </w: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410,057</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519,191</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6,972</w:t>
            </w:r>
          </w:p>
        </w:tc>
        <w:tc>
          <w:tcPr>
            <w:tcW w:w="22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526,163</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65,847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65,922</w:t>
            </w:r>
          </w:p>
        </w:tc>
      </w:tr>
      <w:tr>
        <w:trPr>
          <w:trHeight w:val="20"/>
        </w:trPr>
        <w:tc>
          <w:tcPr>
            <w:tcW w:w="360" w:type="dxa"/>
            <w:vAlign w:val="bottom"/>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1,800,712</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31,693</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1,838,155</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414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Troubled debt restructurings during 2017 are summarized in the table below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60"/>
        </w:trPr>
        <w:tc>
          <w:tcPr>
            <w:tcW w:w="6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60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Restructure</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Balance at</w:t>
            </w:r>
          </w:p>
        </w:tc>
      </w:tr>
      <w:tr>
        <w:trPr>
          <w:trHeight w:val="185"/>
        </w:trPr>
        <w:tc>
          <w:tcPr>
            <w:tcW w:w="6020" w:type="dxa"/>
            <w:vAlign w:val="bottom"/>
          </w:tcPr>
          <w:p>
            <w:pPr>
              <w:spacing w:after="0"/>
              <w:rPr>
                <w:sz w:val="16"/>
                <w:szCs w:val="16"/>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12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49"/>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12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spacing w:after="0"/>
              <w:rPr>
                <w:sz w:val="20"/>
                <w:szCs w:val="20"/>
                <w:color w:val="auto"/>
              </w:rPr>
            </w:pPr>
            <w:r>
              <w:rPr>
                <w:rFonts w:ascii="Arial" w:cs="Arial" w:eastAsia="Arial" w:hAnsi="Arial"/>
                <w:sz w:val="18"/>
                <w:szCs w:val="18"/>
                <w:color w:val="auto"/>
              </w:rPr>
              <w:t>Consumer</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49"/>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how loans were restructured during 2017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Combination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Payment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Payment/Rate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Extended</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and/or</w:t>
            </w: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Adjustment and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Interest Rate</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Forgiveness</w:t>
            </w:r>
          </w:p>
        </w:tc>
        <w:tc>
          <w:tcPr>
            <w:tcW w:w="10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Maturity Extension</w:t>
            </w:r>
          </w:p>
        </w:tc>
        <w:tc>
          <w:tcPr>
            <w:tcW w:w="4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410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7"/>
        </w:trPr>
        <w:tc>
          <w:tcPr>
            <w:tcW w:w="4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CEEFF"/>
            </w:tcBorders>
            <w:gridSpan w:val="2"/>
          </w:tcPr>
          <w:p>
            <w:pPr>
              <w:ind w:left="1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w:t>
            </w:r>
          </w:p>
        </w:tc>
      </w:tr>
      <w:tr>
        <w:trPr>
          <w:trHeight w:val="249"/>
        </w:trPr>
        <w:tc>
          <w:tcPr>
            <w:tcW w:w="4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49"/>
        </w:trPr>
        <w:tc>
          <w:tcPr>
            <w:tcW w:w="4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8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4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41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410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were no defaults on loans restructured during the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1"/>
        </w:trPr>
        <w:tc>
          <w:tcPr>
            <w:tcW w:w="842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1"/>
        </w:trPr>
        <w:tc>
          <w:tcPr>
            <w:tcW w:w="2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6880" w:type="dxa"/>
            <w:vAlign w:val="bottom"/>
          </w:tcPr>
          <w:p>
            <w:pPr>
              <w:jc w:val="center"/>
              <w:ind w:right="290"/>
              <w:spacing w:after="0"/>
              <w:rPr>
                <w:sz w:val="20"/>
                <w:szCs w:val="20"/>
                <w:color w:val="auto"/>
              </w:rPr>
            </w:pPr>
            <w:r>
              <w:rPr>
                <w:rFonts w:ascii="Arial" w:cs="Arial" w:eastAsia="Arial" w:hAnsi="Arial"/>
                <w:sz w:val="18"/>
                <w:szCs w:val="18"/>
                <w:b w:val="1"/>
                <w:bCs w:val="1"/>
                <w:i w:val="1"/>
                <w:iCs w:val="1"/>
                <w:color w:val="auto"/>
                <w:w w:val="98"/>
              </w:rPr>
              <w:t>SOUTH PLAINS FINANCIAL, INC. AND SUBSIDIARIES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80" w:type="dxa"/>
            <w:vAlign w:val="bottom"/>
          </w:tcPr>
          <w:p>
            <w:pPr>
              <w:jc w:val="center"/>
              <w:ind w:right="290"/>
              <w:spacing w:after="0"/>
              <w:rPr>
                <w:sz w:val="20"/>
                <w:szCs w:val="20"/>
                <w:color w:val="auto"/>
              </w:rPr>
            </w:pPr>
            <w:r>
              <w:rPr>
                <w:rFonts w:ascii="Arial" w:cs="Arial" w:eastAsia="Arial" w:hAnsi="Arial"/>
                <w:sz w:val="18"/>
                <w:szCs w:val="18"/>
                <w:b w:val="1"/>
                <w:bCs w:val="1"/>
                <w:i w:val="1"/>
                <w:iCs w:val="1"/>
                <w:color w:val="auto"/>
                <w:w w:val="96"/>
              </w:rPr>
              <w:t>NOTES TO CONSOLIDATED FINANCIAL STATEMENTS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80" w:type="dxa"/>
            <w:vAlign w:val="bottom"/>
          </w:tcPr>
          <w:p>
            <w:pPr>
              <w:jc w:val="center"/>
              <w:ind w:right="250"/>
              <w:spacing w:after="0"/>
              <w:rPr>
                <w:sz w:val="20"/>
                <w:szCs w:val="20"/>
                <w:color w:val="auto"/>
              </w:rPr>
            </w:pPr>
            <w:r>
              <w:rPr>
                <w:rFonts w:ascii="Arial" w:cs="Arial" w:eastAsia="Arial" w:hAnsi="Arial"/>
                <w:sz w:val="18"/>
                <w:szCs w:val="18"/>
                <w:b w:val="1"/>
                <w:bCs w:val="1"/>
                <w:i w:val="1"/>
                <w:iCs w:val="1"/>
                <w:color w:val="auto"/>
                <w:w w:val="89"/>
              </w:rPr>
              <w:t>(Continued)</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818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FORECLOSED ASSETS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420" w:type="dxa"/>
            <w:vAlign w:val="bottom"/>
            <w:gridSpan w:val="3"/>
          </w:tcPr>
          <w:p>
            <w:pPr>
              <w:spacing w:after="0"/>
              <w:rPr>
                <w:sz w:val="20"/>
                <w:szCs w:val="20"/>
                <w:color w:val="auto"/>
              </w:rPr>
            </w:pPr>
            <w:r>
              <w:rPr>
                <w:rFonts w:ascii="Arial" w:cs="Arial" w:eastAsia="Arial" w:hAnsi="Arial"/>
                <w:sz w:val="18"/>
                <w:szCs w:val="18"/>
                <w:color w:val="auto"/>
              </w:rPr>
              <w:t>Foreclosed assets activity was as follows (in thousands):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r>
      <w:tr>
        <w:trPr>
          <w:trHeight w:val="237"/>
        </w:trPr>
        <w:tc>
          <w:tcPr>
            <w:tcW w:w="8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w:t>
            </w:r>
          </w:p>
        </w:tc>
      </w:tr>
      <w:tr>
        <w:trPr>
          <w:trHeight w:val="237"/>
        </w:trPr>
        <w:tc>
          <w:tcPr>
            <w:tcW w:w="842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r>
      <w:tr>
        <w:trPr>
          <w:trHeight w:val="249"/>
        </w:trPr>
        <w:tc>
          <w:tcPr>
            <w:tcW w:w="8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Sales, net</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(6,434)</w:t>
            </w:r>
          </w:p>
        </w:tc>
      </w:tr>
      <w:tr>
        <w:trPr>
          <w:trHeight w:val="243"/>
        </w:trPr>
        <w:tc>
          <w:tcPr>
            <w:tcW w:w="8420" w:type="dxa"/>
            <w:vAlign w:val="bottom"/>
            <w:gridSpan w:val="3"/>
          </w:tcPr>
          <w:p>
            <w:pPr>
              <w:spacing w:after="0"/>
              <w:rPr>
                <w:sz w:val="20"/>
                <w:szCs w:val="20"/>
                <w:color w:val="auto"/>
              </w:rPr>
            </w:pPr>
            <w:r>
              <w:rPr>
                <w:rFonts w:ascii="Arial" w:cs="Arial" w:eastAsia="Arial" w:hAnsi="Arial"/>
                <w:sz w:val="18"/>
                <w:szCs w:val="18"/>
                <w:color w:val="auto"/>
              </w:rPr>
              <w:t>Current year valuation write-down</w:t>
            </w:r>
          </w:p>
        </w:tc>
        <w:tc>
          <w:tcPr>
            <w:tcW w:w="2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r>
      <w:tr>
        <w:trPr>
          <w:trHeight w:val="20"/>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8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r>
      <w:tr>
        <w:trPr>
          <w:trHeight w:val="324"/>
        </w:trPr>
        <w:tc>
          <w:tcPr>
            <w:tcW w:w="84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Activity in the valuation allowance was as follows (in thousands):</w:t>
            </w: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r>
      <w:tr>
        <w:trPr>
          <w:trHeight w:val="237"/>
        </w:trPr>
        <w:tc>
          <w:tcPr>
            <w:tcW w:w="8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w:t>
            </w:r>
          </w:p>
        </w:tc>
      </w:tr>
      <w:tr>
        <w:trPr>
          <w:trHeight w:val="237"/>
        </w:trPr>
        <w:tc>
          <w:tcPr>
            <w:tcW w:w="8420" w:type="dxa"/>
            <w:vAlign w:val="bottom"/>
            <w:gridSpan w:val="3"/>
          </w:tcPr>
          <w:p>
            <w:pPr>
              <w:spacing w:after="0"/>
              <w:rPr>
                <w:sz w:val="20"/>
                <w:szCs w:val="20"/>
                <w:color w:val="auto"/>
              </w:rPr>
            </w:pPr>
            <w:r>
              <w:rPr>
                <w:rFonts w:ascii="Arial" w:cs="Arial" w:eastAsia="Arial" w:hAnsi="Arial"/>
                <w:sz w:val="18"/>
                <w:szCs w:val="18"/>
                <w:color w:val="auto"/>
              </w:rPr>
              <w:t>Current year valuation write-down</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r>
      <w:tr>
        <w:trPr>
          <w:trHeight w:val="249"/>
        </w:trPr>
        <w:tc>
          <w:tcPr>
            <w:tcW w:w="8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Reductions from sales</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(1,834)</w:t>
            </w:r>
          </w:p>
        </w:tc>
      </w:tr>
      <w:tr>
        <w:trPr>
          <w:trHeight w:val="20"/>
        </w:trPr>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8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84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1,413</w:t>
            </w:r>
          </w:p>
        </w:tc>
      </w:tr>
      <w:tr>
        <w:trPr>
          <w:trHeight w:val="21"/>
        </w:trPr>
        <w:tc>
          <w:tcPr>
            <w:tcW w:w="154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8420" w:type="dxa"/>
            <w:vAlign w:val="bottom"/>
            <w:gridSpan w:val="3"/>
          </w:tcPr>
          <w:p>
            <w:pPr>
              <w:spacing w:after="0"/>
              <w:rPr>
                <w:sz w:val="20"/>
                <w:szCs w:val="20"/>
                <w:color w:val="auto"/>
              </w:rPr>
            </w:pPr>
            <w:r>
              <w:rPr>
                <w:rFonts w:ascii="Arial" w:cs="Arial" w:eastAsia="Arial" w:hAnsi="Arial"/>
                <w:sz w:val="18"/>
                <w:szCs w:val="18"/>
                <w:color w:val="auto"/>
              </w:rPr>
              <w:t>Net expenses related to foreclosed assets include (in thousands):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r>
      <w:tr>
        <w:trPr>
          <w:trHeight w:val="237"/>
        </w:trPr>
        <w:tc>
          <w:tcPr>
            <w:tcW w:w="8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gain on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r>
      <w:tr>
        <w:trPr>
          <w:trHeight w:val="237"/>
        </w:trPr>
        <w:tc>
          <w:tcPr>
            <w:tcW w:w="8420" w:type="dxa"/>
            <w:vAlign w:val="bottom"/>
            <w:gridSpan w:val="3"/>
          </w:tcPr>
          <w:p>
            <w:pPr>
              <w:spacing w:after="0"/>
              <w:rPr>
                <w:sz w:val="20"/>
                <w:szCs w:val="20"/>
                <w:color w:val="auto"/>
              </w:rPr>
            </w:pPr>
            <w:r>
              <w:rPr>
                <w:rFonts w:ascii="Arial" w:cs="Arial" w:eastAsia="Arial" w:hAnsi="Arial"/>
                <w:sz w:val="18"/>
                <w:szCs w:val="18"/>
                <w:color w:val="auto"/>
              </w:rPr>
              <w:t>Current year valuation write-down</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r>
      <w:tr>
        <w:trPr>
          <w:trHeight w:val="249"/>
        </w:trPr>
        <w:tc>
          <w:tcPr>
            <w:tcW w:w="8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0"/>
        </w:trPr>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8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8420" w:type="dxa"/>
            <w:vAlign w:val="bottom"/>
            <w:gridSpan w:val="3"/>
          </w:tcPr>
          <w:p>
            <w:pPr>
              <w:spacing w:after="0"/>
              <w:rPr>
                <w:sz w:val="20"/>
                <w:szCs w:val="20"/>
                <w:color w:val="auto"/>
              </w:rPr>
            </w:pPr>
            <w:r>
              <w:rPr>
                <w:rFonts w:ascii="Arial" w:cs="Arial" w:eastAsia="Arial" w:hAnsi="Arial"/>
                <w:sz w:val="18"/>
                <w:szCs w:val="18"/>
                <w:color w:val="auto"/>
              </w:rPr>
              <w:t>Foreclosed assets expense,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0"/>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818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PREMISES AND EQUIPMENT</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Detail of premises and equipment at year-end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6"/>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10,121</w:t>
            </w: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60,119</w:t>
            </w:r>
          </w:p>
        </w:tc>
      </w:tr>
      <w:tr>
        <w:trPr>
          <w:trHeight w:val="249"/>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40,120</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0"/>
        </w:trPr>
        <w:tc>
          <w:tcPr>
            <w:tcW w:w="84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4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110,637</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(48,750)</w:t>
            </w:r>
          </w:p>
        </w:tc>
      </w:tr>
      <w:tr>
        <w:trPr>
          <w:trHeight w:val="20"/>
        </w:trPr>
        <w:tc>
          <w:tcPr>
            <w:tcW w:w="84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61,887</w:t>
            </w:r>
          </w:p>
        </w:tc>
      </w:tr>
      <w:tr>
        <w:trPr>
          <w:trHeight w:val="27"/>
        </w:trPr>
        <w:tc>
          <w:tcPr>
            <w:tcW w:w="84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$5.3 million in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80" w:type="dxa"/>
            <w:vAlign w:val="bottom"/>
          </w:tcPr>
          <w:p>
            <w:pPr>
              <w:ind w:left="4360"/>
              <w:spacing w:after="0"/>
              <w:rPr>
                <w:sz w:val="20"/>
                <w:szCs w:val="20"/>
                <w:color w:val="auto"/>
              </w:rPr>
            </w:pPr>
            <w:r>
              <w:rPr>
                <w:rFonts w:ascii="Arial" w:cs="Arial" w:eastAsia="Arial" w:hAnsi="Arial"/>
                <w:sz w:val="18"/>
                <w:szCs w:val="18"/>
                <w:b w:val="1"/>
                <w:bCs w:val="1"/>
                <w:i w:val="1"/>
                <w:iCs w:val="1"/>
                <w:color w:val="auto"/>
              </w:rPr>
              <w:t>(Continued)</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8380" w:type="dxa"/>
            <w:vAlign w:val="bottom"/>
          </w:tcPr>
          <w:p>
            <w:pPr>
              <w:spacing w:after="0"/>
              <w:rPr>
                <w:sz w:val="20"/>
                <w:szCs w:val="20"/>
                <w:color w:val="auto"/>
              </w:rPr>
            </w:pPr>
            <w:r>
              <w:rPr>
                <w:rFonts w:ascii="Arial" w:cs="Arial" w:eastAsia="Arial" w:hAnsi="Arial"/>
                <w:sz w:val="18"/>
                <w:szCs w:val="18"/>
                <w:b w:val="1"/>
                <w:bCs w:val="1"/>
                <w:i w:val="1"/>
                <w:iCs w:val="1"/>
                <w:color w:val="auto"/>
              </w:rPr>
              <w:t>6.   DEPOSITS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w w:val="93"/>
              </w:rPr>
              <w:t>Time deposits that met or exceeded the FDIC Insurance limit of $250,000 were $147.1 million at December 31, 2017.</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380" w:type="dxa"/>
            <w:vAlign w:val="bottom"/>
          </w:tcPr>
          <w:p>
            <w:pPr>
              <w:spacing w:after="0"/>
              <w:rPr>
                <w:sz w:val="20"/>
                <w:szCs w:val="20"/>
                <w:color w:val="auto"/>
              </w:rPr>
            </w:pPr>
            <w:r>
              <w:rPr>
                <w:rFonts w:ascii="Arial" w:cs="Arial" w:eastAsia="Arial" w:hAnsi="Arial"/>
                <w:sz w:val="18"/>
                <w:szCs w:val="18"/>
                <w:color w:val="auto"/>
              </w:rPr>
              <w:t>At December 31, 2017, the scheduled maturities of time deposits are as follows (in thousands):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
        </w:trPr>
        <w:tc>
          <w:tcPr>
            <w:tcW w:w="8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210,988</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35,212</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15,953</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7,535</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61,825</w:t>
            </w: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3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331,513</w:t>
            </w:r>
          </w:p>
        </w:tc>
      </w:tr>
      <w:tr>
        <w:trPr>
          <w:trHeight w:val="27"/>
        </w:trPr>
        <w:tc>
          <w:tcPr>
            <w:tcW w:w="8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7.</w:t>
        <w:tab/>
        <w:t>BORROWING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short-term borrowings at year-end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15,550</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FHLB advances - short-term</w:t>
            </w:r>
          </w:p>
        </w:tc>
        <w:tc>
          <w:tcPr>
            <w:tcW w:w="2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4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15,550</w:t>
            </w:r>
          </w:p>
        </w:tc>
      </w:tr>
      <w:tr>
        <w:trPr>
          <w:trHeight w:val="27"/>
        </w:trPr>
        <w:tc>
          <w:tcPr>
            <w:tcW w:w="842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are short-term borrowings that generally have one-day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bank subsidiary has a line of credit with FHLB. The amount of the line is determined by FHLB on a quarterly basis. The line can be used to purchase Federal funds or to secure letters of credit to pledge as collateral against certain public deposits. Use and availability of the line at year-end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6"/>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 and short-term advances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Long-term advances</w:t>
            </w: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49"/>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145,000</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Available funds</w:t>
            </w:r>
          </w:p>
        </w:tc>
        <w:tc>
          <w:tcPr>
            <w:tcW w:w="2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456,616</w:t>
            </w:r>
          </w:p>
        </w:tc>
      </w:tr>
      <w:tr>
        <w:trPr>
          <w:trHeight w:val="20"/>
        </w:trPr>
        <w:tc>
          <w:tcPr>
            <w:tcW w:w="84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696,616</w:t>
            </w:r>
          </w:p>
        </w:tc>
      </w:tr>
      <w:tr>
        <w:trPr>
          <w:trHeight w:val="27"/>
        </w:trPr>
        <w:tc>
          <w:tcPr>
            <w:tcW w:w="84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line is collateralized by a blanket floating lien on all first mortgage loans and commercial real estate loans as well as all FHLB stock.</w:t>
      </w:r>
    </w:p>
    <w:p>
      <w:pPr>
        <w:spacing w:after="0" w:line="6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$466.0 million at December 31, 2017. This line was not used at December 31, 2017.</w:t>
      </w:r>
    </w:p>
    <w:p>
      <w:pPr>
        <w:spacing w:after="0" w:line="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subsidiary also has uncollateralized lines of credit with multiple banks. The total amount of the lines was $135.0 as of December 31, 2017. These lines were not used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There was a note for the Company’s ESOP to a bank, dated May 2007, payable in ten equal annual principal payments of $677,000, beginning January 2008. The note bore interest at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WSJ)</w:t>
      </w:r>
      <w:r>
        <w:rPr>
          <w:rFonts w:ascii="Arial" w:cs="Arial" w:eastAsia="Arial" w:hAnsi="Arial"/>
          <w:sz w:val="18"/>
          <w:szCs w:val="18"/>
          <w:color w:val="auto"/>
        </w:rPr>
        <w:t xml:space="preserve"> prime minus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BORROWING ARRANGEMENTS (Continued)</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0.5% payable quarterly, and is secured by unallocated shares of SPFI stock and guaranteed by the Company. The Company repaid the entire December 31, 2016 outstanding balance of $676,000 in 2017.</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bank subsidiary has multiple advances from FHLB. The advances are collateralized through the line of credit with FHLB with interest payable monthly and principal due at maturity. The following table is a detail of the advances as of December 31, 2017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Interest Rate at</w:t>
            </w:r>
          </w:p>
        </w:tc>
      </w:tr>
      <w:tr>
        <w:trPr>
          <w:trHeight w:val="162"/>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Advance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6"/>
                <w:szCs w:val="16"/>
                <w:color w:val="auto"/>
              </w:rPr>
            </w:pPr>
          </w:p>
        </w:tc>
        <w:tc>
          <w:tcPr>
            <w:tcW w:w="14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r>
      <w:tr>
        <w:trPr>
          <w:trHeight w:val="23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Fixed; 1.50%</w:t>
            </w: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760" w:type="dxa"/>
            <w:vAlign w:val="bottom"/>
            <w:gridSpan w:val="3"/>
          </w:tcPr>
          <w:p>
            <w:pPr>
              <w:ind w:left="180"/>
              <w:spacing w:after="0"/>
              <w:rPr>
                <w:sz w:val="20"/>
                <w:szCs w:val="20"/>
                <w:color w:val="auto"/>
              </w:rPr>
            </w:pPr>
            <w:r>
              <w:rPr>
                <w:rFonts w:ascii="Arial" w:cs="Arial" w:eastAsia="Arial" w:hAnsi="Arial"/>
                <w:sz w:val="18"/>
                <w:szCs w:val="18"/>
                <w:color w:val="auto"/>
              </w:rPr>
              <w:t>Variable; 1.40%</w:t>
            </w: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Variable; 1.40%</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760" w:type="dxa"/>
            <w:vAlign w:val="bottom"/>
            <w:gridSpan w:val="3"/>
          </w:tcPr>
          <w:p>
            <w:pPr>
              <w:ind w:left="180"/>
              <w:spacing w:after="0"/>
              <w:rPr>
                <w:sz w:val="20"/>
                <w:szCs w:val="20"/>
                <w:color w:val="auto"/>
              </w:rPr>
            </w:pPr>
            <w:r>
              <w:rPr>
                <w:rFonts w:ascii="Arial" w:cs="Arial" w:eastAsia="Arial" w:hAnsi="Arial"/>
                <w:sz w:val="18"/>
                <w:szCs w:val="18"/>
                <w:color w:val="auto"/>
              </w:rPr>
              <w:t>Variable; 1.33%</w:t>
            </w:r>
          </w:p>
        </w:tc>
      </w:tr>
      <w:tr>
        <w:trPr>
          <w:trHeight w:val="20"/>
        </w:trPr>
        <w:tc>
          <w:tcPr>
            <w:tcW w:w="48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48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Junior subordinated deferrable interest debentures and Trust preferred securities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CFS.</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required by the Board of Governors of the Federal Reserve System (the Federal Reserve Board)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 Board.</w:t>
      </w:r>
    </w:p>
    <w:p>
      <w:pPr>
        <w:spacing w:after="0" w:line="7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Although the trusts are not consolidated in these CFS,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7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terms of the debentures and TPS allow for interest to be deferred for up to five years consecutively. During this time, shareholder dividends are not allowed to be paid.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detail of the debentures and TPS at December 31, 2017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Stated Maturity</w:t>
            </w:r>
          </w:p>
        </w:tc>
        <w:tc>
          <w:tcPr>
            <w:tcW w:w="200" w:type="dxa"/>
            <w:vAlign w:val="bottom"/>
          </w:tcPr>
          <w:p>
            <w:pPr>
              <w:spacing w:after="0"/>
              <w:rPr>
                <w:sz w:val="14"/>
                <w:szCs w:val="14"/>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Interest Rate of</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Issue</w:t>
            </w: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 of</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Date of TPS</w:t>
            </w:r>
          </w:p>
        </w:tc>
        <w:tc>
          <w:tcPr>
            <w:tcW w:w="20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TPS and</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20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TPS</w:t>
            </w:r>
          </w:p>
        </w:tc>
        <w:tc>
          <w:tcPr>
            <w:tcW w:w="1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Debentures</w:t>
            </w: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Debentures (1)</w:t>
            </w:r>
          </w:p>
        </w:tc>
        <w:tc>
          <w:tcPr>
            <w:tcW w:w="2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Debentures (2)(3)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3-mo. LIBOR +</w:t>
            </w: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Trust III</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2004</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10,000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265bps; 4.01%</w:t>
            </w:r>
          </w:p>
        </w:tc>
        <w:tc>
          <w:tcPr>
            <w:tcW w:w="0" w:type="dxa"/>
            <w:vAlign w:val="bottom"/>
          </w:tcPr>
          <w:p>
            <w:pPr>
              <w:spacing w:after="0"/>
              <w:rPr>
                <w:sz w:val="1"/>
                <w:szCs w:val="1"/>
                <w:color w:val="auto"/>
              </w:rPr>
            </w:pPr>
          </w:p>
        </w:tc>
      </w:tr>
      <w:tr>
        <w:trPr>
          <w:trHeight w:val="215"/>
        </w:trPr>
        <w:tc>
          <w:tcPr>
            <w:tcW w:w="4020" w:type="dxa"/>
            <w:vAlign w:val="bottom"/>
            <w:gridSpan w:val="2"/>
          </w:tcPr>
          <w:p>
            <w:pPr>
              <w:spacing w:after="0"/>
              <w:rPr>
                <w:sz w:val="20"/>
                <w:szCs w:val="20"/>
                <w:color w:val="auto"/>
              </w:rPr>
            </w:pPr>
            <w:r>
              <w:rPr>
                <w:rFonts w:ascii="Arial" w:cs="Arial" w:eastAsia="Arial" w:hAnsi="Arial"/>
                <w:sz w:val="18"/>
                <w:szCs w:val="18"/>
                <w:color w:val="auto"/>
              </w:rPr>
              <w:t>South Plains Financial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rPr>
              <w:t>3-mo. LIBOR +</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Capital Trust IV</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20,000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20,619</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2035</w:t>
            </w: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rPr>
              <w:t>139bps; 3.09%</w:t>
            </w:r>
          </w:p>
        </w:tc>
        <w:tc>
          <w:tcPr>
            <w:tcW w:w="0" w:type="dxa"/>
            <w:vAlign w:val="bottom"/>
          </w:tcPr>
          <w:p>
            <w:pPr>
              <w:spacing w:after="0"/>
              <w:rPr>
                <w:sz w:val="1"/>
                <w:szCs w:val="1"/>
                <w:color w:val="auto"/>
              </w:rPr>
            </w:pPr>
          </w:p>
        </w:tc>
      </w:tr>
      <w:tr>
        <w:trPr>
          <w:trHeight w:val="222"/>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87"/>
              </w:rPr>
              <w:t>15,000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80" w:type="dxa"/>
            <w:vAlign w:val="bottom"/>
            <w:vMerge w:val="restart"/>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3-mo. LIBOR +</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Trust V</w:t>
            </w:r>
          </w:p>
        </w:tc>
        <w:tc>
          <w:tcPr>
            <w:tcW w:w="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2007</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150bps; 2.98%</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100"/>
              <w:spacing w:after="0"/>
              <w:rPr>
                <w:sz w:val="20"/>
                <w:szCs w:val="20"/>
                <w:color w:val="auto"/>
              </w:rPr>
            </w:pPr>
            <w:r>
              <w:rPr>
                <w:rFonts w:ascii="Arial" w:cs="Arial" w:eastAsia="Arial" w:hAnsi="Arial"/>
                <w:sz w:val="18"/>
                <w:szCs w:val="18"/>
                <w:color w:val="auto"/>
                <w:w w:val="87"/>
              </w:rPr>
              <w:t>45,000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right="60" w:hanging="355"/>
        <w:spacing w:after="0" w:line="273" w:lineRule="auto"/>
        <w:tabs>
          <w:tab w:leader="none" w:pos="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May be redeemed five years from the issue date, the Company has no current plans to redeem; (2) Interest payable quarterly with principal due at maturity; (3) Rate as of last reset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right="5620" w:firstLine="5"/>
        <w:spacing w:after="0" w:line="340" w:lineRule="auto"/>
        <w:tabs>
          <w:tab w:leader="none" w:pos="364"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BORROWING ARRANGEMENTS (Continued) </w:t>
      </w:r>
      <w:r>
        <w:rPr>
          <w:rFonts w:ascii="Arial" w:cs="Arial" w:eastAsia="Arial" w:hAnsi="Arial"/>
          <w:sz w:val="18"/>
          <w:szCs w:val="18"/>
          <w:u w:val="single" w:color="auto"/>
          <w:color w:val="auto"/>
        </w:rPr>
        <w:t>Subordinated debt securities</w:t>
      </w:r>
    </w:p>
    <w:p>
      <w:pPr>
        <w:spacing w:after="0" w:line="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In January 2014, the Company issued $20.9 million in subordinated debt securities. These securities pay interest quarterly and mature January 2024. There was $6.5 million issued at a current rate of 4% and $14.4 million at a current rate of 5%. These rates are fixed for five years and then float at </w:t>
      </w:r>
      <w:r>
        <w:rPr>
          <w:rFonts w:ascii="Arial" w:cs="Arial" w:eastAsia="Arial" w:hAnsi="Arial"/>
          <w:sz w:val="16"/>
          <w:szCs w:val="16"/>
          <w:i w:val="1"/>
          <w:iCs w:val="1"/>
          <w:color w:val="auto"/>
        </w:rPr>
        <w:t>WSJ</w:t>
      </w:r>
      <w:r>
        <w:rPr>
          <w:rFonts w:ascii="Arial" w:cs="Arial" w:eastAsia="Arial" w:hAnsi="Arial"/>
          <w:sz w:val="16"/>
          <w:szCs w:val="16"/>
          <w:color w:val="auto"/>
        </w:rPr>
        <w:t xml:space="preserve"> prime, with a floor of 4% and a ceiling of 7.5%. These securities are unsecured and may be called by the Company at any time after January 2019. These securities qualify for Tier 2 capital, subject to regulatory limitations.</w:t>
      </w:r>
    </w:p>
    <w:p>
      <w:pPr>
        <w:spacing w:after="0" w:line="49" w:lineRule="exact"/>
        <w:rPr>
          <w:sz w:val="20"/>
          <w:szCs w:val="20"/>
          <w:color w:val="auto"/>
        </w:rPr>
      </w:pPr>
    </w:p>
    <w:p>
      <w:pPr>
        <w:ind w:left="360" w:hanging="355"/>
        <w:spacing w:after="0"/>
        <w:tabs>
          <w:tab w:leader="none" w:pos="3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sponsors the ESOP, an employee stock ownership and 401(k) plan, that covers all employees who have completed one month of service. Under the 401(k) provisions of the ESOP, participants may elect to contribute pre-tax salary deferrals and direct investment of those salary deferrals among investments offered in the ESOP (excluding SPFI stock). Although the ESOP provides for Company contributions under the 401(k) provisions, the Company has not made any contributions of this type and has no plans to do so in the foreseeable future. All Company contributions to date have been allocated to service debt related to employee stock ownership.</w:t>
      </w:r>
    </w:p>
    <w:p>
      <w:pPr>
        <w:spacing w:after="0" w:line="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ESOP is leveraged to purchase shares of SPFI stock. Shares are released from collateral and allocated to active employees, in proportion to annual debt service. The Company recognizes the debt of the ESOP as notes payable and the shares pledged as collateral are deducted from the stockholders’ equity as unearned ESOP shares in the accompanying consolidated balance sheets. See Note 7: Notes payable and other borrowings.</w:t>
      </w:r>
    </w:p>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makes contributions to the ESOP as approved by the Board of Directors on an annual basis. These contributions, plus dividends received, are used to service any ESOP debt and repurchase allocated shares from participants and terminating vested participants. Contributions to the ESOP were $1.7 million in 2017.</w:t>
      </w:r>
    </w:p>
    <w:p>
      <w:pPr>
        <w:spacing w:after="0" w:line="7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ESOP participants have a mandatory put option to the Company, which may be assumed by the ESOP (but ESOP assumption cannot be required), whereby the Company must settle any SPFI stock benefits under the ESOP by providing cash to the participant in exchange for SPFI stock that would otherwise be distributed. Therefore, the Company is obligated to repurchase allocated shares, at fair value as determined by independent appraisal, from participants that (a) elect to diversify their holdings as they approach retirement, (b) retire or (c) are vested in all or a portion of their SPFI stock in the ESOP and terminate employment.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SPFI stock held by the ESOP at year-end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Allocated shares</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100" w:type="dxa"/>
            <w:vAlign w:val="bottom"/>
            <w:shd w:val="clear" w:color="auto" w:fill="CCEEFF"/>
          </w:tcPr>
          <w:p>
            <w:pPr>
              <w:spacing w:after="0"/>
              <w:rPr>
                <w:sz w:val="20"/>
                <w:szCs w:val="20"/>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Unearned (unreleased) shares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w:t>
            </w:r>
          </w:p>
        </w:tc>
        <w:tc>
          <w:tcPr>
            <w:tcW w:w="40" w:type="dxa"/>
            <w:vAlign w:val="bottom"/>
            <w:tcBorders>
              <w:top w:val="single" w:sz="8" w:color="auto"/>
              <w:bottom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Fair value of unearned (unreleased) shares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u w:val="single" w:color="auto"/>
          <w:color w:val="auto"/>
        </w:rPr>
        <w:t>Employee Health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has a self-insured welfare benefit plan which provides health and dental benefits. For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$3.8 million for the year ending December 31, 2017. In addition, benefit obligations have been accrued and include reported claims payable and claims incurred but not reported, for approximately $498,000 as of December 31, 2017. The Company has limited its risk exposure for these benefits through a stop-loss policy with an independent third party insurer which reimburses benefits paid that exceed $75,000 per participant per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left="360" w:hanging="355"/>
        <w:spacing w:after="0"/>
        <w:tabs>
          <w:tab w:leader="none" w:pos="36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 (Continued)</w:t>
      </w:r>
    </w:p>
    <w:p>
      <w:pPr>
        <w:spacing w:after="0" w:line="6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u w:val="single" w:color="auto"/>
          <w:color w:val="auto"/>
        </w:rPr>
        <w:t>Non-Qualified Plans</w:t>
      </w:r>
      <w:r>
        <w:rPr>
          <w:rFonts w:ascii="Arial" w:cs="Arial" w:eastAsia="Arial" w:hAnsi="Arial"/>
          <w:sz w:val="16"/>
          <w:szCs w:val="16"/>
          <w:i w:val="1"/>
          <w:iCs w:val="1"/>
          <w:color w:val="auto"/>
        </w:rPr>
        <w:t xml:space="preserve"> </w:t>
      </w:r>
      <w:r>
        <w:rPr>
          <w:rFonts w:ascii="Arial" w:cs="Arial" w:eastAsia="Arial" w:hAnsi="Arial"/>
          <w:sz w:val="16"/>
          <w:szCs w:val="16"/>
          <w:color w:val="auto"/>
        </w:rPr>
        <w:t>– Certain Company executives, as determined by the Company’s Board from time-to-time, are granted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based on grant date values. The rights have varying vesting provisions. Exercise and payment options for the rights vary and are governed by the program they were issued under as well as the specific award agreement. The Company accrues the liabilities for these rights under the intrinsic value method; approximately $8.1 million was accrued at December 31, 2017.</w:t>
      </w:r>
    </w:p>
    <w:p>
      <w:pPr>
        <w:spacing w:after="0" w:line="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$10.3 million was accrued at December 31, 2017.</w:t>
      </w:r>
    </w:p>
    <w:p>
      <w:pPr>
        <w:spacing w:after="0" w:line="7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Both of these plans are nonqualified, noncontributory, and unfunded. The charges to income for the plans during 2017 was approximately $5.2 million.</w:t>
      </w:r>
    </w:p>
    <w:p>
      <w:pPr>
        <w:spacing w:after="0" w:line="62" w:lineRule="exact"/>
        <w:rPr>
          <w:sz w:val="20"/>
          <w:szCs w:val="20"/>
          <w:color w:val="auto"/>
        </w:rPr>
      </w:pPr>
    </w:p>
    <w:p>
      <w:pPr>
        <w:ind w:left="360" w:hanging="355"/>
        <w:spacing w:after="0"/>
        <w:tabs>
          <w:tab w:leader="none" w:pos="3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Direct and indirect loans to executive officers, directors, significant stockholders and their related affiliates as of December 31, 2017 aggregated approximately $9.4 million. There were no charge-offs related to these loans in 2017 and advance and repayment activity was routine. Deposits from these related parties in the CFS were not significant.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OFF-BALANCE-SHEET ACTIVITIES, COMMITMENTS AND CONTINGENCIES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CFS.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exposure to credit loss is represented by the contractual amount of these commitments. The Company follows the same credit policies in making commitments as it does for recorded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whose contract amounts represent credit risk outstanding at year-end follow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290,441</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9,255</w:t>
            </w:r>
          </w:p>
        </w:tc>
      </w:tr>
    </w:tbl>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defendant in legal actions arising from time to time in the normal course of business.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ultimate liability, if any, arising from these matters will not materially affect the CFS.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4360"/>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OFF-BALANCE-SHEET ACTIVITIES, COMMITMENTS AND CONTINGENCIES (Continued)</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Lease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leases certain office facilities and office equipment under operating leases. Rent expense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totaled approximately $2.2 million in 2017. Occupancy expense was reduced by approximately $900,000 for rental income during 2017, respectively. Future minimum lease payments due under non-cancelable operating leases as of December 31, 2017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4,528</w:t>
            </w:r>
          </w:p>
        </w:tc>
      </w:tr>
      <w:tr>
        <w:trPr>
          <w:trHeight w:val="20"/>
        </w:trPr>
        <w:tc>
          <w:tcPr>
            <w:tcW w:w="8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3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8,804</w:t>
            </w:r>
          </w:p>
        </w:tc>
      </w:tr>
      <w:tr>
        <w:trPr>
          <w:trHeight w:val="27"/>
        </w:trPr>
        <w:tc>
          <w:tcPr>
            <w:tcW w:w="83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CAPITAL AND REGULATORY MATTERS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2013, the Federal Reserve Board published final rules for the adoption of the Basel III regulatory capital framework (Basel III). Basel III, among other things, (i) introduces a new capital measure called Common Equity Tier 1 (CET1), (ii) specifies that Tier 1 capital consists of CET1 and Additional Tier 1 Capital instruments meeting specified requirements, (iii) defines Common Equity Tier 1 narrowly by requiring that most deductions/adjustments to regulatory capital measures be made to CET1 and not to the other components of capital and (iv) expands the scope of the deductions/adjustments as compared to existing regulations. Basel III became effective for the Company and its bank subsidiary on January 1, 2016 with certain transition provisions fully phased-in on January 1, 2019. Management does not anticipate a material impact on the Company or our bank subsidiary when the provisions are fully phased-in.</w:t>
      </w:r>
    </w:p>
    <w:p>
      <w:pPr>
        <w:spacing w:after="0" w:line="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2017, that the Company and its bank subsidiary met all capital adequacy requirements to which they are subject.</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2017,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2017 that management believes have changed the bank subsidiary’s category.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4360"/>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6"/>
          <w:szCs w:val="16"/>
          <w:b w:val="1"/>
          <w:bCs w:val="1"/>
          <w:i w:val="1"/>
          <w:iCs w:val="1"/>
          <w:color w:val="auto"/>
        </w:rPr>
        <w:t>CAPITAL AND REGULATORY MATTERS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bank subsidiary’s actual capital amounts and ratios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2"/>
              </w:rPr>
              <w:t>To Be Well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8"/>
              </w:rPr>
              <w:t>For Capital</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Capitalized Under</w:t>
            </w:r>
          </w:p>
        </w:tc>
      </w:tr>
      <w:tr>
        <w:trPr>
          <w:trHeight w:val="162"/>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2"/>
              </w:rPr>
              <w:t>Adqequacy</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Prompt Corrective</w:t>
            </w:r>
          </w:p>
        </w:tc>
      </w:tr>
      <w:tr>
        <w:trPr>
          <w:trHeight w:val="185"/>
        </w:trPr>
        <w:tc>
          <w:tcPr>
            <w:tcW w:w="382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Actual</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87"/>
              </w:rPr>
              <w:t>Purposes</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Action Provisions</w:t>
            </w:r>
          </w:p>
        </w:tc>
        <w:tc>
          <w:tcPr>
            <w:tcW w:w="100" w:type="dxa"/>
            <w:vAlign w:val="bottom"/>
          </w:tcPr>
          <w:p>
            <w:pPr>
              <w:spacing w:after="0"/>
              <w:rPr>
                <w:sz w:val="16"/>
                <w:szCs w:val="16"/>
                <w:color w:val="auto"/>
              </w:rPr>
            </w:pPr>
          </w:p>
        </w:tc>
      </w:tr>
      <w:tr>
        <w:trPr>
          <w:trHeight w:val="183"/>
        </w:trPr>
        <w:tc>
          <w:tcPr>
            <w:tcW w:w="3820" w:type="dxa"/>
            <w:vAlign w:val="bottom"/>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7"/>
              </w:rPr>
              <w:t>Ratio</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r>
      <w:tr>
        <w:trPr>
          <w:trHeight w:val="183"/>
        </w:trPr>
        <w:tc>
          <w:tcPr>
            <w:tcW w:w="3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(Dollars in thousands)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   303,301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185,220</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City Bank</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276,153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184,982</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199,980</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Consolidated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260,773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145,173</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144,986</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159,984</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Common Tier 1 (CET1):</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215,773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115,137</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City Bank</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254,512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114,989</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129,987</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Consolidated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260,773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103,643</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103,484</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129,355</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DERIVATIVES</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reflects the changes in fair value hedges included in the Consolidated Statements of Comprehensive Income as of December 31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Interest Rate Contracts</w:t>
            </w:r>
          </w:p>
        </w:tc>
        <w:tc>
          <w:tcPr>
            <w:tcW w:w="200" w:type="dxa"/>
            <w:vAlign w:val="bottom"/>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on interest rate swaps hedging fixed rate loans</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Change in fair value on fixed rate loans - hedged item</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fair value hedges included in the Consolidated Balance Sheets as of December 31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9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54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39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r>
      <w:tr>
        <w:trPr>
          <w:trHeight w:val="23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40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Interest rate swaps related to fixed rate loans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4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4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rate swaps related to fixed rate loans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10,189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59</w:t>
            </w:r>
          </w:p>
        </w:tc>
      </w:tr>
      <w:tr>
        <w:trPr>
          <w:trHeight w:val="445"/>
        </w:trPr>
        <w:tc>
          <w:tcPr>
            <w:tcW w:w="3920" w:type="dxa"/>
            <w:vAlign w:val="bottom"/>
          </w:tcPr>
          <w:p>
            <w:pPr>
              <w:spacing w:after="0"/>
              <w:rPr>
                <w:sz w:val="24"/>
                <w:szCs w:val="24"/>
                <w:color w:val="auto"/>
              </w:rPr>
            </w:pPr>
          </w:p>
        </w:tc>
        <w:tc>
          <w:tcPr>
            <w:tcW w:w="4140" w:type="dxa"/>
            <w:vAlign w:val="bottom"/>
            <w:gridSpan w:val="2"/>
          </w:tcPr>
          <w:p>
            <w:pPr>
              <w:jc w:val="right"/>
              <w:ind w:right="3100"/>
              <w:spacing w:after="0"/>
              <w:rPr>
                <w:sz w:val="20"/>
                <w:szCs w:val="20"/>
                <w:color w:val="auto"/>
              </w:rPr>
            </w:pPr>
            <w:r>
              <w:rPr>
                <w:rFonts w:ascii="Arial" w:cs="Arial" w:eastAsia="Arial" w:hAnsi="Arial"/>
                <w:sz w:val="18"/>
                <w:szCs w:val="18"/>
                <w:color w:val="auto"/>
              </w:rPr>
              <w:t>F-23</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920" w:type="dxa"/>
            <w:vAlign w:val="bottom"/>
            <w:shd w:val="clear" w:color="auto" w:fill="000000"/>
          </w:tcPr>
          <w:p>
            <w:pPr>
              <w:spacing w:after="0"/>
              <w:rPr>
                <w:sz w:val="5"/>
                <w:szCs w:val="5"/>
                <w:color w:val="auto"/>
              </w:rPr>
            </w:pPr>
          </w:p>
        </w:tc>
        <w:tc>
          <w:tcPr>
            <w:tcW w:w="40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ind w:right="7080" w:firstLine="5"/>
        <w:spacing w:after="0" w:line="387" w:lineRule="auto"/>
        <w:tabs>
          <w:tab w:leader="none" w:pos="364"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DERIVATIVES (Continued) </w:t>
      </w:r>
      <w:r>
        <w:rPr>
          <w:rFonts w:ascii="Arial" w:cs="Arial" w:eastAsia="Arial" w:hAnsi="Arial"/>
          <w:sz w:val="16"/>
          <w:szCs w:val="16"/>
          <w:u w:val="single" w:color="auto"/>
          <w:color w:val="auto"/>
        </w:rPr>
        <w:t>Mortgage banking derivatives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net gains (losses) relating to free standing derivative instruments used for risk management are summarized below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r>
      <w:tr>
        <w:trPr>
          <w:trHeight w:val="23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3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Net gain on sales of loans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3480" w:type="dxa"/>
            <w:vAlign w:val="bottom"/>
            <w:gridSpan w:val="2"/>
          </w:tcPr>
          <w:p>
            <w:pPr>
              <w:ind w:left="1140"/>
              <w:spacing w:after="0"/>
              <w:rPr>
                <w:sz w:val="20"/>
                <w:szCs w:val="20"/>
                <w:color w:val="auto"/>
              </w:rPr>
            </w:pPr>
            <w:r>
              <w:rPr>
                <w:rFonts w:ascii="Arial" w:cs="Arial" w:eastAsia="Arial" w:hAnsi="Arial"/>
                <w:sz w:val="18"/>
                <w:szCs w:val="18"/>
                <w:color w:val="auto"/>
              </w:rPr>
              <w:t>Net gain on sales of loans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amount and fair value of mortgage banking derivatives in the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7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Value</w:t>
            </w:r>
          </w:p>
        </w:tc>
      </w:tr>
      <w:tr>
        <w:trPr>
          <w:trHeight w:val="237"/>
        </w:trPr>
        <w:tc>
          <w:tcPr>
            <w:tcW w:w="7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33,227</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49"/>
        </w:trPr>
        <w:tc>
          <w:tcPr>
            <w:tcW w:w="7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0"/>
        </w:trPr>
        <w:tc>
          <w:tcPr>
            <w:tcW w:w="7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Total included in other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56,397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8"/>
        </w:trPr>
        <w:tc>
          <w:tcPr>
            <w:tcW w:w="79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0"/>
        </w:trPr>
        <w:tc>
          <w:tcPr>
            <w:tcW w:w="7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Total included in other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5,227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0"/>
        </w:trPr>
        <w:tc>
          <w:tcPr>
            <w:tcW w:w="7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FAIR VALUE DISCLOSURES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FAIR VALUE DISCLOSURES (Continued)</w:t>
      </w:r>
    </w:p>
    <w:p>
      <w:pPr>
        <w:spacing w:after="0" w:line="6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76" w:lineRule="exact"/>
        <w:rPr>
          <w:sz w:val="20"/>
          <w:szCs w:val="20"/>
          <w:color w:val="auto"/>
        </w:rPr>
      </w:pPr>
    </w:p>
    <w:p>
      <w:pPr>
        <w:ind w:left="700" w:hanging="344"/>
        <w:spacing w:after="0" w:line="277" w:lineRule="auto"/>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at the measurement date.</w:t>
      </w:r>
    </w:p>
    <w:p>
      <w:pPr>
        <w:spacing w:after="0" w:line="62" w:lineRule="exact"/>
        <w:rPr>
          <w:rFonts w:ascii="Arial" w:cs="Arial" w:eastAsia="Arial" w:hAnsi="Arial"/>
          <w:sz w:val="18"/>
          <w:szCs w:val="18"/>
          <w:color w:val="auto"/>
        </w:rPr>
      </w:pPr>
    </w:p>
    <w:p>
      <w:pPr>
        <w:ind w:left="700" w:right="20" w:hanging="344"/>
        <w:spacing w:after="0" w:line="275" w:lineRule="auto"/>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68" w:lineRule="exact"/>
        <w:rPr>
          <w:rFonts w:ascii="Arial" w:cs="Arial" w:eastAsia="Arial" w:hAnsi="Arial"/>
          <w:sz w:val="17"/>
          <w:szCs w:val="17"/>
          <w:color w:val="auto"/>
        </w:rPr>
      </w:pPr>
    </w:p>
    <w:p>
      <w:pPr>
        <w:ind w:left="700" w:right="440" w:hanging="344"/>
        <w:spacing w:after="0" w:line="308" w:lineRule="auto"/>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an entity’s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recurring basis at December 31, 2017 follow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37"/>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10,392</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10,392</w:t>
            </w:r>
          </w:p>
        </w:tc>
      </w:tr>
      <w:tr>
        <w:trPr>
          <w:trHeight w:val="249"/>
        </w:trPr>
        <w:tc>
          <w:tcPr>
            <w:tcW w:w="6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6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74,984</w:t>
            </w:r>
          </w:p>
        </w:tc>
        <w:tc>
          <w:tcPr>
            <w:tcW w:w="24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74,984</w:t>
            </w: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65,783</w:t>
            </w:r>
          </w:p>
        </w:tc>
        <w:tc>
          <w:tcPr>
            <w:tcW w:w="240" w:type="dxa"/>
            <w:vAlign w:val="bottom"/>
          </w:tcPr>
          <w:p>
            <w:pPr>
              <w:spacing w:after="0"/>
              <w:rPr>
                <w:sz w:val="20"/>
                <w:szCs w:val="20"/>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65,783</w:t>
            </w:r>
          </w:p>
        </w:tc>
      </w:tr>
      <w:tr>
        <w:trPr>
          <w:trHeight w:val="249"/>
        </w:trPr>
        <w:tc>
          <w:tcPr>
            <w:tcW w:w="6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26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43,020</w:t>
            </w:r>
          </w:p>
        </w:tc>
      </w:tr>
      <w:tr>
        <w:trPr>
          <w:trHeight w:val="20"/>
        </w:trPr>
        <w:tc>
          <w:tcPr>
            <w:tcW w:w="60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securities available for sale</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194,179</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194,179</w:t>
            </w:r>
          </w:p>
        </w:tc>
      </w:tr>
      <w:tr>
        <w:trPr>
          <w:trHeight w:val="28"/>
        </w:trPr>
        <w:tc>
          <w:tcPr>
            <w:tcW w:w="60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25,470</w:t>
            </w:r>
          </w:p>
        </w:tc>
      </w:tr>
      <w:tr>
        <w:trPr>
          <w:trHeight w:val="27"/>
        </w:trPr>
        <w:tc>
          <w:tcPr>
            <w:tcW w:w="60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Asset derivatives</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r>
      <w:tr>
        <w:trPr>
          <w:trHeight w:val="28"/>
        </w:trPr>
        <w:tc>
          <w:tcPr>
            <w:tcW w:w="60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7"/>
        </w:trPr>
        <w:tc>
          <w:tcPr>
            <w:tcW w:w="60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rPr>
        <w:t xml:space="preserve"> – Fair value of derivatives is based on valuation models using observable market data as of the measurement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using fair value at December 31, 2017 include the following: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 At December 31, 2017, impaired loans with a recorded investment of $21.0 million were reduced by a specific valuation allowance of $143,000 resulting in carrying value of $20.8 million, based on Level 3 inputs.</w:t>
      </w:r>
    </w:p>
    <w:p>
      <w:pPr>
        <w:spacing w:after="0" w:line="80"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u w:val="single" w:color="auto"/>
          <w:color w:val="auto"/>
        </w:rPr>
        <w:t>Foreclosed assets</w:t>
      </w:r>
      <w:r>
        <w:rPr>
          <w:rFonts w:ascii="Arial" w:cs="Arial" w:eastAsia="Arial" w:hAnsi="Arial"/>
          <w:sz w:val="16"/>
          <w:szCs w:val="16"/>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 At December 31, 2017, foreclosed assets with a carrying value of $4.2 million were reduced by a specific valuation allowance of $1.4 million resulting in fair value, less costs to sell, of $2.8 million, based on Level 3 inputs.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FAIR VALUE DISCLOSURES (Continued)</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Loans held for sale (best efforts)</w:t>
      </w:r>
      <w:r>
        <w:rPr>
          <w:rFonts w:ascii="Arial" w:cs="Arial" w:eastAsia="Arial" w:hAnsi="Arial"/>
          <w:sz w:val="18"/>
          <w:szCs w:val="18"/>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 At December 31, 2017, the aggregate fair value of loans held for sale exceeded their cost and accordingly, there was no mark down from cost to fair value.</w:t>
      </w:r>
    </w:p>
    <w:p>
      <w:pPr>
        <w:spacing w:after="0" w:line="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practical to estimate that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carrying amount of cash and short-term instruments approximates fair value.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Loans</w:t>
      </w:r>
      <w:r>
        <w:rPr>
          <w:rFonts w:ascii="Arial" w:cs="Arial" w:eastAsia="Arial" w:hAnsi="Arial"/>
          <w:sz w:val="18"/>
          <w:szCs w:val="18"/>
          <w:i w:val="1"/>
          <w:iCs w:val="1"/>
          <w:color w:val="auto"/>
        </w:rPr>
        <w:t xml:space="preserve"> </w:t>
      </w:r>
      <w:r>
        <w:rPr>
          <w:rFonts w:ascii="Arial" w:cs="Arial" w:eastAsia="Arial" w:hAnsi="Arial"/>
          <w:sz w:val="18"/>
          <w:szCs w:val="18"/>
          <w:color w:val="auto"/>
        </w:rPr>
        <w:t>– The fair value of loans is estimated by discounting the contractual cash flows using the current rates at which similar loans</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made to borrowers with similar credit ratings and for the same remaining maturities and subtracting the allowance for loan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The carrying amounts of accrued interest approximate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Bank-owned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 Bank-owned life insurance is carried at its cash surrender value.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u w:val="single" w:color="auto"/>
          <w:color w:val="auto"/>
        </w:rPr>
        <w:t>Deposit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 The fair value of demand deposits, savings accounts, NOW and money market accounts is the amount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demand at the reporting date. The fair value of time deposits is estimated using the rates currently offered for deposits of similar remaining maturities.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Short-term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carrying amount of Federal funds purchased and other short-term borrowings maturing within ninety</w:t>
      </w:r>
      <w:r>
        <w:rPr>
          <w:rFonts w:ascii="Arial" w:cs="Arial" w:eastAsia="Arial" w:hAnsi="Arial"/>
          <w:sz w:val="18"/>
          <w:szCs w:val="18"/>
          <w:i w:val="1"/>
          <w:iCs w:val="1"/>
          <w:color w:val="auto"/>
        </w:rPr>
        <w:t xml:space="preserve"> </w:t>
      </w:r>
      <w:r>
        <w:rPr>
          <w:rFonts w:ascii="Arial" w:cs="Arial" w:eastAsia="Arial" w:hAnsi="Arial"/>
          <w:sz w:val="18"/>
          <w:szCs w:val="18"/>
          <w:color w:val="auto"/>
        </w:rPr>
        <w:t>days approximate their fair values.</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u w:val="single" w:color="auto"/>
          <w:color w:val="auto"/>
        </w:rPr>
        <w:t>Notes payable and other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 Rates currently available to the Company for debt with similar terms and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are used to estimate fair value of existing debt.</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u w:val="single" w:color="auto"/>
          <w:color w:val="auto"/>
        </w:rPr>
        <w:t>Junior subordinated deferrable interest debentures and subordinated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Fair value is estimated using a discounted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calculation that applies interest rates being offered on similar borrowings.</w:t>
      </w:r>
    </w:p>
    <w:p>
      <w:pPr>
        <w:spacing w:after="0" w:line="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u w:val="single" w:color="auto"/>
          <w:color w:val="auto"/>
        </w:rPr>
        <w:t>Off-balance sheet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deferred income amounts arising from unrecognized financial instruments are not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Also, these financial instruments have contractual interest rates at or above current market rates. Therefore, no fair value disclosure is provided for these items.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estimated fair values, and related carrying amounts, of the Company’s financial instruments at year-end are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98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r>
      <w:tr>
        <w:trPr>
          <w:trHeight w:val="23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8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Loans held for sale</w:t>
            </w:r>
          </w:p>
        </w:tc>
        <w:tc>
          <w:tcPr>
            <w:tcW w:w="3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29,314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29,420</w:t>
            </w:r>
          </w:p>
        </w:tc>
      </w:tr>
      <w:tr>
        <w:trPr>
          <w:trHeight w:val="24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2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1,816,694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1,805,659</w:t>
            </w: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Financial liabilities:</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2,154,081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2,134,113</w:t>
            </w: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Notes payable &amp; other borrowings</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4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2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45,690</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20,887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20,887</w:t>
            </w:r>
          </w:p>
        </w:tc>
      </w:tr>
      <w:tr>
        <w:trPr>
          <w:trHeight w:val="445"/>
        </w:trPr>
        <w:tc>
          <w:tcPr>
            <w:tcW w:w="4100" w:type="dxa"/>
            <w:vAlign w:val="bottom"/>
          </w:tcPr>
          <w:p>
            <w:pPr>
              <w:spacing w:after="0"/>
              <w:rPr>
                <w:sz w:val="24"/>
                <w:szCs w:val="24"/>
                <w:color w:val="auto"/>
              </w:rPr>
            </w:pPr>
          </w:p>
        </w:tc>
        <w:tc>
          <w:tcPr>
            <w:tcW w:w="3080" w:type="dxa"/>
            <w:vAlign w:val="bottom"/>
            <w:gridSpan w:val="2"/>
          </w:tcPr>
          <w:p>
            <w:pPr>
              <w:jc w:val="right"/>
              <w:ind w:right="2220"/>
              <w:spacing w:after="0"/>
              <w:rPr>
                <w:sz w:val="20"/>
                <w:szCs w:val="20"/>
                <w:color w:val="auto"/>
              </w:rPr>
            </w:pPr>
            <w:r>
              <w:rPr>
                <w:rFonts w:ascii="Arial" w:cs="Arial" w:eastAsia="Arial" w:hAnsi="Arial"/>
                <w:sz w:val="18"/>
                <w:szCs w:val="18"/>
                <w:color w:val="auto"/>
              </w:rPr>
              <w:t>F-26</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100" w:type="dxa"/>
            <w:vAlign w:val="bottom"/>
            <w:shd w:val="clear" w:color="auto" w:fill="000000"/>
          </w:tcPr>
          <w:p>
            <w:pPr>
              <w:spacing w:after="0"/>
              <w:rPr>
                <w:sz w:val="5"/>
                <w:szCs w:val="5"/>
                <w:color w:val="auto"/>
              </w:rPr>
            </w:pPr>
          </w:p>
        </w:tc>
        <w:tc>
          <w:tcPr>
            <w:tcW w:w="28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06933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6933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152400</wp:posOffset>
            </wp:positionV>
            <wp:extent cx="60693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845820</wp:posOffset>
            </wp:positionV>
            <wp:extent cx="3437255" cy="5060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160020</wp:posOffset>
            </wp:positionV>
            <wp:extent cx="11487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147955</wp:posOffset>
            </wp:positionV>
            <wp:extent cx="11487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71" w:lineRule="exact"/>
        <w:rPr>
          <w:sz w:val="20"/>
          <w:szCs w:val="20"/>
          <w:color w:val="auto"/>
        </w:rPr>
      </w:pPr>
    </w:p>
    <w:p>
      <w:pPr>
        <w:ind w:left="280"/>
        <w:spacing w:after="0"/>
        <w:tabs>
          <w:tab w:leader="none" w:pos="4440" w:val="left"/>
        </w:tabs>
        <w:rPr>
          <w:sz w:val="20"/>
          <w:szCs w:val="20"/>
          <w:color w:val="auto"/>
        </w:rPr>
      </w:pPr>
      <w:r>
        <w:rPr>
          <w:rFonts w:ascii="Arial" w:cs="Arial" w:eastAsia="Arial" w:hAnsi="Arial"/>
          <w:sz w:val="25"/>
          <w:szCs w:val="25"/>
          <w:b w:val="1"/>
          <w:bCs w:val="1"/>
          <w:color w:val="auto"/>
        </w:rPr>
        <w:t>Keefe, Bruyette &amp; Woods</w:t>
      </w:r>
      <w:r>
        <w:rPr>
          <w:sz w:val="20"/>
          <w:szCs w:val="20"/>
          <w:color w:val="auto"/>
        </w:rPr>
        <w:tab/>
      </w:r>
      <w:r>
        <w:rPr>
          <w:rFonts w:ascii="Arial" w:cs="Arial" w:eastAsia="Arial" w:hAnsi="Arial"/>
          <w:sz w:val="23"/>
          <w:szCs w:val="23"/>
          <w:b w:val="1"/>
          <w:bCs w:val="1"/>
          <w:color w:val="auto"/>
        </w:rPr>
        <w:t>Sandler O’Neill + Partners, L.P.</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25"/>
          <w:szCs w:val="25"/>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 2019</w:t>
      </w:r>
    </w:p>
    <w:p>
      <w:pPr>
        <w:spacing w:after="0" w:line="11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6"/>
          <w:szCs w:val="16"/>
          <w:color w:val="auto"/>
        </w:rPr>
        <w:t>, 2019 (25 days after the date of this prospectus), all dealers that effect transactions in our common</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60693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wp:posOffset>
            </wp:positionV>
            <wp:extent cx="606933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6933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606933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type w:val="continuous"/>
        </w:sectPr>
      </w:pPr>
    </w:p>
    <w:bookmarkStart w:id="172" w:name="page173"/>
    <w:bookmarkEnd w:id="1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jc w:val="both"/>
        <w:ind w:right="200" w:firstLine="360"/>
        <w:spacing w:after="0" w:line="286"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in connection with the sale of shares of our common stock being registered, all of which will be paid by us. All amounts shown are estimates, except for the SEC registration fee, the FINRA filing fee and the NASDAQ Global Select Market listing fee.</w:t>
      </w:r>
    </w:p>
    <w:p>
      <w:pPr>
        <w:spacing w:after="0" w:line="2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6350</wp:posOffset>
            </wp:positionV>
            <wp:extent cx="6686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Printing fees and 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606933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6933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9086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13" w:lineRule="exact"/>
        <w:rPr>
          <w:sz w:val="20"/>
          <w:szCs w:val="20"/>
          <w:color w:val="auto"/>
        </w:rPr>
      </w:pPr>
    </w:p>
    <w:p>
      <w:pPr>
        <w:ind w:left="360" w:hanging="355"/>
        <w:spacing w:after="0"/>
        <w:tabs>
          <w:tab w:leader="none" w:pos="3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Fees payable cannot be estimated at this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jc w:val="both"/>
        <w:ind w:right="20" w:firstLine="360"/>
        <w:spacing w:after="0" w:line="287" w:lineRule="auto"/>
        <w:rPr>
          <w:sz w:val="20"/>
          <w:szCs w:val="20"/>
          <w:color w:val="auto"/>
        </w:rPr>
      </w:pPr>
      <w:r>
        <w:rPr>
          <w:rFonts w:ascii="Arial" w:cs="Arial" w:eastAsia="Arial" w:hAnsi="Arial"/>
          <w:sz w:val="16"/>
          <w:szCs w:val="16"/>
          <w:color w:val="auto"/>
        </w:rPr>
        <w:t>The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w:t>
      </w:r>
    </w:p>
    <w:p>
      <w:pPr>
        <w:spacing w:after="0" w:line="2" w:lineRule="exact"/>
        <w:rPr>
          <w:sz w:val="20"/>
          <w:szCs w:val="20"/>
          <w:color w:val="auto"/>
        </w:rPr>
      </w:pPr>
    </w:p>
    <w:p>
      <w:pPr>
        <w:ind w:right="40" w:firstLine="5"/>
        <w:spacing w:after="0" w:line="253"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breaching a duty of loyalty owed to the corporation; (2) failing to act in good faith that constitutes a breach of a duty owed by the person to the corporation; or (3) engaging in willful or intentional misconduct in the performance of a director’s duty to the corporation. The registrant’s amended and restated certificate of formation provides that a director of the registrant will not be liable to the registrant or its shareholders to the fullest extent permitted by Texas law.</w:t>
      </w:r>
    </w:p>
    <w:p>
      <w:pPr>
        <w:spacing w:after="0" w:line="85"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w:t>
      </w:r>
    </w:p>
    <w:p>
      <w:pPr>
        <w:spacing w:after="0" w:line="2" w:lineRule="exact"/>
        <w:rPr>
          <w:sz w:val="20"/>
          <w:szCs w:val="20"/>
          <w:color w:val="auto"/>
        </w:rPr>
      </w:pPr>
    </w:p>
    <w:p>
      <w:pPr>
        <w:ind w:firstLine="5"/>
        <w:spacing w:after="0" w:line="270" w:lineRule="auto"/>
        <w:tabs>
          <w:tab w:leader="none" w:pos="2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by special legal counsel selected by the board of directors or a committee of the board of directors as set forth in (1) 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w:t>
      </w:r>
    </w:p>
    <w:p>
      <w:pPr>
        <w:spacing w:after="0" w:line="7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5" w:lineRule="auto"/>
        <w:rPr>
          <w:sz w:val="20"/>
          <w:szCs w:val="20"/>
          <w:color w:val="auto"/>
        </w:rPr>
      </w:pPr>
      <w:r>
        <w:rPr>
          <w:rFonts w:ascii="Arial" w:cs="Arial" w:eastAsia="Arial" w:hAnsi="Arial"/>
          <w:sz w:val="17"/>
          <w:szCs w:val="17"/>
          <w:color w:val="auto"/>
        </w:rPr>
        <w:t>Section 8.105 of the TBOC provides that a corporation may indemnify and advance expenses to a person who is not a director, including an officer, employee, or agent of the corporation as provided by: (1) the corporation’s governing documents; (2) an action by the corporation’s governing authority; (3) resolution by the shareholders; (4) contract; or (5) common law. As consistent with Section 8.105 of the TBOC, a corporation may indemnify and advance expenses to persons who are not directors to the same extent that a corporation may indemnify and advance expenses to directors.</w:t>
      </w:r>
    </w:p>
    <w:p>
      <w:pPr>
        <w:spacing w:after="0" w:line="68"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The registrant’s amended and restated certificate of formation provides that, to the fullest extent and under the circumstances permitted by Chapter 8 of the TBOC, (1) the registrant must indemnify and advance expenses to directors and officers, and (2) the registrant may purchase and maintain insurance on behalf of our directors and officers.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registrant also maintains directors’ and officers’ liability insurance.</w:t>
      </w:r>
    </w:p>
    <w:p>
      <w:pPr>
        <w:spacing w:after="0" w:line="117"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The form of Underwriting Agreement to be filed as Exhibit 1.1 hereto obligates the underwriters to indemnify our directors, officers and controlling persons under limited circumstances against certain liabilities under the Securities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 </w:t>
      </w:r>
      <w:r>
        <w:rPr>
          <w:rFonts w:ascii="Arial" w:cs="Arial" w:eastAsia="Arial" w:hAnsi="Arial"/>
          <w:sz w:val="18"/>
          <w:szCs w:val="18"/>
          <w:b w:val="1"/>
          <w:bCs w:val="1"/>
          <w:i w:val="1"/>
          <w:iCs w:val="1"/>
          <w:color w:val="auto"/>
        </w:rPr>
        <w:t>Recent Sales of Unregistered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Within the past three years, we have engaged in the following transactions that were not registered under the Securities Act.</w:t>
      </w:r>
    </w:p>
    <w:p>
      <w:pPr>
        <w:spacing w:after="0" w:line="140" w:lineRule="exact"/>
        <w:rPr>
          <w:sz w:val="20"/>
          <w:szCs w:val="20"/>
          <w:color w:val="auto"/>
        </w:rPr>
      </w:pPr>
    </w:p>
    <w:p>
      <w:pPr>
        <w:ind w:left="700" w:right="80" w:hanging="344"/>
        <w:spacing w:after="0" w:line="291" w:lineRule="auto"/>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December 2018, we completed a private offering of $12,372,000 in aggregate principal amount of ten-year subordinated debt securities due in 2028 and $14,100,000 in aggregate principal amount of twelve-year subordinated debt securities due in 2030 to certain “accredited investors,” as defined in SEC Rule 501(a) of Regulation D. These subordinated debt securities were issued to holders of subordinated debt securities due in 2024 in exchange for their 2024 debt securities and to new investors in exchange for cash consideration. No commission was paid in respect of the offer and sale of these securities. The offer and sale of these securities were made in reliance upon exemptions from federal securities registration under Section 4(a)(2) of the Securities Act and SEC Rule 506(b).</w:t>
      </w:r>
    </w:p>
    <w:p>
      <w:pPr>
        <w:spacing w:after="0" w:line="58" w:lineRule="exact"/>
        <w:rPr>
          <w:rFonts w:ascii="Arial" w:cs="Arial" w:eastAsia="Arial" w:hAnsi="Arial"/>
          <w:sz w:val="16"/>
          <w:szCs w:val="16"/>
          <w:color w:val="auto"/>
        </w:rPr>
      </w:pPr>
    </w:p>
    <w:p>
      <w:pPr>
        <w:jc w:val="both"/>
        <w:ind w:left="700" w:right="80" w:hanging="344"/>
        <w:spacing w:after="0" w:line="291" w:lineRule="auto"/>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periodically issue grants of certain equity based awards to our directors, executive officers and other employees under our Stock Appreciation Rights Plan, or SARs Plans. Between January 1, 2018 and the filing of this registration statement,</w:t>
      </w: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5"/>
              </w:rPr>
              <w:t>the total liability of the Company for the SARs Plans was $</w:t>
            </w: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million.</w:t>
            </w:r>
          </w:p>
        </w:tc>
      </w:tr>
      <w:tr>
        <w:trPr>
          <w:trHeight w:val="418"/>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16 – </w:t>
            </w:r>
            <w:r>
              <w:rPr>
                <w:rFonts w:ascii="Arial" w:cs="Arial" w:eastAsia="Arial" w:hAnsi="Arial"/>
                <w:sz w:val="18"/>
                <w:szCs w:val="18"/>
                <w:b w:val="1"/>
                <w:bCs w:val="1"/>
                <w:i w:val="1"/>
                <w:iCs w:val="1"/>
                <w:color w:val="auto"/>
              </w:rPr>
              <w:t>Exhibits and Financial Statement Schedules.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14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8600" w:type="dxa"/>
            <w:vAlign w:val="bottom"/>
            <w:tcBorders>
              <w:bottom w:val="single" w:sz="8" w:color="auto"/>
            </w:tcBorders>
            <w:gridSpan w:val="2"/>
          </w:tcPr>
          <w:p>
            <w:pPr>
              <w:ind w:left="3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r>
      <w:tr>
        <w:trPr>
          <w:trHeight w:val="237"/>
        </w:trPr>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w:t>
            </w: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Form of Underwriting Agreement*</w:t>
            </w:r>
          </w:p>
        </w:tc>
        <w:tc>
          <w:tcPr>
            <w:tcW w:w="4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80" w:type="dxa"/>
            <w:vAlign w:val="bottom"/>
          </w:tcPr>
          <w:p>
            <w:pPr>
              <w:jc w:val="right"/>
              <w:ind w:right="114"/>
              <w:spacing w:after="0"/>
              <w:rPr>
                <w:sz w:val="20"/>
                <w:szCs w:val="20"/>
                <w:color w:val="auto"/>
              </w:rPr>
            </w:pPr>
            <w:r>
              <w:rPr>
                <w:rFonts w:ascii="Arial" w:cs="Arial" w:eastAsia="Arial" w:hAnsi="Arial"/>
                <w:sz w:val="18"/>
                <w:szCs w:val="18"/>
                <w:color w:val="auto"/>
              </w:rPr>
              <w:t>3.1</w:t>
            </w:r>
          </w:p>
        </w:tc>
        <w:tc>
          <w:tcPr>
            <w:tcW w:w="8880" w:type="dxa"/>
            <w:vAlign w:val="bottom"/>
            <w:gridSpan w:val="4"/>
          </w:tcPr>
          <w:p>
            <w:pPr>
              <w:ind w:left="140"/>
              <w:spacing w:after="0"/>
              <w:rPr>
                <w:sz w:val="20"/>
                <w:szCs w:val="20"/>
                <w:color w:val="auto"/>
              </w:rPr>
            </w:pPr>
            <w:r>
              <w:rPr>
                <w:rFonts w:ascii="Arial" w:cs="Arial" w:eastAsia="Arial" w:hAnsi="Arial"/>
                <w:sz w:val="18"/>
                <w:szCs w:val="18"/>
                <w:color w:val="auto"/>
              </w:rPr>
              <w:t>Amended and Restated Certificate of Formation of South Plains Financial, Inc.*</w:t>
            </w:r>
          </w:p>
        </w:tc>
      </w:tr>
      <w:tr>
        <w:trPr>
          <w:trHeight w:val="249"/>
        </w:trPr>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w:t>
            </w:r>
          </w:p>
        </w:tc>
        <w:tc>
          <w:tcPr>
            <w:tcW w:w="88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Amended and Restated Bylaws of South Plains Financial, Inc.*</w:t>
            </w:r>
          </w:p>
        </w:tc>
      </w:tr>
      <w:tr>
        <w:trPr>
          <w:trHeight w:val="237"/>
        </w:trPr>
        <w:tc>
          <w:tcPr>
            <w:tcW w:w="68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8880" w:type="dxa"/>
            <w:vAlign w:val="bottom"/>
            <w:gridSpan w:val="4"/>
          </w:tcPr>
          <w:p>
            <w:pPr>
              <w:ind w:left="140"/>
              <w:spacing w:after="0"/>
              <w:rPr>
                <w:sz w:val="20"/>
                <w:szCs w:val="20"/>
                <w:color w:val="auto"/>
              </w:rPr>
            </w:pPr>
            <w:r>
              <w:rPr>
                <w:rFonts w:ascii="Arial" w:cs="Arial" w:eastAsia="Arial" w:hAnsi="Arial"/>
                <w:sz w:val="18"/>
                <w:szCs w:val="18"/>
                <w:color w:val="auto"/>
              </w:rPr>
              <w:t>Specimen common stock certificate of South Plains Financial, Inc.*</w:t>
            </w:r>
          </w:p>
        </w:tc>
      </w:tr>
      <w:tr>
        <w:trPr>
          <w:trHeight w:val="249"/>
        </w:trPr>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w:t>
            </w: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Opinion of Hunton Andrews Kurth LLP*</w:t>
            </w:r>
          </w:p>
        </w:tc>
        <w:tc>
          <w:tcPr>
            <w:tcW w:w="4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ind w:left="18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South Plains Financial, Inc. 2019 Equity Incentive Plan*</w:t>
      </w:r>
    </w:p>
    <w:p>
      <w:pPr>
        <w:spacing w:after="0" w:line="35"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Stock Option Award Agreement under the South Plains Financial, Inc.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Deferred Compensation Plan Adoption Agreement of Cory T. Newsom*</w:t>
      </w:r>
    </w:p>
    <w:p>
      <w:pPr>
        <w:spacing w:after="0" w:line="3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Board Representation Agreement between South Plains Financial, Inc. and James C.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South Plains Financial, Inc.*</w:t>
      </w:r>
    </w:p>
    <w:p>
      <w:pPr>
        <w:spacing w:after="0" w:line="3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Weaver and Tidwell,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Consent of Hunton Andrews Kurth LLP*</w:t>
      </w:r>
    </w:p>
    <w:p>
      <w:pPr>
        <w:spacing w:after="0" w:line="3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6933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9086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22" w:lineRule="exact"/>
        <w:rPr>
          <w:sz w:val="20"/>
          <w:szCs w:val="20"/>
          <w:color w:val="auto"/>
        </w:rPr>
      </w:pPr>
    </w:p>
    <w:p>
      <w:pPr>
        <w:ind w:left="360" w:hanging="355"/>
        <w:spacing w:after="0"/>
        <w:tabs>
          <w:tab w:leader="none" w:pos="3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09" w:lineRule="exact"/>
        <w:rPr>
          <w:sz w:val="20"/>
          <w:szCs w:val="20"/>
          <w:color w:val="auto"/>
        </w:rPr>
      </w:pPr>
    </w:p>
    <w:p>
      <w:pPr>
        <w:ind w:left="360" w:hanging="355"/>
        <w:spacing w:after="0"/>
        <w:tabs>
          <w:tab w:leader="none" w:pos="3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schedules have been omitted as not applicable or not required under the rules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registrant hereby further undertakes that:</w:t>
      </w:r>
    </w:p>
    <w:p>
      <w:pPr>
        <w:spacing w:after="0" w:line="117" w:lineRule="exact"/>
        <w:rPr>
          <w:sz w:val="20"/>
          <w:szCs w:val="20"/>
          <w:color w:val="auto"/>
        </w:rPr>
      </w:pPr>
    </w:p>
    <w:p>
      <w:pPr>
        <w:ind w:left="700" w:right="160" w:hanging="344"/>
        <w:spacing w:after="0" w:line="259"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8" w:lineRule="exact"/>
        <w:rPr>
          <w:rFonts w:ascii="Arial" w:cs="Arial" w:eastAsia="Arial" w:hAnsi="Arial"/>
          <w:sz w:val="18"/>
          <w:szCs w:val="18"/>
          <w:color w:val="auto"/>
        </w:rPr>
      </w:pPr>
    </w:p>
    <w:p>
      <w:pPr>
        <w:jc w:val="both"/>
        <w:ind w:left="700" w:right="100" w:hanging="344"/>
        <w:spacing w:after="0" w:line="286" w:lineRule="auto"/>
        <w:tabs>
          <w:tab w:leader="none" w:pos="7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w w:val="93"/>
              </w:rPr>
              <w:t>signed on its behalf by the undersigned, thereunto duly authorized, in the City of Lubbock, State of Texas, on</w:t>
            </w:r>
          </w:p>
        </w:tc>
        <w:tc>
          <w:tcPr>
            <w:tcW w:w="72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SOUTH PLAINS FINANCIAL, INC.</w:t>
      </w: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6350</wp:posOffset>
            </wp:positionV>
            <wp:extent cx="2837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Curtis C. Griffith,</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and Chief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Curtis C. Griffith and Cory T. Newsom and each of them, his or her true and lawful attorneys-in-fact and agents with full power of substitution and resubstitution, for him or her and in his or her name, place and stead, in any and all capacities, to sign any and all amendments (including post-effective amendments and registration statement filed pursuant to Rule 462(b) under the Securities Act)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 This power of attorney may be executed in counterparts.</w:t>
      </w:r>
    </w:p>
    <w:p>
      <w:pPr>
        <w:spacing w:after="0" w:line="5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7" w:lineRule="exact"/>
        <w:rPr>
          <w:sz w:val="20"/>
          <w:szCs w:val="20"/>
          <w:color w:val="auto"/>
        </w:rPr>
      </w:pPr>
    </w:p>
    <w:p>
      <w:pPr>
        <w:ind w:left="1120"/>
        <w:spacing w:after="0"/>
        <w:tabs>
          <w:tab w:leader="none" w:pos="5200" w:val="left"/>
          <w:tab w:leader="none" w:pos="8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60604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1834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1834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Cynthia B.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Kyle R. Wargo</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Director (Chairman); Chief Executive Officer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920" w:type="dxa"/>
            <w:vAlign w:val="bottom"/>
          </w:tcPr>
          <w:p>
            <w:pPr>
              <w:spacing w:after="0"/>
              <w:rPr>
                <w:sz w:val="20"/>
                <w:szCs w:val="20"/>
                <w:color w:val="auto"/>
              </w:rPr>
            </w:pPr>
          </w:p>
        </w:tc>
      </w:tr>
      <w:tr>
        <w:trPr>
          <w:trHeight w:val="527"/>
        </w:trPr>
        <w:tc>
          <w:tcPr>
            <w:tcW w:w="4900" w:type="dxa"/>
            <w:vAlign w:val="bottom"/>
          </w:tcPr>
          <w:p>
            <w:pPr>
              <w:spacing w:after="0"/>
              <w:rPr>
                <w:sz w:val="20"/>
                <w:szCs w:val="20"/>
                <w:color w:val="auto"/>
              </w:rPr>
            </w:pPr>
            <w:r>
              <w:rPr>
                <w:rFonts w:ascii="Arial" w:cs="Arial" w:eastAsia="Arial" w:hAnsi="Arial"/>
                <w:sz w:val="18"/>
                <w:szCs w:val="18"/>
                <w:color w:val="auto"/>
              </w:rPr>
              <w:t>Director and President</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28"/>
        </w:trPr>
        <w:tc>
          <w:tcPr>
            <w:tcW w:w="4900" w:type="dxa"/>
            <w:vAlign w:val="bottom"/>
          </w:tcPr>
          <w:p>
            <w:pPr>
              <w:spacing w:after="0"/>
              <w:rPr>
                <w:sz w:val="20"/>
                <w:szCs w:val="20"/>
                <w:color w:val="auto"/>
              </w:rPr>
            </w:pPr>
            <w:r>
              <w:rPr>
                <w:rFonts w:ascii="Arial" w:cs="Arial" w:eastAsia="Arial" w:hAnsi="Arial"/>
                <w:sz w:val="18"/>
                <w:szCs w:val="18"/>
                <w:color w:val="auto"/>
              </w:rPr>
              <w:t>Chief Financial Officer and Treasurer (principal financial and</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accounting officer)</w:t>
            </w:r>
          </w:p>
        </w:tc>
        <w:tc>
          <w:tcPr>
            <w:tcW w:w="920" w:type="dxa"/>
            <w:vAlign w:val="bottom"/>
          </w:tcPr>
          <w:p>
            <w:pPr>
              <w:spacing w:after="0"/>
              <w:rPr>
                <w:sz w:val="20"/>
                <w:szCs w:val="20"/>
                <w:color w:val="auto"/>
              </w:rPr>
            </w:pPr>
          </w:p>
        </w:tc>
      </w:tr>
      <w:tr>
        <w:trPr>
          <w:trHeight w:val="526"/>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43"/>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43"/>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43"/>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02"/>
        </w:trPr>
        <w:tc>
          <w:tcPr>
            <w:tcW w:w="4900" w:type="dxa"/>
            <w:vAlign w:val="bottom"/>
          </w:tcPr>
          <w:p>
            <w:pPr>
              <w:ind w:left="1500"/>
              <w:spacing w:after="0"/>
              <w:rPr>
                <w:sz w:val="20"/>
                <w:szCs w:val="20"/>
                <w:color w:val="auto"/>
              </w:rPr>
            </w:pPr>
            <w:r>
              <w:rPr>
                <w:rFonts w:ascii="Arial" w:cs="Arial" w:eastAsia="Arial" w:hAnsi="Arial"/>
                <w:sz w:val="18"/>
                <w:szCs w:val="18"/>
                <w:color w:val="auto"/>
              </w:rPr>
              <w:t>II-4</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282575</wp:posOffset>
            </wp:positionV>
            <wp:extent cx="6069330" cy="43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sectPr>
      <w:pgSz w:w="11900" w:h="16838" w:orient="portrait"/>
      <w:cols w:equalWidth="0" w:num="2">
        <w:col w:w="2420" w:space="720"/>
        <w:col w:w="6420"/>
      </w:cols>
      <w:pgMar w:left="1160" w:top="279" w:right="1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2"/>
    </w:lvl>
  </w:abstractNum>
  <w:abstractNum w:abstractNumId="1">
    <w:nsid w:val="79A1DEAA"/>
    <w:multiLevelType w:val="hybridMultilevel"/>
    <w:lvl w:ilvl="0">
      <w:lvlJc w:val="left"/>
      <w:lvlText w:val="(%1)"/>
      <w:numFmt w:val="decimal"/>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lvl w:ilvl="1">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decimal"/>
      <w:start w:val="806"/>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decimal"/>
      <w:start w:val="2"/>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lvl w:ilvl="1">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1)"/>
      <w:numFmt w:val="decimal"/>
      <w:start w:val="2"/>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3"/>
    </w:lvl>
    <w:lvl w:ilvl="1">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3"/>
    </w:lvl>
  </w:abstractNum>
  <w:abstractNum w:abstractNumId="66">
    <w:nsid w:val="100F59DC"/>
    <w:multiLevelType w:val="hybridMultilevel"/>
    <w:lvl w:ilvl="0">
      <w:lvlJc w:val="left"/>
      <w:lvlText w:val="(%1)"/>
      <w:numFmt w:val="decimal"/>
      <w:start w:val="4"/>
    </w:lvl>
  </w:abstractNum>
  <w:abstractNum w:abstractNumId="67">
    <w:nsid w:val="7FB7E0AA"/>
    <w:multiLevelType w:val="hybridMultilevel"/>
    <w:lvl w:ilvl="0">
      <w:lvlJc w:val="left"/>
      <w:lvlText w:val="(%1)"/>
      <w:numFmt w:val="lowerRoman"/>
      <w:start w:val="2"/>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1."/>
      <w:numFmt w:val="upperLetter"/>
      <w:start w:val="53"/>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decimal"/>
      <w:start w:val="2"/>
    </w:lvl>
  </w:abstractNum>
  <w:abstractNum w:abstractNumId="82">
    <w:nsid w:val="39EE015C"/>
    <w:multiLevelType w:val="hybridMultilevel"/>
    <w:lvl w:ilvl="0">
      <w:lvlJc w:val="left"/>
      <w:lvlText w:val="%1."/>
      <w:numFmt w:val="decimal"/>
      <w:start w:val="2"/>
    </w:lvl>
  </w:abstractNum>
  <w:abstractNum w:abstractNumId="83">
    <w:nsid w:val="57FC4FBB"/>
    <w:multiLevelType w:val="hybridMultilevel"/>
    <w:lvl w:ilvl="0">
      <w:lvlJc w:val="left"/>
      <w:lvlText w:val="%1."/>
      <w:numFmt w:val="decimal"/>
      <w:start w:val="3"/>
    </w:lvl>
  </w:abstractNum>
  <w:abstractNum w:abstractNumId="84">
    <w:nsid w:val="CC1016F"/>
    <w:multiLevelType w:val="hybridMultilevel"/>
    <w:lvl w:ilvl="0">
      <w:lvlJc w:val="left"/>
      <w:lvlText w:val="%1."/>
      <w:numFmt w:val="decimal"/>
      <w:start w:val="3"/>
    </w:lvl>
  </w:abstractNum>
  <w:abstractNum w:abstractNumId="85">
    <w:nsid w:val="43F18422"/>
    <w:multiLevelType w:val="hybridMultilevel"/>
    <w:lvl w:ilvl="0">
      <w:lvlJc w:val="left"/>
      <w:lvlText w:val="%1."/>
      <w:numFmt w:val="decimal"/>
      <w:start w:val="3"/>
    </w:lvl>
  </w:abstractNum>
  <w:abstractNum w:abstractNumId="86">
    <w:nsid w:val="60EF0119"/>
    <w:multiLevelType w:val="hybridMultilevel"/>
    <w:lvl w:ilvl="0">
      <w:lvlJc w:val="left"/>
      <w:lvlText w:val="%1."/>
      <w:numFmt w:val="decimal"/>
      <w:start w:val="7"/>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decimal"/>
      <w:start w:val="7"/>
    </w:lvl>
  </w:abstractNum>
  <w:abstractNum w:abstractNumId="89">
    <w:nsid w:val="49DA307D"/>
    <w:multiLevelType w:val="hybridMultilevel"/>
    <w:lvl w:ilvl="0">
      <w:lvlJc w:val="left"/>
      <w:lvlText w:val="%1."/>
      <w:numFmt w:val="decimal"/>
      <w:start w:val="8"/>
    </w:lvl>
  </w:abstractNum>
  <w:abstractNum w:abstractNumId="90">
    <w:nsid w:val="7055A5F5"/>
    <w:multiLevelType w:val="hybridMultilevel"/>
    <w:lvl w:ilvl="0">
      <w:lvlJc w:val="left"/>
      <w:lvlText w:val="%1."/>
      <w:numFmt w:val="decimal"/>
      <w:start w:val="8"/>
    </w:lvl>
  </w:abstractNum>
  <w:abstractNum w:abstractNumId="91">
    <w:nsid w:val="5FB8370B"/>
    <w:multiLevelType w:val="hybridMultilevel"/>
    <w:lvl w:ilvl="0">
      <w:lvlJc w:val="left"/>
      <w:lvlText w:val="%1."/>
      <w:numFmt w:val="decimal"/>
      <w:start w:val="9"/>
    </w:lvl>
  </w:abstractNum>
  <w:abstractNum w:abstractNumId="92">
    <w:nsid w:val="50801EE1"/>
    <w:multiLevelType w:val="hybridMultilevel"/>
    <w:lvl w:ilvl="0">
      <w:lvlJc w:val="left"/>
      <w:lvlText w:val="%1."/>
      <w:numFmt w:val="decimal"/>
      <w:start w:val="12"/>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decimal"/>
      <w:start w:val="3"/>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2020-03-14T19:45:52Z</dcterms:created>
  <dcterms:modified xsi:type="dcterms:W3CDTF">2020-03-14T19:45:52Z</dcterms:modified>
</cp:coreProperties>
</file>