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178435</wp:posOffset>
            </wp:positionV>
            <wp:extent cx="1311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June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June 24, 2019, South Plains Financial, Inc. (the “Company”) issued a press release announcing its financial results for the first quarter ended March 31, 2019. A copy of the Company’s press release covering such announcement and certain other matters is furnished as Exhibit 99.1 to this Current Report on Form 8-K.</w:t>
      </w:r>
    </w:p>
    <w:p>
      <w:pPr>
        <w:spacing w:after="0" w:line="2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 The information in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June 24, 2019, announcing first quarter 2019 earnings of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43027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48895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For Immediate Release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 Plains Financial, Inc. Reports First Quarter 2019 Financial Results</w:t>
      </w:r>
    </w:p>
    <w:p>
      <w:pPr>
        <w:spacing w:after="0" w:line="239"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LUBBOCK, Texas, June 24, 2019 (GLOBE NEWSWIRE) – South Plains Financial, Inc. (NASDAQ:SPFI) (“South Plains” or the “Company”), the parent company of City Bank, today reported its results as of and for the quarter ended March 31, 2019.</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First Quarter 2019 Financial Highlights</w:t>
      </w:r>
    </w:p>
    <w:p>
      <w:pPr>
        <w:spacing w:after="0" w:line="1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first quarter of 2019 increased to $4.8 million, compared to $4.6 million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the first quarter of 2018.</w:t>
      </w:r>
    </w:p>
    <w:p>
      <w:pPr>
        <w:ind w:left="660" w:hanging="328"/>
        <w:spacing w:after="0" w:line="18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were $0.32 for the first quarter of 2019, compared to $0.31</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for the first quarter of 2018.</w:t>
      </w:r>
    </w:p>
    <w:p>
      <w:pPr>
        <w:ind w:left="660" w:hanging="328"/>
        <w:spacing w:after="0" w:line="18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interest margin</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was 3.93%, compared to 3.87% in the first quarter of 2018.</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Deposit growth of $27.5 million, or 1.2%, for the three months ended March 31, 2019.</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average assets was 0.71% annualized.</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Book value per share</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of $14.80 for the first quarter of 2019, compared to $14.59 per share for the quarter ended March 31, 2018.</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stockholders’ equity to total assets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was 7.96%.</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Curtis Griffith, South Plains’ Chairman and Chief Executive Officer, stated, “The first quarter was a good start to the year for South Plains as we delivered improved earnings, year-over-year, in what is typically our lowest earnings quarter of the year given seasonality in our agricultural lending segment. Additionally, we maintained a relentless focus on expense reduction in the first quarter of 2019 as we work to drive efficiencies through the Bank and improve our profitability while delivering the outstanding customer service that our customers are accustomed to and which differentiates South Plains in our local markets. Looking forward, we continue to see opportunities to further reduce our cost structure over the balance of the year as we work to achieve an efficiency ratio more in-line with our peers. Credit quality also remained strong in all of our markets and while competition lowered our overall growth in loans, demand increased through the end of the quarter and has remained on an improving trend through the second quarter of 2019.”</w:t>
      </w:r>
    </w:p>
    <w:p>
      <w:pPr>
        <w:spacing w:after="0" w:line="21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“We are also extremely pleased with our recent successful initial public offering when our Company’s common stock began trading on the NASDAQ Global Select Market under the ticker symbol “SPFI” on May 9</w:t>
      </w:r>
      <w:r>
        <w:rPr>
          <w:rFonts w:ascii="Arial" w:cs="Arial" w:eastAsia="Arial" w:hAnsi="Arial"/>
          <w:sz w:val="36"/>
          <w:szCs w:val="36"/>
          <w:color w:val="auto"/>
          <w:vertAlign w:val="superscript"/>
        </w:rPr>
        <w:t>th</w:t>
      </w:r>
      <w:r>
        <w:rPr>
          <w:rFonts w:ascii="Arial" w:cs="Arial" w:eastAsia="Arial" w:hAnsi="Arial"/>
          <w:sz w:val="22"/>
          <w:szCs w:val="22"/>
          <w:color w:val="auto"/>
        </w:rPr>
        <w:t>,” continued Mr. Griffith. “We issued 3,207,000 shares, including the overallotment option, generating net proceeds of approximately $51.4 million. We were delighted with the strong support that we received from investors during the IPO process and with the quality of our new shareholders. Our public listing is an important milestone in our Company’s more than 75 year history and we believe it will position South Plains to seek attractive acquisition opportunities in our core markets of West Texas. We would like to thank our employees, customers and legacy shareholders for their trust and confidence, and we look forward to their continued support as we begin our next chapter as a public company.”</w:t>
      </w:r>
    </w:p>
    <w:p>
      <w:pPr>
        <w:spacing w:after="0" w:line="39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Results of Operations, Quarter Ended March 31, 2019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Interest Income</w:t>
      </w:r>
    </w:p>
    <w:p>
      <w:pPr>
        <w:spacing w:after="0" w:line="239"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Net interest income totaled $24.5 million for the first quarter of 2019, an increase of $1.8 million from $22.7 million for the first quarter of 2018.</w:t>
      </w:r>
    </w:p>
    <w:p>
      <w:pPr>
        <w:spacing w:after="0" w:line="200"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Interest income totaled $32.0 million for the first quarter of 2019, an increase of $4.7 million from $27.3 million in the same period in 2018. Interest and fees on loans increased by $4.0 million from the first quarter of 2018 due to organic growth of $129.4 million in average loans and an increase of 48 basis points in interest rates.</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Interest expense was $7.5 million for the first quarter of 2019 compared to $4.6 million in the prior year period. The increase from the first quarter of 2018 was due to an increase in the rate paid on interest-bearing liabilities of 54 basis points and growth in the deposit base. The average cost of deposits were 105 basis points for the first quarter of 2019, representing a 39 basis point increase from the first quarter of 2018.</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net interest margin for the first quarter of 2019 was 3.93%, an increase of 6 basis points from the first quarter of 2018. The increase from the prior year period was due primarily to the impact of higher interest-earning asset rates, offset by increases in the cost of interest-bearing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 and Noninterest Expense</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Noninterest income totaled $12.1 million for the first quarter of 2019, compared to $11.5 million for the first quarter of 2018. The increase in noninterest income was primarily the result of an increase of $349 thousand on the net gains on loans sold from an increase of $12.0 million in the origination of mortgage loans held for sale.</w:t>
      </w:r>
    </w:p>
    <w:p>
      <w:pPr>
        <w:spacing w:after="0" w:line="21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The primary components of noninterest income for the first quarter of 2019 were $4.9 million in revenue from mortgage banking activities and $2.0 million in bank card services and interchange fees.</w:t>
      </w:r>
    </w:p>
    <w:p>
      <w:pPr>
        <w:spacing w:after="0" w:line="200"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Noninterest expense totaled $30.0 million in the first quarter of 2019, an increase of $2.1 million from $27.9 million in the prior year period. This increase in noninterest expense was primarily driven by $1.4 million in 2019 operating expenses related to the online mortgage and staff acquisition, which closed on November 30, 2018.</w:t>
      </w:r>
    </w:p>
    <w:p>
      <w:pPr>
        <w:spacing w:after="0" w:line="21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During the quarter, the Company incurred $115,000 of after-tax legal expenses in connection with the initial public offering and related activities.</w:t>
      </w:r>
    </w:p>
    <w:p>
      <w:pPr>
        <w:spacing w:after="0" w:line="20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The primary components of noninterest expense for the first quarter of 2019 were $19.1 million in salaries and employee benefits, $3.4 million in net occupancy expense, and $1.7 million in professional services.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Portfolio and Composition</w:t>
      </w:r>
    </w:p>
    <w:p>
      <w:pPr>
        <w:spacing w:after="0" w:line="239"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Loans held for investment were $1.9 billion as of March 31, 2019, compared to $2.0 billion as of December 31, 2018 and $1.8 billion as of March 31, 2018. Loans held for investment as of March 31, 2019 decreased $42.0 million, or 2.1%, from December 31, 2018, as a result of a net reduction of $43.4 million in seasonal annual paydowns on agricultural productions loans. As of March 31, 2019, loans held for investment increased $91.0 million, or 5.0%, from March 31, 2018. The primary segments of our organic growth for this period were $50.1 million in 1-4 family residential loans and $41.8 million in auto loans.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580"/>
        <w:spacing w:after="0" w:line="251" w:lineRule="auto"/>
        <w:rPr>
          <w:sz w:val="20"/>
          <w:szCs w:val="20"/>
          <w:color w:val="auto"/>
        </w:rPr>
      </w:pPr>
      <w:r>
        <w:rPr>
          <w:rFonts w:ascii="Arial" w:cs="Arial" w:eastAsia="Arial" w:hAnsi="Arial"/>
          <w:sz w:val="22"/>
          <w:szCs w:val="22"/>
          <w:color w:val="auto"/>
        </w:rPr>
        <w:t>Agricultural production loans were $107.3 million at March 31, 2019, compared to $150.7 million at December 31, 2018 and $106.8 million at March 31, 2018.</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Deposits and Borrowings</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Deposits totaled $2.3 billion as of March 31, 2019, compared to $2.3 billion as of December 31, 2018 and $2.2 billion as of March 31, 2018. Deposits increased $27.5 million in the first quarter of 2019 and increased $145.6 million from March 31, 2018 as a result of the Company’s organic growth.</w:t>
      </w:r>
    </w:p>
    <w:p>
      <w:pPr>
        <w:spacing w:after="0" w:line="21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Noninterest-bearing deposits were $497.6 million as of March 31, 2019, compared to $510.1 million as of December 31, 2018 and $468.3 million as of March 31, 2018. Noninterest-bearing deposits represented 21.6%, 22.4%, and 21.7% of total deposits as of March 31, 2019, December 31, 2018, and March 31, 2018, respectively.</w:t>
      </w:r>
    </w:p>
    <w:p>
      <w:pPr>
        <w:spacing w:after="0" w:line="21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Subordinated debt securities declined to $26.5 million at March 31, 2019 from $34.0 million as of December 31, 2018. This decline was the result of the redemption in January 2019 of the $7.5 million remaining securities that were issued by the Company in 2014.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Quality</w:t>
      </w:r>
    </w:p>
    <w:p>
      <w:pPr>
        <w:spacing w:after="0" w:line="239"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The provision for loan losses recorded for the first quarter of 2019 was $608 thousand compared to $778 thousand for the first quarter of 2018. The allowance for loan losses to loans held for investment was 1.22% at March 31, 2019 compared to 1.18% at December 31, 2018 and 1.20% at March 31, 2018.</w:t>
      </w:r>
    </w:p>
    <w:p>
      <w:pPr>
        <w:spacing w:after="0" w:line="21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nonperforming assets to total assets ratio as of March 31, 2019 was 0.37%, compared to 0.34% as of December 31, 2018 and 0.55% at March 31,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Annualized net charge-offs were 0.07% for the first quarter of 2019, compared to 0.06% for the first quarter of 2018.</w:t>
      </w:r>
    </w:p>
    <w:p>
      <w:pPr>
        <w:spacing w:after="0" w:line="233" w:lineRule="exact"/>
        <w:rPr>
          <w:sz w:val="20"/>
          <w:szCs w:val="20"/>
          <w:color w:val="auto"/>
        </w:rPr>
      </w:pPr>
    </w:p>
    <w:p>
      <w:pPr>
        <w:ind w:right="40" w:firstLine="8"/>
        <w:spacing w:after="0" w:line="249"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Company’s S Corporation revocation was effective May 31, 2018. Net income, return on average assets, return on average shareholders’ equity and earnings per share for periods prior to the revocation are presented herein as if we had converted to a C Corporation as of January 1, 2018. The tax adjustment is calculated by adding back its franchise S Corporation tax to net income, and using tax rates for Federal income taxes of 21.0%. This calculation reflects only the revocation of the Company’s status as an S Corporation and does not give effect to any other transaction.</w:t>
      </w:r>
    </w:p>
    <w:p>
      <w:pPr>
        <w:spacing w:after="0" w:line="205" w:lineRule="exact"/>
        <w:rPr>
          <w:rFonts w:ascii="Arial" w:cs="Arial" w:eastAsia="Arial" w:hAnsi="Arial"/>
          <w:sz w:val="21"/>
          <w:szCs w:val="21"/>
          <w:color w:val="auto"/>
        </w:rPr>
      </w:pPr>
    </w:p>
    <w:p>
      <w:pPr>
        <w:ind w:right="200" w:firstLine="8"/>
        <w:spacing w:after="0" w:line="251"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Net interest margin is calculated as the annual net interest income, on a fully tax-equivalent basis, divided by average interest-earning assets.</w:t>
      </w:r>
    </w:p>
    <w:p>
      <w:pPr>
        <w:spacing w:after="0" w:line="200" w:lineRule="exact"/>
        <w:rPr>
          <w:rFonts w:ascii="Arial" w:cs="Arial" w:eastAsia="Arial" w:hAnsi="Arial"/>
          <w:sz w:val="22"/>
          <w:szCs w:val="22"/>
          <w:color w:val="auto"/>
        </w:rPr>
      </w:pPr>
    </w:p>
    <w:p>
      <w:pPr>
        <w:ind w:right="160" w:firstLine="8"/>
        <w:spacing w:after="0" w:line="251"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Amounts are presented giving effect to the ESOP Repurchase Right Termination. See Pro Forma Financial Information below for further details.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Pro Forma Financial Information</w:t>
      </w:r>
    </w:p>
    <w:p>
      <w:pPr>
        <w:spacing w:after="0" w:line="240" w:lineRule="exact"/>
        <w:rPr>
          <w:sz w:val="20"/>
          <w:szCs w:val="20"/>
          <w:color w:val="auto"/>
        </w:rPr>
      </w:pPr>
    </w:p>
    <w:p>
      <w:pPr>
        <w:jc w:val="both"/>
        <w:ind w:right="160"/>
        <w:spacing w:after="0" w:line="297" w:lineRule="auto"/>
        <w:rPr>
          <w:sz w:val="20"/>
          <w:szCs w:val="20"/>
          <w:color w:val="auto"/>
        </w:rPr>
      </w:pPr>
      <w:r>
        <w:rPr>
          <w:rFonts w:ascii="Arial" w:cs="Arial" w:eastAsia="Arial" w:hAnsi="Arial"/>
          <w:sz w:val="19"/>
          <w:szCs w:val="19"/>
          <w:color w:val="auto"/>
        </w:rPr>
        <w:t>As a result of the revocation of the Company’s S corporation election, the net income and earnings per share data presented herein may not be comparable for all periods presented herein. As a result, the Company is disclosing pro forma net income, income tax expense, and earnings per share as if the Company’s conversion to a C corporation had occurred as of January 1, 2018.</w:t>
      </w:r>
    </w:p>
    <w:p>
      <w:pPr>
        <w:spacing w:after="0" w:line="161"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Additionally, in accordance with applicable provisions of the Internal Revenue Code, the terms of the South Plains Financial, Inc. Employee Stock Ownership Plan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sheets as a line item called ‘‘ESOP owned shares’’ appearing between total liabilities and shareholders’ equity. As a result, the ESOP-owned shares are deducted from shareholders’ equity in our consolidated balance sheets. This repurchase right terminated upon the listing of our common stock on the NASDAQ, which we sometimes refer to as the ESOP Repurchase Right Termination, whereupon our repurchase liability will be extinguished and thereafter the ESOP-owned shares will not be deducted from shareholders’ equity. We have disclosed the pro forma balance sheet as of March 31, 2019 to reflect the ESOP Repurchase Right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and Tangible Common Equity to Tangible Assets.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 Not all companies use the same calculation of these measures; therefore, this presentation may not be comparable to other similarly titled measures as presented by other companies. Reconciliation of non-GAAP financial measures, to GAAP financial measures are provided at the end of this press release.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press release contains forward-looking statements. These forward-looking statements reflect South Plains’ current views with respect to, among other things, the completion of the initial public offering of its common stock.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920" w:type="dxa"/>
            <w:vAlign w:val="bottom"/>
          </w:tcPr>
          <w:p>
            <w:pPr>
              <w:spacing w:after="0"/>
              <w:rPr>
                <w:sz w:val="16"/>
                <w:szCs w:val="16"/>
                <w:color w:val="auto"/>
              </w:rPr>
            </w:pPr>
          </w:p>
        </w:tc>
        <w:tc>
          <w:tcPr>
            <w:tcW w:w="1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mnewsom@city.bank</w:t>
            </w:r>
          </w:p>
        </w:tc>
        <w:tc>
          <w:tcPr>
            <w:tcW w:w="2140" w:type="dxa"/>
            <w:vAlign w:val="bottom"/>
          </w:tcPr>
          <w:p>
            <w:pPr>
              <w:spacing w:after="0"/>
              <w:rPr>
                <w:sz w:val="16"/>
                <w:szCs w:val="16"/>
                <w:color w:val="auto"/>
              </w:rPr>
            </w:pPr>
          </w:p>
        </w:tc>
      </w:tr>
    </w:tbl>
    <w:p>
      <w:pPr>
        <w:spacing w:after="0" w:line="13" w:lineRule="exact"/>
        <w:rPr>
          <w:sz w:val="20"/>
          <w:szCs w:val="20"/>
          <w:color w:val="auto"/>
        </w:rPr>
      </w:pPr>
    </w:p>
    <w:p>
      <w:pPr>
        <w:ind w:left="1600" w:hanging="444"/>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792-7101</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Source: South Plains Financial, Inc.</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Highlights - (Unaudited)</w:t>
      </w:r>
    </w:p>
    <w:p>
      <w:pP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As of and for the quarter ended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78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March 31, 2019</w:t>
            </w: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December 31, 2018</w:t>
            </w: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September 30, 2018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5"/>
              </w:rPr>
              <w:t>June 30, 2018</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Selected Income Statement Data:</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32,004</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31,672</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30,731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28,408</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27,283</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7,458</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7,005</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5,943</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4,969</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4,565</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24,546</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24,667</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24,788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23,439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22,718</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1,168</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3,415</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778</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12,075</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14,390</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13,295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12,968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11,468</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Noninterest expense</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30,036</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30,498</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28,646</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28,422</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27,877</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1,204</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1,528</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(6,568)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4,773</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5,863</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4,913</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13,013</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5,501</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pro forma (2)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4,773</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5,863</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4,913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5,333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diluted (1) (2)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0.32</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0.40</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Cash dividends declared and paid, dilutive</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0.85</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 value, dilutive (1)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14.80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14.40</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2,745,997</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2,712,745</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2,687,610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2,616,647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2,585,134</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Total loans held for investment</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1,915,183</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1,957,197</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1,968,085</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1,913,884</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1,824,157</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23,381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23,126</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21,073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21,715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21,969</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339,051</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338,196</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398,475</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254,517</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258,328</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Noninterest-bearning deposits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497,566</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510,067</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517,000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495,293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468,290</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2,304,929</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2,277,454</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2,261,356</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2,183,631</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2,159,321</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218,565</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212,775</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216,169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213,096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215,453</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Summary Performance Ratios: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average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Return on average assets - pro forma</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0.71%</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0.86%</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average equity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Return on average equity - pro forma</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8.73%</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margin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Yield on loans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interest-bearing deposits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Efficiency ratio</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81.79%</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77.88%</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77.39%</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80.74%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Credit Quality Data: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7,937</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6,954</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7,225</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11,774</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11,460</w:t>
            </w: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Nonperforming loans to total loans held for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0.63%</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2,340</w:t>
            </w:r>
          </w:p>
        </w:tc>
        <w:tc>
          <w:tcPr>
            <w:tcW w:w="4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2,285</w:t>
            </w:r>
          </w:p>
        </w:tc>
        <w:tc>
          <w:tcPr>
            <w:tcW w:w="5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2,704</w:t>
            </w:r>
          </w:p>
        </w:tc>
        <w:tc>
          <w:tcPr>
            <w:tcW w:w="3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6,590</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2,683</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Nonperforming assets to total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w w:val="95"/>
              </w:rPr>
              <w:t>Allowance for loan losses to total loans held for</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780" w:type="dxa"/>
            <w:vAlign w:val="bottom"/>
          </w:tcPr>
          <w:p>
            <w:pPr>
              <w:ind w:left="300"/>
              <w:spacing w:after="0"/>
              <w:rPr>
                <w:sz w:val="20"/>
                <w:szCs w:val="20"/>
                <w:color w:val="auto"/>
              </w:rPr>
            </w:pPr>
            <w:r>
              <w:rPr>
                <w:rFonts w:ascii="Arial" w:cs="Arial" w:eastAsia="Arial" w:hAnsi="Arial"/>
                <w:sz w:val="18"/>
                <w:szCs w:val="18"/>
                <w:color w:val="auto"/>
              </w:rPr>
              <w:t>investment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Net charge-offs to average loans outstanding</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(annualized)</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 to total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Tangible common equity to tangible assets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w w:val="99"/>
              </w:rPr>
              <w:t>Common equity tier 1 to risk-weighted assets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10.35%</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r>
    </w:tbl>
    <w:p>
      <w:pPr>
        <w:spacing w:after="0" w:line="22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 Reflects the ESOP Repurchase Right Termination.</w:t>
      </w:r>
    </w:p>
    <w:p>
      <w:pPr>
        <w:spacing w:after="0" w:line="8" w:lineRule="exact"/>
        <w:rPr>
          <w:rFonts w:ascii="Arial" w:cs="Arial" w:eastAsia="Arial" w:hAnsi="Arial"/>
          <w:sz w:val="22"/>
          <w:szCs w:val="22"/>
          <w:color w:val="auto"/>
        </w:rPr>
      </w:pPr>
    </w:p>
    <w:p>
      <w:pPr>
        <w:ind w:right="280" w:firstLine="8"/>
        <w:spacing w:after="0" w:line="308" w:lineRule="auto"/>
        <w:tabs>
          <w:tab w:leader="none" w:pos="306" w:val="left"/>
        </w:tabs>
        <w:numPr>
          <w:ilvl w:val="0"/>
          <w:numId w:val="6"/>
        </w:numPr>
        <w:rPr>
          <w:rFonts w:ascii="Arial" w:cs="Arial" w:eastAsia="Arial" w:hAnsi="Arial"/>
          <w:sz w:val="19"/>
          <w:szCs w:val="19"/>
          <w:color w:val="auto"/>
        </w:rPr>
      </w:pPr>
      <w:r>
        <w:rPr>
          <w:rFonts w:ascii="Arial" w:cs="Arial" w:eastAsia="Arial" w:hAnsi="Arial"/>
          <w:sz w:val="19"/>
          <w:szCs w:val="19"/>
          <w:color w:val="auto"/>
        </w:rPr>
        <w:t>- Assumes the Company’s S Coporation revocation was effective at the beginning of each period prior to May 31, 2018. The Federal tax rate used was 35.0% for periods prior to January 1, 2018 and 21.0% for periods after January 1, 2018.</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South Plains Financial, Inc.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Yields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3"/>
              </w:rPr>
              <w:t>March 31, 2019</w:t>
            </w: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 2018</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2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Expense</w:t>
            </w:r>
          </w:p>
        </w:tc>
        <w:tc>
          <w:tcPr>
            <w:tcW w:w="1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Expense</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Loans (1)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1,955,783</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1,826,391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Debt securities - taxable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309,670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118,267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 nontaxable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interest-bearing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243,610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319,984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2,419,102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176,437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NOW, Savings, MMA’s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1,470,199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1,360,833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&amp; other long-term</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27,727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Junior subordinated deferable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debentures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Demand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501,120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473,993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w w:val="95"/>
              </w:rPr>
              <w:t>Total liabilities &amp; stockholders’ equity</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2,717,672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2,591,993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24,649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23,058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loan balances include nonaccrual loans and loans held for sale.</w:t>
      </w:r>
    </w:p>
    <w:p>
      <w:pPr>
        <w:spacing w:after="0" w:line="8" w:lineRule="exact"/>
        <w:rPr>
          <w:rFonts w:ascii="Arial" w:cs="Arial" w:eastAsia="Arial" w:hAnsi="Arial"/>
          <w:sz w:val="22"/>
          <w:szCs w:val="22"/>
          <w:color w:val="auto"/>
        </w:rPr>
      </w:pPr>
    </w:p>
    <w:p>
      <w:pPr>
        <w:ind w:right="540" w:firstLine="8"/>
        <w:spacing w:after="0" w:line="237" w:lineRule="auto"/>
        <w:tabs>
          <w:tab w:leader="none" w:pos="306" w:val="left"/>
        </w:tabs>
        <w:numPr>
          <w:ilvl w:val="0"/>
          <w:numId w:val="7"/>
        </w:numPr>
        <w:rPr>
          <w:rFonts w:ascii="Arial" w:cs="Arial" w:eastAsia="Arial" w:hAnsi="Arial"/>
          <w:sz w:val="22"/>
          <w:szCs w:val="22"/>
          <w:color w:val="auto"/>
        </w:rPr>
      </w:pPr>
      <w:r>
        <w:rPr>
          <w:rFonts w:ascii="Arial" w:cs="Arial" w:eastAsia="Arial" w:hAnsi="Arial"/>
          <w:sz w:val="22"/>
          <w:szCs w:val="22"/>
          <w:color w:val="auto"/>
        </w:rPr>
        <w:t>Net interest margin is calculated as the annualized net income, on a fully tax-equivalent basis, divided by average interest-earning assets.</w:t>
      </w:r>
    </w:p>
    <w:p>
      <w:pPr>
        <w:spacing w:after="0" w:line="39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88"/>
              <w:spacing w:after="0"/>
              <w:rPr>
                <w:sz w:val="20"/>
                <w:szCs w:val="20"/>
                <w:color w:val="auto"/>
              </w:rPr>
            </w:pPr>
            <w:r>
              <w:rPr>
                <w:rFonts w:ascii="Arial" w:cs="Arial" w:eastAsia="Arial" w:hAnsi="Arial"/>
                <w:sz w:val="18"/>
                <w:szCs w:val="18"/>
                <w:color w:val="auto"/>
                <w:w w:val="89"/>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March 31,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8"/>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44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47,802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301,778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301,778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339,051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338,196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339,051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Loans held for investment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1,915,183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1,957,197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1,915,183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Bank-owned life insurance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57,499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57,499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2,745,997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2,712,745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2,745,997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Noninterest-bearing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497,566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510,067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497,566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1,807,363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1,767,387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1,807,363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2,277,454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2,304,929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18,915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Junior subordinated deferrable interest debentures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2,527,432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2,499,970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2,527,432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Commitments and contingent liabilities ESOP owned shares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Common stock, $1 par value, 30,000,000 shares authorized; 14,771,520 issued and outstanding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123,328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Less ESOP owned shares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58,195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stockholder’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2,745,997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2,712,745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2,745,997</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Pro Forma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24,109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23,938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21,940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12,075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27,877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068" w:gutter="0" w:footer="0" w:header="0"/>
        </w:sectPr>
      </w:pPr>
    </w:p>
    <w:p>
      <w:pPr>
        <w:spacing w:after="0" w:line="20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068"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Portfolio Composition</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528,598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526,339</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305,022</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273,805</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418,426</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Consumer: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346,153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304,906</w:t>
            </w: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191,647</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158,534</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70,209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66,722</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Construction</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78,401</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75,425</w:t>
            </w:r>
          </w:p>
        </w:tc>
      </w:tr>
      <w:tr>
        <w:trPr>
          <w:trHeight w:val="257"/>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loans held for investment</w:t>
            </w:r>
          </w:p>
        </w:tc>
        <w:tc>
          <w:tcPr>
            <w:tcW w:w="1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1,824,157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 Composition</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Deposits:</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w w:val="85"/>
              </w:rPr>
              <w:t>in</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thousands except</w:t>
            </w:r>
          </w:p>
        </w:tc>
        <w:tc>
          <w:tcPr>
            <w:tcW w:w="1360" w:type="dxa"/>
            <w:vAlign w:val="bottom"/>
            <w:gridSpan w:val="3"/>
          </w:tcPr>
          <w:p>
            <w:pPr>
              <w:jc w:val="right"/>
              <w:ind w:right="430"/>
              <w:spacing w:after="0"/>
              <w:rPr>
                <w:sz w:val="20"/>
                <w:szCs w:val="20"/>
                <w:color w:val="auto"/>
              </w:rPr>
            </w:pPr>
            <w:r>
              <w:rPr>
                <w:rFonts w:ascii="Arial" w:cs="Arial" w:eastAsia="Arial" w:hAnsi="Arial"/>
                <w:sz w:val="18"/>
                <w:szCs w:val="18"/>
                <w:color w:val="auto"/>
                <w:w w:val="90"/>
              </w:rPr>
              <w:t>share data)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510,067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NOW &amp; other transaction accounts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285,962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277,041</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1,178,809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Time deposits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316,699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311,537</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322,114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2,304,929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2,159,321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Non-GAAP Financial Measures</w:t>
      </w:r>
    </w:p>
    <w:p>
      <w:pPr>
        <w:spacing w:after="0" w:line="240"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Our accounting and reporting policies conform to GAAP and the prevailing practices in the banking industry. However, we also evaluate our performance based on certain additional financial measures discussed in this press release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non-GAAP financial measures that we discuss in this press release should not be considered in isolation or as a substitute for the most directly comparable or other financial measures calculated in accordance with GAAP. Moreover, the manner in which we calculate the non-GAAP financial measures that we discuss in this press release may differ from that of other companies reporting measures with similar names. It is important to understand how other banking organizations calculate their financial measures with names similar to the non-GAAP financial measures we have discussed in this press release when comparing such non-GAAP financial measures.</w:t>
      </w:r>
    </w:p>
    <w:p>
      <w:pPr>
        <w:spacing w:after="0" w:line="215"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i w:val="1"/>
          <w:iCs w:val="1"/>
          <w:color w:val="auto"/>
        </w:rPr>
        <w:t>Tangible Book Value Per Common Share</w:t>
      </w:r>
      <w:r>
        <w:rPr>
          <w:rFonts w:ascii="Arial" w:cs="Arial" w:eastAsia="Arial" w:hAnsi="Arial"/>
          <w:sz w:val="21"/>
          <w:szCs w:val="21"/>
          <w:color w:val="auto"/>
        </w:rPr>
        <w:t>. Tangible book value per share is a non-GAAP measure generally used by investors,</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As we did not have any goodwill or other intangible assets for the periods presented, our tangible book value per common share for such periods ended was the same as our respective book value per common share.</w:t>
      </w:r>
    </w:p>
    <w:p>
      <w:pPr>
        <w:spacing w:after="0" w:line="20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i w:val="1"/>
          <w:iCs w:val="1"/>
          <w:color w:val="auto"/>
        </w:rPr>
        <w:t>Tangible Common Equity to Tangible Assets</w:t>
      </w:r>
      <w:r>
        <w:rPr>
          <w:rFonts w:ascii="Arial" w:cs="Arial" w:eastAsia="Arial" w:hAnsi="Arial"/>
          <w:sz w:val="19"/>
          <w:szCs w:val="19"/>
          <w:color w:val="auto"/>
        </w:rPr>
        <w:t>. Tangible common equity to tangible assets is a non-GAAP measure generally used by</w:t>
      </w:r>
      <w:r>
        <w:rPr>
          <w:rFonts w:ascii="Arial" w:cs="Arial" w:eastAsia="Arial" w:hAnsi="Arial"/>
          <w:sz w:val="19"/>
          <w:szCs w:val="19"/>
          <w:i w:val="1"/>
          <w:iCs w:val="1"/>
          <w:color w:val="auto"/>
        </w:rPr>
        <w:t xml:space="preserve"> </w:t>
      </w:r>
      <w:r>
        <w:rPr>
          <w:rFonts w:ascii="Arial" w:cs="Arial" w:eastAsia="Arial" w:hAnsi="Arial"/>
          <w:sz w:val="19"/>
          <w:szCs w:val="19"/>
          <w:color w:val="auto"/>
        </w:rPr>
        <w:t>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18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As we did not have any goodwill or other intangible assets for the periods presented, our tangible common equity to tangible assets for such periods ended was the same as our respective common shareholders’ equity to total assets.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80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2019-12-28T10:45:03Z</dcterms:created>
  <dcterms:modified xsi:type="dcterms:W3CDTF">2019-12-28T10:45:03Z</dcterms:modified>
</cp:coreProperties>
</file>