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184150</wp:posOffset>
            </wp:positionV>
            <wp:extent cx="8572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220980</wp:posOffset>
            </wp:positionV>
            <wp:extent cx="857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20" w:right="1440" w:hanging="3812"/>
        <w:spacing w:after="0" w:line="500"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780" w:right="1580" w:hanging="3772"/>
        <w:spacing w:after="0" w:line="500" w:lineRule="auto"/>
        <w:tabs>
          <w:tab w:leader="none" w:pos="49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214630</wp:posOffset>
            </wp:positionV>
            <wp:extent cx="8572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86"/>
              </w:rPr>
              <w:t>Texas</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75-2453320</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5219 City Bank Parkway</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88"/>
              </w:rPr>
              <w:t>Lubbock, Texas</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79407</w:t>
            </w:r>
          </w:p>
        </w:tc>
      </w:tr>
      <w:tr>
        <w:trPr>
          <w:trHeight w:val="230"/>
        </w:trPr>
        <w:tc>
          <w:tcPr>
            <w:tcW w:w="542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(806) 792-7101</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ind w:left="19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6, 2022, the registrant had 17,618,573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98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380" w:type="dxa"/>
            <w:vAlign w:val="bottom"/>
            <w:gridSpan w:val="8"/>
          </w:tcPr>
          <w:p>
            <w:pPr>
              <w:ind w:left="50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r>
      <w:tr>
        <w:trPr>
          <w:trHeight w:val="439"/>
        </w:trPr>
        <w:tc>
          <w:tcPr>
            <w:tcW w:w="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r>
      <w:tr>
        <w:trPr>
          <w:trHeight w:val="162"/>
        </w:trPr>
        <w:tc>
          <w:tcPr>
            <w:tcW w:w="96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PART I.</w:t>
            </w:r>
          </w:p>
        </w:tc>
        <w:tc>
          <w:tcPr>
            <w:tcW w:w="9580" w:type="dxa"/>
            <w:vAlign w:val="bottom"/>
            <w:gridSpan w:val="19"/>
            <w:shd w:val="clear" w:color="auto" w:fill="CCEEFF"/>
          </w:tcPr>
          <w:p>
            <w:pPr>
              <w:ind w:left="200"/>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FINANCIAL INFORMATION</w:t>
              </w:r>
            </w:hyperlink>
          </w:p>
        </w:tc>
        <w:tc>
          <w:tcPr>
            <w:tcW w:w="7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3</w:t>
            </w:r>
          </w:p>
        </w:tc>
      </w:tr>
      <w:tr>
        <w:trPr>
          <w:trHeight w:val="34"/>
        </w:trPr>
        <w:tc>
          <w:tcPr>
            <w:tcW w:w="7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(Unaudited)</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(Loss) (Unaudited)</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Stockholders’ Equity (Unaudited)</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580" w:type="dxa"/>
            <w:vAlign w:val="bottom"/>
            <w:gridSpan w:val="19"/>
            <w:shd w:val="clear" w:color="auto" w:fill="CCEEFF"/>
          </w:tcPr>
          <w:p>
            <w:pPr>
              <w:ind w:left="2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9580" w:type="dxa"/>
            <w:vAlign w:val="bottom"/>
            <w:gridSpan w:val="19"/>
          </w:tcPr>
          <w:p>
            <w:pPr>
              <w:ind w:left="2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668"/>
        </w:trPr>
        <w:tc>
          <w:tcPr>
            <w:tcW w:w="7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292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8680" w:type="dxa"/>
            <w:vAlign w:val="bottom"/>
            <w:gridSpan w:val="5"/>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80" w:type="dxa"/>
            <w:vAlign w:val="bottom"/>
            <w:gridSpan w:val="2"/>
          </w:tcPr>
          <w:p>
            <w:pPr>
              <w:jc w:val="center"/>
              <w:ind w:left="1190"/>
              <w:spacing w:after="0"/>
              <w:rPr>
                <w:sz w:val="20"/>
                <w:szCs w:val="20"/>
                <w:color w:val="auto"/>
              </w:rPr>
            </w:pPr>
            <w:r>
              <w:rPr>
                <w:rFonts w:ascii="Arial" w:cs="Arial" w:eastAsia="Arial" w:hAnsi="Arial"/>
                <w:sz w:val="18"/>
                <w:szCs w:val="18"/>
                <w:b w:val="1"/>
                <w:bCs w:val="1"/>
                <w:color w:val="auto"/>
              </w:rPr>
              <w:t>SOUTH PLAINS FINANCIAL,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9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8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(Dollars in thousands, except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0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24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300" w:type="dxa"/>
            <w:vAlign w:val="bottom"/>
            <w:gridSpan w:val="3"/>
            <w:vMerge w:val="continue"/>
          </w:tcPr>
          <w:p>
            <w:pPr>
              <w:spacing w:after="0"/>
              <w:rPr>
                <w:sz w:val="13"/>
                <w:szCs w:val="13"/>
                <w:color w:val="auto"/>
              </w:rPr>
            </w:pPr>
          </w:p>
        </w:tc>
        <w:tc>
          <w:tcPr>
            <w:tcW w:w="24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65,717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68,425</w:t>
            </w:r>
          </w:p>
        </w:tc>
        <w:tc>
          <w:tcPr>
            <w:tcW w:w="0" w:type="dxa"/>
            <w:vAlign w:val="bottom"/>
          </w:tcPr>
          <w:p>
            <w:pPr>
              <w:spacing w:after="0"/>
              <w:rPr>
                <w:sz w:val="1"/>
                <w:szCs w:val="1"/>
                <w:color w:val="auto"/>
              </w:rPr>
            </w:pPr>
          </w:p>
        </w:tc>
      </w:tr>
      <w:tr>
        <w:trPr>
          <w:trHeight w:val="223"/>
        </w:trPr>
        <w:tc>
          <w:tcPr>
            <w:tcW w:w="8680" w:type="dxa"/>
            <w:vAlign w:val="bottom"/>
            <w:gridSpan w:val="5"/>
          </w:tcPr>
          <w:p>
            <w:pPr>
              <w:spacing w:after="0"/>
              <w:rPr>
                <w:sz w:val="20"/>
                <w:szCs w:val="20"/>
                <w:color w:val="auto"/>
              </w:rPr>
            </w:pPr>
            <w:r>
              <w:rPr>
                <w:rFonts w:ascii="Arial" w:cs="Arial" w:eastAsia="Arial" w:hAnsi="Arial"/>
                <w:sz w:val="18"/>
                <w:szCs w:val="18"/>
                <w:color w:val="auto"/>
              </w:rPr>
              <w:t>Interest-bearing deposits in banks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462,895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418,396</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528,612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Securities available for sale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793,404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724,504</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29,599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76,507</w:t>
            </w: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Loans held for investment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2,453,631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2,437,577</w:t>
            </w:r>
          </w:p>
        </w:tc>
        <w:tc>
          <w:tcPr>
            <w:tcW w:w="0" w:type="dxa"/>
            <w:vAlign w:val="bottom"/>
          </w:tcPr>
          <w:p>
            <w:pPr>
              <w:spacing w:after="0"/>
              <w:rPr>
                <w:sz w:val="1"/>
                <w:szCs w:val="1"/>
                <w:color w:val="auto"/>
              </w:rPr>
            </w:pPr>
          </w:p>
        </w:tc>
      </w:tr>
      <w:tr>
        <w:trPr>
          <w:trHeight w:val="223"/>
        </w:trPr>
        <w:tc>
          <w:tcPr>
            <w:tcW w:w="86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(39,649)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(42,098)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5"/>
          </w:tcPr>
          <w:p>
            <w:pPr>
              <w:ind w:left="180"/>
              <w:spacing w:after="0"/>
              <w:rPr>
                <w:sz w:val="20"/>
                <w:szCs w:val="20"/>
                <w:color w:val="auto"/>
              </w:rPr>
            </w:pPr>
            <w:r>
              <w:rPr>
                <w:rFonts w:ascii="Arial" w:cs="Arial" w:eastAsia="Arial" w:hAnsi="Arial"/>
                <w:sz w:val="18"/>
                <w:szCs w:val="18"/>
                <w:color w:val="auto"/>
              </w:rPr>
              <w:t>Loans held for investment, net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2,413,982</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2,395,479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13,900</w:t>
            </w: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Premises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57,387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57,699</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72,274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71,978</w:t>
            </w:r>
          </w:p>
        </w:tc>
        <w:tc>
          <w:tcPr>
            <w:tcW w:w="0" w:type="dxa"/>
            <w:vAlign w:val="bottom"/>
          </w:tcPr>
          <w:p>
            <w:pPr>
              <w:spacing w:after="0"/>
              <w:rPr>
                <w:sz w:val="1"/>
                <w:szCs w:val="1"/>
                <w:color w:val="auto"/>
              </w:rPr>
            </w:pP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4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19,508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19,508</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Mortgage servicing rights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25,425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23"/>
        </w:trPr>
        <w:tc>
          <w:tcPr>
            <w:tcW w:w="13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4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35,145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26,826</w:t>
            </w:r>
          </w:p>
        </w:tc>
        <w:tc>
          <w:tcPr>
            <w:tcW w:w="0" w:type="dxa"/>
            <w:vAlign w:val="bottom"/>
          </w:tcPr>
          <w:p>
            <w:pPr>
              <w:spacing w:after="0"/>
              <w:rPr>
                <w:sz w:val="1"/>
                <w:szCs w:val="1"/>
                <w:color w:val="auto"/>
              </w:rPr>
            </w:pPr>
          </w:p>
        </w:tc>
      </w:tr>
      <w:tr>
        <w:trPr>
          <w:trHeight w:val="256"/>
        </w:trPr>
        <w:tc>
          <w:tcPr>
            <w:tcW w:w="1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6"/>
              </w:rPr>
              <w:t>Total assets</w:t>
            </w:r>
          </w:p>
        </w:tc>
        <w:tc>
          <w:tcPr>
            <w:tcW w:w="2400" w:type="dxa"/>
            <w:vAlign w:val="bottom"/>
            <w:shd w:val="clear" w:color="auto" w:fill="CCEEFF"/>
          </w:tcPr>
          <w:p>
            <w:pPr>
              <w:spacing w:after="0"/>
              <w:rPr>
                <w:sz w:val="22"/>
                <w:szCs w:val="22"/>
                <w:color w:val="auto"/>
              </w:rPr>
            </w:pPr>
          </w:p>
        </w:tc>
        <w:tc>
          <w:tcPr>
            <w:tcW w:w="498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3,999,744</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3,901,855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gridSpan w:val="2"/>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240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140"/>
              <w:spacing w:after="0"/>
              <w:rPr>
                <w:sz w:val="20"/>
                <w:szCs w:val="20"/>
                <w:color w:val="auto"/>
              </w:rPr>
            </w:pPr>
            <w:r>
              <w:rPr>
                <w:rFonts w:ascii="Arial" w:cs="Arial" w:eastAsia="Arial" w:hAnsi="Arial"/>
                <w:sz w:val="18"/>
                <w:szCs w:val="18"/>
                <w:color w:val="auto"/>
              </w:rPr>
              <w:t>Noninterest-bearing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1,131,215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1,071,367</w:t>
            </w:r>
          </w:p>
        </w:tc>
        <w:tc>
          <w:tcPr>
            <w:tcW w:w="0" w:type="dxa"/>
            <w:vAlign w:val="bottom"/>
          </w:tcPr>
          <w:p>
            <w:pPr>
              <w:spacing w:after="0"/>
              <w:rPr>
                <w:sz w:val="1"/>
                <w:szCs w:val="1"/>
                <w:color w:val="auto"/>
              </w:rPr>
            </w:pPr>
          </w:p>
        </w:tc>
      </w:tr>
      <w:tr>
        <w:trPr>
          <w:trHeight w:val="223"/>
        </w:trPr>
        <w:tc>
          <w:tcPr>
            <w:tcW w:w="13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0"/>
              </w:rPr>
              <w:t>Interest-bearing</w:t>
            </w:r>
          </w:p>
        </w:tc>
        <w:tc>
          <w:tcPr>
            <w:tcW w:w="240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2,318,942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2,269,855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340"/>
              <w:spacing w:after="0"/>
              <w:rPr>
                <w:sz w:val="20"/>
                <w:szCs w:val="20"/>
                <w:color w:val="auto"/>
              </w:rPr>
            </w:pPr>
            <w:r>
              <w:rPr>
                <w:rFonts w:ascii="Arial" w:cs="Arial" w:eastAsia="Arial" w:hAnsi="Arial"/>
                <w:sz w:val="18"/>
                <w:szCs w:val="18"/>
                <w:color w:val="auto"/>
              </w:rPr>
              <w:t>Total deposits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3,450,157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3,341,222</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40,305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31,038</w:t>
            </w: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Subordinated debt securities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75,821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75,775</w:t>
            </w:r>
          </w:p>
        </w:tc>
        <w:tc>
          <w:tcPr>
            <w:tcW w:w="0" w:type="dxa"/>
            <w:vAlign w:val="bottom"/>
          </w:tcPr>
          <w:p>
            <w:pPr>
              <w:spacing w:after="0"/>
              <w:rPr>
                <w:sz w:val="1"/>
                <w:szCs w:val="1"/>
                <w:color w:val="auto"/>
              </w:rPr>
            </w:pPr>
          </w:p>
        </w:tc>
      </w:tr>
      <w:tr>
        <w:trPr>
          <w:trHeight w:val="223"/>
        </w:trPr>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5"/>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3,612,676</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3,494,428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5"/>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Common stock, $1.00 par value per share, 30,000,000 shares authorized; 17,673,407 and 17,760,243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outstanding at March 31, 2022 and December 31, 2021, respectively</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17,673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17,760</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130,618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133,215</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255,078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242,750</w:t>
            </w:r>
          </w:p>
        </w:tc>
        <w:tc>
          <w:tcPr>
            <w:tcW w:w="0" w:type="dxa"/>
            <w:vAlign w:val="bottom"/>
          </w:tcPr>
          <w:p>
            <w:pPr>
              <w:spacing w:after="0"/>
              <w:rPr>
                <w:sz w:val="1"/>
                <w:szCs w:val="1"/>
                <w:color w:val="auto"/>
              </w:rPr>
            </w:pPr>
          </w:p>
        </w:tc>
      </w:tr>
      <w:tr>
        <w:trPr>
          <w:trHeight w:val="223"/>
        </w:trPr>
        <w:tc>
          <w:tcPr>
            <w:tcW w:w="8680" w:type="dxa"/>
            <w:vAlign w:val="bottom"/>
            <w:gridSpan w:val="5"/>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(16,301)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13,702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387,068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gridSpan w:val="2"/>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3,999,744</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3,901,855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including fees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29,280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Non-taxable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Federal funds sold and interest-bearing deposits in banks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48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33,080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32,982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2,157</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&amp; other borrowings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Subordinated debt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Junior subordinated deferrable interest debentures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3,438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29,947</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(2,085)</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2,642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mortgage banking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Investment commissions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Fiduciary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r>
      <w:tr>
        <w:trPr>
          <w:trHeight w:val="223"/>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24,318</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Occupancy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3,565</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Bank 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1,049</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4,249</w:t>
            </w:r>
          </w:p>
        </w:tc>
      </w:tr>
      <w:tr>
        <w:trPr>
          <w:trHeight w:val="223"/>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17,805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18,898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14,278</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15,160</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15,160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Unrealized losses on securities available for sale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(44,877)</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(18,492)</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Change in fair value on hedged state and municipal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6,933</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Tax effect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2,428</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(30,003)</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(15,725)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6,029</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700" w:type="dxa"/>
            <w:vAlign w:val="bottom"/>
            <w:gridSpan w:val="5"/>
            <w:vMerge w:val="restart"/>
          </w:tcPr>
          <w:p>
            <w:pPr>
              <w:ind w:left="6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7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38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Three Months Ended March 31,</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18,076,364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189,521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370,048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15,160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15,160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Common - $0.05 per share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(904)</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 and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vesting of restricted stock units, net of</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w w:val="98"/>
              </w:rPr>
              <w:t>1,100 shares for cashless exercise and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net of 5,013 shares for taxes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20,049</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1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18,053,229</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140,633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203,777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17,760,243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242,750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14,278</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14,278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Common - $0.11 per share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(30,003)</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 and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vesting of restricted stock units, net of</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w w:val="98"/>
              </w:rPr>
              <w:t>4,824 shares for cashless exercise and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net of 6,857 shares for taxes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19,662</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1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17,673,407</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130,618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255,078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gains,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(15,943)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Proceeds from sales of loans held for sale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288,280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434,582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originated for sale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(235,129)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(436,176)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 income tax expense (benefit)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on bank-owned life 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valuation of mortgage servicing rights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(1,287)</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change 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interest receivable and 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r>
      <w:tr>
        <w:trPr>
          <w:trHeight w:val="223"/>
        </w:trPr>
        <w:tc>
          <w:tcPr>
            <w:tcW w:w="8680" w:type="dxa"/>
            <w:vAlign w:val="bottom"/>
          </w:tcPr>
          <w:p>
            <w:pPr>
              <w:ind w:left="48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9,267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8,452</w:t>
            </w:r>
          </w:p>
        </w:tc>
      </w:tr>
      <w:tr>
        <w:trPr>
          <w:trHeight w:val="223"/>
        </w:trPr>
        <w:tc>
          <w:tcPr>
            <w:tcW w:w="8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70,616</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Activity in securities available for sale: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(132,412)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(37,046)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Maturities, prepayments, and calls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17,618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43,350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originations and principal collections,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(16,660)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(22,094)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Purchases of premises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(1,316)</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premises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sales of foreclosed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r>
      <w:tr>
        <w:trPr>
          <w:trHeight w:val="223"/>
        </w:trPr>
        <w:tc>
          <w:tcPr>
            <w:tcW w:w="8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Net change in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108,935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181,281</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short-term borrowings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(9,025)</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Payments to tax authorities for 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made on notes payable and other borrowings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Cash dividends on common stock</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to repurchase common stock</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(3,017)</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w:t>
            </w:r>
          </w:p>
        </w:tc>
      </w:tr>
      <w:tr>
        <w:trPr>
          <w:trHeight w:val="223"/>
        </w:trPr>
        <w:tc>
          <w:tcPr>
            <w:tcW w:w="868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103,773</w:t>
            </w: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120,460</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41,791</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113,099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486,821</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528,612</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413,406</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paid on deposits and borrowed funds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Income taxes paid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Loans transferred to foreclosed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mortgage servicing rights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11"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8"/>
          <w:szCs w:val="18"/>
          <w:i w:val="1"/>
          <w:iCs w:val="1"/>
          <w:u w:val="single" w:color="auto"/>
          <w:color w:val="auto"/>
        </w:rPr>
        <w:t>Nature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South Plains Financial, Inc. (“SPFI”) is a Texas corporation and registered bank holding company that conducts its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through its subsidiaries from offices located throughout Texas and Eastern New Mexico. Principal activities include commercial and retail banking, along with insurance, investment, trust, and mortgage services. The following are subsidiaries of SPFI:</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Wholly-Owned, Consolidated Subsidiaries:</w:t>
            </w:r>
          </w:p>
        </w:tc>
        <w:tc>
          <w:tcPr>
            <w:tcW w:w="6460" w:type="dxa"/>
            <w:vAlign w:val="bottom"/>
          </w:tcPr>
          <w:p>
            <w:pPr>
              <w:spacing w:after="0"/>
              <w:rPr>
                <w:sz w:val="20"/>
                <w:szCs w:val="20"/>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City Bank</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Bank subsidiary</w:t>
            </w: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Windmark Insurance Agency, Inc. (“Windmark”)</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Ruidoso Retail, Inc.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CB Provence,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CBT Brushy Creek, LLC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CBT Properties,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Wholly-Owned, Equity Method Subsidiaries:</w:t>
            </w:r>
          </w:p>
        </w:tc>
        <w:tc>
          <w:tcPr>
            <w:tcW w:w="6460" w:type="dxa"/>
            <w:vAlign w:val="bottom"/>
            <w:shd w:val="clear" w:color="auto" w:fill="CCEEFF"/>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South Plains Financial Capital Trusts (SPFCT) III-V</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subsidiaries</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Basis of Presentation and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consolidated financial statements in this Quarterly Report on Form 10-Q for the quarter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(this “Form 10-Q”) include the accounts of SPFI and its wholly-owned consolidated subsidiaries (collectively referred to as the “Company”) identified above. All significant intercompany balances and transactions have been eliminated in consolidation.</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2021. Operating results for the interim periods disclosed herein are not necessarily indicative of the results that may be expected for a full year or any future period.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Use of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 The preparation of financial statements in conformity with GAAP requires management to make estimates and assumptions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assumptions used in stock-based compensation, derivatives, mortgage servicing rights, the valuation of foreclosed assets, and fair values of financial instruments can also involve significant management estimates.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u w:val="single" w:color="auto"/>
          <w:color w:val="auto"/>
        </w:rPr>
        <w:t>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Investment securities may be classified into trading, held to maturity (“HTM”) or available for sale (“AFS”) portfolios. Securities that are held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for resale in the near term are classified as trading. Securities that management has the ability and positive intent to hold to maturity are classified as HTM and recorded at amortized cost. Securities not classified as trading or HTM are AFS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(loss) on sale of securities. The cost of securities sold is based on the specific identification method.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the fair value of a security is below its amortized cost, additional analysis is performed to determine whether an other-than-temporary impairment condition exists. The analysis considers (i) whether there is intent to sell securities prior to recovery and/or maturity, (ii) whether it is more likely than not that securities will have to be sold prior to recovery and/or maturity, and (iii) whether there is a credit loss component to the impairment. Often, the information available to conduct these assessments is limited and rapidly changing, making estimates of fair value subject to judgment. If actual information or conditions are different than estimated, the extent of the impairment of a security may be different than previously estimated, which could have a material effect on the Company’s results of operations and financial condition.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Loans</w:t>
      </w:r>
      <w:r>
        <w:rPr>
          <w:rFonts w:ascii="Arial" w:cs="Arial" w:eastAsia="Arial" w:hAnsi="Arial"/>
          <w:sz w:val="18"/>
          <w:szCs w:val="18"/>
          <w:i w:val="1"/>
          <w:iCs w:val="1"/>
          <w:color w:val="auto"/>
        </w:rPr>
        <w:t xml:space="preserve"> </w:t>
      </w:r>
      <w:r>
        <w:rPr>
          <w:rFonts w:ascii="Arial" w:cs="Arial" w:eastAsia="Arial" w:hAnsi="Arial"/>
          <w:sz w:val="18"/>
          <w:szCs w:val="18"/>
          <w:color w:val="auto"/>
        </w:rPr>
        <w:t>– Loans that management has the intent and ability to hold for the foreseeable future or until maturity or payoff are reported at their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Allowance for Loan Losses</w:t>
      </w:r>
      <w:r>
        <w:rPr>
          <w:rFonts w:ascii="Arial" w:cs="Arial" w:eastAsia="Arial" w:hAnsi="Arial"/>
          <w:sz w:val="18"/>
          <w:szCs w:val="18"/>
          <w:i w:val="1"/>
          <w:iCs w:val="1"/>
          <w:color w:val="auto"/>
        </w:rPr>
        <w:t xml:space="preserve"> </w:t>
      </w:r>
      <w:r>
        <w:rPr>
          <w:rFonts w:ascii="Arial" w:cs="Arial" w:eastAsia="Arial" w:hAnsi="Arial"/>
          <w:sz w:val="18"/>
          <w:szCs w:val="18"/>
          <w:color w:val="auto"/>
        </w:rPr>
        <w:t>– The allowance for loan losses is established by management as an estimate to cover probable loan losses through a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allowance for loan losses is evaluated on a quarterly basis by management and is based upon management’s review of the collectability of the loans in the Company’s loan portfolio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Loans originated by the bank subsidiary are generally secured by specific items of collateral including real property, crops, livestock, consumer assets, and other business assets.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may modify its loan agreement with a borrower. The modification will be considered a troubled debt restructuring (“TDR”)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Acquired Loans</w:t>
      </w:r>
      <w:r>
        <w:rPr>
          <w:rFonts w:ascii="Arial" w:cs="Arial" w:eastAsia="Arial" w:hAnsi="Arial"/>
          <w:sz w:val="18"/>
          <w:szCs w:val="18"/>
          <w:i w:val="1"/>
          <w:iCs w:val="1"/>
          <w:color w:val="auto"/>
        </w:rPr>
        <w:t xml:space="preserve"> </w:t>
      </w:r>
      <w:r>
        <w:rPr>
          <w:rFonts w:ascii="Arial" w:cs="Arial" w:eastAsia="Arial" w:hAnsi="Arial"/>
          <w:sz w:val="18"/>
          <w:szCs w:val="18"/>
          <w:color w:val="auto"/>
        </w:rPr>
        <w:t>– Loans that the Company acquires in connection with business combinations are recorded at fair value with no carryover of the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related allowance for loan losses. The fair value of the acquired loans involves estimating the amount and timing of principal and interest cash flows expected to be collected on the loans and discounting those cash flows at a market rate of interest.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Any loans the Company determines have evidence of deterioration of credit quality since origination, and it is probable, at acquisition, that all contractually required payments will not be collected, are considered to be purchase credit impaired loans.The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These loans are accounted for under Financial Accounting Standards Board (“FASB”) Accounting Standards Codification (“ASC”) 310-30, </w:t>
      </w:r>
      <w:r>
        <w:rPr>
          <w:rFonts w:ascii="Arial" w:cs="Arial" w:eastAsia="Arial" w:hAnsi="Arial"/>
          <w:sz w:val="16"/>
          <w:szCs w:val="16"/>
          <w:i w:val="1"/>
          <w:iCs w:val="1"/>
          <w:color w:val="auto"/>
        </w:rPr>
        <w:t xml:space="preserve">Loans and Debt Securities Acquired with Deteriorated Credit Quality. </w:t>
      </w:r>
      <w:r>
        <w:rPr>
          <w:rFonts w:ascii="Arial" w:cs="Arial" w:eastAsia="Arial" w:hAnsi="Arial"/>
          <w:sz w:val="16"/>
          <w:szCs w:val="16"/>
          <w:color w:val="auto"/>
        </w:rPr>
        <w:t>The nonaccretable discount includes estimated future credit losses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over the life of the loan. Subsequent decreases to the expected cash flows will require the Company to evaluate the need for an additional allowance. Subsequent improvement in expected cash flows will result in the reversal of a corresponding amount of the nonaccretable discount which the Company will then reclassify as accretable discount that will be recognized into interest income over the remaining life of the loan.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Loans acquired through business combinations that do not meet the specific criteria of ASC 310-30 are accounted for under ASC 310-20,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w:t>
      </w:r>
      <w:r>
        <w:rPr>
          <w:rFonts w:ascii="Arial" w:cs="Arial" w:eastAsia="Arial" w:hAnsi="Arial"/>
          <w:sz w:val="18"/>
          <w:szCs w:val="18"/>
          <w:i w:val="1"/>
          <w:iCs w:val="1"/>
          <w:color w:val="auto"/>
        </w:rPr>
        <w:t>Nonrefundable Fees and Other Costs</w:t>
      </w:r>
      <w:r>
        <w:rPr>
          <w:rFonts w:ascii="Arial" w:cs="Arial" w:eastAsia="Arial" w:hAnsi="Arial"/>
          <w:sz w:val="18"/>
          <w:szCs w:val="18"/>
          <w:color w:val="auto"/>
        </w:rPr>
        <w:t>. These loans are initially recorded at fair value, and include credit and interest rate marks associated with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adjustments. Purchase premiums or discounts are subsequently amortized as an adjustment to yield over the estimated contractual lives of the loans. There is no allowance for loan losses established at the acquisition date for acquired performing loans. An allowance for loan losses is recorded for any credit deterioration in these loans subsequent to acquisition.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Acquired loans that met the criteria for impaired or nonaccrual of interest prior to the acquisition may be considered performing upon acquisition, regardless of whether the customer is contractually delinquent, if the Company expects to fully collect the new carrying value (i.e., fair value) of the loans. As such, the Company may no longer consider the loan to be nonaccrual or nonperforming at the date of acquisition and may accrue interest on these loans, including the impact of any accretable discount. In addition, charge-offs on such loans would be first applied to the nonaccretable difference portion of the fair value adjustment.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Mortgage Servicing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 When mortgage loans are sold with servicing retained, servicing rights are initially recorded at fair value with the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combined financial statements. The fair values of servicing rights are subject to significant fluctuations as a result of changes in estimated and actual prepayment speeds and default rates and losses.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u w:val="single" w:color="auto"/>
          <w:color w:val="auto"/>
        </w:rPr>
        <w:t>Goodwill and Other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Goodwill resulting from business combinations is generally determined as the excess of the fair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transferred over the fair value of the net assets acquired and liabilities assumed as of the acquisition date. Goodwill is not amortized, but is tested for impairment on October 31 of each year or more frequently if events and circumstances exist that indicate that an impairment test should be performed. There was no goodwill impairment recorded for the three months ended March 31, 2022 and the year ended December 31, 2021, respectively.</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Substantially all CDI is amortized using the sum of the years’ digits method.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other intangible assets consist of customer relationship and employment agreement intangible assets and are amortized over their estimated useful lives of 5 years using the straight-line method.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Mortgage Banking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 Commitments to fund mortgage loans (interest rate locks) to be sold into the secondary market, forward commitments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future delivery of these mortgage loans, and forward sales of mortgage-backed securities are accounted for as free standing derivatives. At the time of the interest rate lock, the Company determines whether the loan will be sold through a best efforts contract or a mandatory delivery contract.</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on the loan is locked.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hedge the change in interest rates resulting from all other mortgage commitments to funds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on the loan is locked. Changes in the fair values of these derivatives are included in net gain on sales of loans in the consolidated financial statements.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Derivatives</w:t>
      </w:r>
      <w:r>
        <w:rPr>
          <w:rFonts w:ascii="Arial" w:cs="Arial" w:eastAsia="Arial" w:hAnsi="Arial"/>
          <w:sz w:val="17"/>
          <w:szCs w:val="17"/>
          <w:i w:val="1"/>
          <w:iCs w:val="1"/>
          <w:color w:val="auto"/>
        </w:rPr>
        <w:t xml:space="preserve"> </w:t>
      </w:r>
      <w:r>
        <w:rPr>
          <w:rFonts w:ascii="Arial" w:cs="Arial" w:eastAsia="Arial" w:hAnsi="Arial"/>
          <w:sz w:val="17"/>
          <w:szCs w:val="17"/>
          <w:color w:val="auto"/>
        </w:rPr>
        <w:t>– At the inception of a derivative contract, the Company designates the derivative as one of three types based on the Company’s intentions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other comprehensive income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are amortized into earnings over the same periods which the hedged transactions will affect earnings.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u w:val="single" w:color="auto"/>
          <w:color w:val="auto"/>
        </w:rPr>
        <w:t>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sponsors an equity incentive plan under which options to acquire shares of the Company’s common stock may</w:t>
      </w:r>
      <w:r>
        <w:rPr>
          <w:rFonts w:ascii="Arial" w:cs="Arial" w:eastAsia="Arial" w:hAnsi="Arial"/>
          <w:sz w:val="16"/>
          <w:szCs w:val="16"/>
          <w:i w:val="1"/>
          <w:iCs w:val="1"/>
          <w:color w:val="auto"/>
        </w:rPr>
        <w:t xml:space="preserve"> </w:t>
      </w:r>
      <w:r>
        <w:rPr>
          <w:rFonts w:ascii="Arial" w:cs="Arial" w:eastAsia="Arial" w:hAnsi="Arial"/>
          <w:sz w:val="16"/>
          <w:szCs w:val="16"/>
          <w:color w:val="auto"/>
        </w:rPr>
        <w:t>be 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a closed form option valuation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u w:val="single" w:color="auto"/>
          <w:color w:val="auto"/>
        </w:rPr>
        <w:t>Earnings per Share</w:t>
      </w:r>
      <w:r>
        <w:rPr>
          <w:rFonts w:ascii="Arial" w:cs="Arial" w:eastAsia="Arial" w:hAnsi="Arial"/>
          <w:sz w:val="16"/>
          <w:szCs w:val="16"/>
          <w:i w:val="1"/>
          <w:iCs w:val="1"/>
          <w:color w:val="auto"/>
        </w:rPr>
        <w:t xml:space="preserve"> </w:t>
      </w:r>
      <w:r>
        <w:rPr>
          <w:rFonts w:ascii="Arial" w:cs="Arial" w:eastAsia="Arial" w:hAnsi="Arial"/>
          <w:sz w:val="16"/>
          <w:szCs w:val="16"/>
          <w:color w:val="auto"/>
        </w:rPr>
        <w:t>– Basic earnings per share is net income divided by the weighted average number of common shares outstanding during the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Stock Ownership Plan (“ESOP”) shares are considered outstanding for this calculation unless unearned. Diluted earnings per share includes the dilutive effect of unearned ESOP shares, if applicable. Diluted earnings per share includes the dilutive effect of additional potential shares issuable under stock options. Earnings and dividends per share are restated for all stock splits and stock dividends through the date of issuance of the financial statements.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Segment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two reportable segments: banking and insurance. The accounting policies of the segments are the same as those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summary of significant accounting policies. The Company’s reportable segments are strategic business units that offer different products and services. Operations are managed and financial performance is evaluated on a Company-wide basis.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Reclassifications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 Certain amounts from the 2021 consolidated financial statements have been reclassified to conform to the March 31, 2022 presentation.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 FASB ASC constitutes GAAP for nongovernmental entities. Updates to ASC are prescribed in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Updates (“ASU”), which are not authoritative until incorporated into ASC.</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ASU 2021-01, Reference Rate Reform (Topic 848)</w:t>
      </w:r>
      <w:r>
        <w:rPr>
          <w:rFonts w:ascii="Arial" w:cs="Arial" w:eastAsia="Arial" w:hAnsi="Arial"/>
          <w:sz w:val="16"/>
          <w:szCs w:val="16"/>
          <w:color w:val="auto"/>
        </w:rPr>
        <w:t>. In January 2021, the FASB issued ASU No. 2021-01 to clarify the scope of Topic 848 so that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by the discounting transition are explicitly eligible for certain optional expedients and exceptions in Topic 848. This update additionally clarified that a receive-variable-rate, pay-variable-rate cross-currency interest rate swap may be considered an eligible hedging instrument in a net investment hedge if both legs of the swap do not have the same repricing intervals and dates as a result of reference rate reform. This update was effective upon issuance and generally can be applied through December 31, 2022. See the discussion regarding the adoption of ASU 2020-04 below.</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ASU 2020-04, Reference Rate Reform (Topic 848): Facilitation of the Effects of Reference Rate Reform on Financial Reporting. </w:t>
      </w:r>
      <w:r>
        <w:rPr>
          <w:rFonts w:ascii="Arial" w:cs="Arial" w:eastAsia="Arial" w:hAnsi="Arial"/>
          <w:sz w:val="17"/>
          <w:szCs w:val="17"/>
          <w:color w:val="auto"/>
        </w:rPr>
        <w:t>In March 2020, the FASB</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ASU 2020-04 and it provides optional expedients and exceptions for accounting related to contracts, hedging relationships and other transactions affected by reference rate reform if certain criteria are met. This update applies only to contracts, hedging relationships and other transactions that reference LIBOR or another reference rate expected to be discontinued because of reference rate reform and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expedients and exceptions in this update are available to all entities starting March 12, 2020 through December 31, 2022. The adoption of ASU 2020-04 did not significantly impact the Company’s consolidated financial statements.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ASU 2019-12, Income Taxes, Simplifying the Accounting for Income Taxes (Topic 740). </w:t>
      </w:r>
      <w:r>
        <w:rPr>
          <w:rFonts w:ascii="Arial" w:cs="Arial" w:eastAsia="Arial" w:hAnsi="Arial"/>
          <w:sz w:val="18"/>
          <w:szCs w:val="18"/>
          <w:color w:val="auto"/>
        </w:rPr>
        <w:t>In December 2019, the FASB issued ASU 2019-12 to simplify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by removing certain exceptions to the approach for intraperiod tax allocation, the methodology for calculating income taxes in an interim period and the recognition for deferred tax liabilities for outside basis differences. This update is effective for fiscal years, and interim periods within those fiscal years, beginning after December 15, 2020. The adoption of ASU 2019-12 did not have a material effect on the Company’s financial statements.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ASU 2016-13 Financial Instruments - Credit Losses (Topic 326). </w:t>
      </w:r>
      <w:r>
        <w:rPr>
          <w:rFonts w:ascii="Arial" w:cs="Arial" w:eastAsia="Arial" w:hAnsi="Arial"/>
          <w:sz w:val="17"/>
          <w:szCs w:val="17"/>
          <w:color w:val="auto"/>
        </w:rPr>
        <w:t>The FASB issued guidance to replace the incurred loss model with an expected loss</w:t>
      </w:r>
      <w:r>
        <w:rPr>
          <w:rFonts w:ascii="Arial" w:cs="Arial" w:eastAsia="Arial" w:hAnsi="Arial"/>
          <w:sz w:val="17"/>
          <w:szCs w:val="17"/>
          <w:i w:val="1"/>
          <w:iCs w:val="1"/>
          <w:color w:val="auto"/>
        </w:rPr>
        <w:t xml:space="preserve"> </w:t>
      </w:r>
      <w:r>
        <w:rPr>
          <w:rFonts w:ascii="Arial" w:cs="Arial" w:eastAsia="Arial" w:hAnsi="Arial"/>
          <w:sz w:val="17"/>
          <w:szCs w:val="17"/>
          <w:color w:val="auto"/>
        </w:rPr>
        <w:t>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Entities will apply the standard’s provisions as a cumulative-effect adjustment to retained earnings as of the beginning of the first reporting period in which the guidance is adopted. The Company has contracted with a third-party vendor to assist in the implementation of CECL. The model has been developed and validation is underway. The Company expects to adopt CECL effective January 1, 2023.</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ASU 2016-02 Leases (Topic 842). </w:t>
      </w:r>
      <w:r>
        <w:rPr>
          <w:rFonts w:ascii="Arial" w:cs="Arial" w:eastAsia="Arial" w:hAnsi="Arial"/>
          <w:sz w:val="17"/>
          <w:szCs w:val="17"/>
          <w:color w:val="auto"/>
        </w:rPr>
        <w:t>The FASB amended existing guidance that requires that lessees recognize lease assets and lease liabilities on the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 and disclose key information about leasing arrangements. These amendments are effective for the Company for annual periods beginning after December 15, 2021, and interim periods beginning after December 15, 2022. Based upon an analysis performed, the Company estimates that the right of use asset and corresponding lease liability at adoption will be between $10.8 million and $11.3 million.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Subsequent Events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evaluated subsequent events and transactions from March 31, 2022 through the date this Form 10-Q was filed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 for potential recognition or disclosure as required by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with gross unrealized gains and losses, at the dates indicated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1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5"/>
        </w:trPr>
        <w:tc>
          <w:tcPr>
            <w:tcW w:w="11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1"/>
              </w:rPr>
              <w:t>March 31, 2022</w:t>
            </w:r>
          </w:p>
        </w:tc>
        <w:tc>
          <w:tcPr>
            <w:tcW w:w="3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446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State and municipal</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263,318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(10,533)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253,008</w:t>
            </w:r>
          </w:p>
        </w:tc>
      </w:tr>
      <w:tr>
        <w:trPr>
          <w:trHeight w:val="216"/>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(24,276)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398,433</w:t>
            </w:r>
          </w:p>
        </w:tc>
      </w:tr>
      <w:tr>
        <w:trPr>
          <w:trHeight w:val="216"/>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Collateralized mortgage obligations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103,976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105,019</w:t>
            </w:r>
          </w:p>
        </w:tc>
      </w:tr>
      <w:tr>
        <w:trPr>
          <w:trHeight w:val="216"/>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24,775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24,535</w:t>
            </w:r>
          </w:p>
        </w:tc>
      </w:tr>
      <w:tr>
        <w:trPr>
          <w:trHeight w:val="223"/>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Other securities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12,409</w:t>
            </w:r>
          </w:p>
        </w:tc>
      </w:tr>
      <w:tr>
        <w:trPr>
          <w:trHeight w:val="256"/>
        </w:trPr>
        <w:tc>
          <w:tcPr>
            <w:tcW w:w="116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826,672</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793,404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20" w:type="dxa"/>
            <w:vAlign w:val="bottom"/>
          </w:tcPr>
          <w:p>
            <w:pPr>
              <w:jc w:val="right"/>
              <w:ind w:right="19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5"/>
        </w:trPr>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2021</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Available for sale:</w:t>
            </w: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265,143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10,615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275,672</w:t>
            </w: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302,973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303,089</w:t>
            </w: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106,733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106,320</w:t>
            </w: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26,936</w:t>
            </w:r>
          </w:p>
        </w:tc>
      </w:tr>
      <w:tr>
        <w:trPr>
          <w:trHeight w:val="223"/>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12,487</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712,895</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724,504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fair value of securities at March 31, 2022 are presented below by contractual maturity (dollars in thousands). Expected maturities may differ from contractual maturities because issuers may have the right to call or prepay obligations. Other securities are shown separately since they are not due at a single maturity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420"/>
              <w:spacing w:after="0"/>
              <w:rPr>
                <w:sz w:val="20"/>
                <w:szCs w:val="20"/>
                <w:color w:val="auto"/>
              </w:rPr>
            </w:pPr>
            <w:r>
              <w:rPr>
                <w:rFonts w:ascii="Arial" w:cs="Arial" w:eastAsia="Arial" w:hAnsi="Arial"/>
                <w:sz w:val="18"/>
                <w:szCs w:val="18"/>
                <w:b w:val="1"/>
                <w:bCs w:val="1"/>
                <w:color w:val="auto"/>
              </w:rPr>
              <w:t>Available for Sale</w:t>
            </w: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8,571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22,185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243,699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233,310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551,354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826,672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793,404</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both March 31, 2022 and December 31, 2021, there were no holdings of securities of any one issuer, other than the U.S. government, its agencies, or its sponsored enterprises, in an amount greater than 10% of stockholders’ equity.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with a carrying value of approximately $479.2 million and $474.5 million at March 31, 2022 and December 31, 2021, respectively, were pledged to collateralize public deposits and for other purposes as required or permitted by law.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segregates securities with unrealized losses at the periods indicated, by the duration they have been in a loss position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66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Loss</w:t>
            </w: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March 31, 2022</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231,142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10,099</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4,323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235,465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10,533</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14,524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74,294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392,384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24,276</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22,964</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22,964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56"/>
        </w:trPr>
        <w:tc>
          <w:tcPr>
            <w:tcW w:w="1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573,677</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24,885</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78,617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652,294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32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2021</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21,255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56,398</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64,764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2,917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121,162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4,114</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r>
      <w:tr>
        <w:trPr>
          <w:trHeight w:val="202"/>
        </w:trPr>
        <w:tc>
          <w:tcPr>
            <w:tcW w:w="3280" w:type="dxa"/>
            <w:vAlign w:val="bottom"/>
            <w:gridSpan w:val="3"/>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185,597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64,764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250,361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4,831</w:t>
            </w:r>
          </w:p>
        </w:tc>
      </w:tr>
      <w:tr>
        <w:trPr>
          <w:trHeight w:val="21"/>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were 130 securities with an unrealized loss at March 31, 2022. Management does not believe that these losses are other than temporary as there is no intent to sell any of these securities before recovery and it is not probable the Company will be required to sell any of these securities before recovery, and credit loss, if any, is not material. These unrealized losses are largely due to recent significant increases in market interest rates over the yields available at the time the underlying securities were purchased. The fair value is expected to recover as the securities approach their maturity date or if market yields for such investments decline in future periods. Management does not believe any of the securities are impaired due to reasons of credit quality. Accordingly, as of March 31, 2022, management believes the impairments detailed in the table above are temporary and no impairment loss has been realized in the Company’s combined financial statements.</w:t>
      </w:r>
    </w:p>
    <w:p>
      <w:pPr>
        <w:sectPr>
          <w:pgSz w:w="11900" w:h="16838" w:orient="portrait"/>
          <w:cols w:equalWidth="0" w:num="1">
            <w:col w:w="11240"/>
          </w:cols>
          <w:pgMar w:left="320" w:top="114" w:right="339" w:bottom="355"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355"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3. LOANS HELD FOR INVESTMENT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Loans are summarized by category as of the periods presented below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755,444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350,143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378,725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460,024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387,690</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255,703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240,719</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68,113</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149,096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146,862</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2,453,631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2,437,577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(39,649)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(42,098)</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Loans,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2,413,982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2,395,479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Commercial – General and Specialized</w:t>
      </w:r>
      <w:r>
        <w:rPr>
          <w:rFonts w:ascii="Arial" w:cs="Arial" w:eastAsia="Arial" w:hAnsi="Arial"/>
          <w:sz w:val="17"/>
          <w:szCs w:val="17"/>
          <w:i w:val="1"/>
          <w:iCs w:val="1"/>
          <w:color w:val="auto"/>
        </w:rPr>
        <w:t xml:space="preserve"> </w:t>
      </w:r>
      <w:r>
        <w:rPr>
          <w:rFonts w:ascii="Arial" w:cs="Arial" w:eastAsia="Arial" w:hAnsi="Arial"/>
          <w:sz w:val="17"/>
          <w:szCs w:val="17"/>
          <w:color w:val="auto"/>
        </w:rPr>
        <w:t>– Commercial loans are underwritten after evaluating and understanding the borrower’s ability to operate</w:t>
      </w:r>
      <w:r>
        <w:rPr>
          <w:rFonts w:ascii="Arial" w:cs="Arial" w:eastAsia="Arial" w:hAnsi="Arial"/>
          <w:sz w:val="17"/>
          <w:szCs w:val="17"/>
          <w:i w:val="1"/>
          <w:iCs w:val="1"/>
          <w:color w:val="auto"/>
        </w:rPr>
        <w:t xml:space="preserve"> </w:t>
      </w:r>
      <w:r>
        <w:rPr>
          <w:rFonts w:ascii="Arial" w:cs="Arial" w:eastAsia="Arial" w:hAnsi="Arial"/>
          <w:sz w:val="17"/>
          <w:szCs w:val="17"/>
          <w:color w:val="auto"/>
        </w:rPr>
        <w:t>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 Commercial real estate loans are also subject to underwriting standards and processes similar to commercial loans. These loans</w:t>
      </w:r>
      <w:r>
        <w:rPr>
          <w:rFonts w:ascii="Arial" w:cs="Arial" w:eastAsia="Arial" w:hAnsi="Arial"/>
          <w:sz w:val="18"/>
          <w:szCs w:val="18"/>
          <w:i w:val="1"/>
          <w:iCs w:val="1"/>
          <w:color w:val="auto"/>
        </w:rPr>
        <w:t xml:space="preserve"> </w:t>
      </w:r>
      <w:r>
        <w:rPr>
          <w:rFonts w:ascii="Arial" w:cs="Arial" w:eastAsia="Arial" w:hAnsi="Arial"/>
          <w:sz w:val="18"/>
          <w:szCs w:val="18"/>
          <w:color w:val="auto"/>
        </w:rPr>
        <w:t>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Construction</w:t>
      </w:r>
      <w:r>
        <w:rPr>
          <w:rFonts w:ascii="Arial" w:cs="Arial" w:eastAsia="Arial" w:hAnsi="Arial"/>
          <w:sz w:val="17"/>
          <w:szCs w:val="17"/>
          <w:i w:val="1"/>
          <w:iCs w:val="1"/>
          <w:color w:val="auto"/>
        </w:rPr>
        <w:t xml:space="preserve"> </w:t>
      </w:r>
      <w:r>
        <w:rPr>
          <w:rFonts w:ascii="Arial" w:cs="Arial" w:eastAsia="Arial" w:hAnsi="Arial"/>
          <w:sz w:val="17"/>
          <w:szCs w:val="17"/>
          <w:color w:val="auto"/>
        </w:rPr>
        <w:t>– Loans for residential construction are for single-family properties to developers, builders, or end-users. These loans are underwritten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 Loans to consumers include 1-4 family residential loans, auto loans, and other loans for recreational vehicles or other purposes.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allowance for loan losses was $39.6 million at March 31, 2022, compared to $42.1 million at December 31, 2021. The allowance for loan losses to loans held for investment was 1.62% at March 31, 2022 and 1.73% at December 31, 2021.</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details the activity in the allowance for loan losses for the periods indicated (dollars in thousands). Allocation of a portion of the allowance to one category of loans does not preclude its availability to absorb losses in other categories.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3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5"/>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For the three months ended March 31, 2022</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1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14,621</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3,275</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9,940</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4,931</w:t>
            </w: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42,098</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For the three months ended March 31, 2021</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Commercial real estate</w:t>
            </w:r>
          </w:p>
        </w:tc>
        <w:tc>
          <w:tcPr>
            <w:tcW w:w="1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18,962</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19,020</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5,458</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8,979</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4,890</w:t>
            </w: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3,891</w:t>
            </w: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1,480</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r>
      <w:tr>
        <w:trPr>
          <w:trHeight w:val="27"/>
        </w:trPr>
        <w:tc>
          <w:tcPr>
            <w:tcW w:w="3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45,553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45,019</w:t>
            </w:r>
          </w:p>
        </w:tc>
      </w:tr>
      <w:tr>
        <w:trPr>
          <w:trHeight w:val="20"/>
        </w:trPr>
        <w:tc>
          <w:tcPr>
            <w:tcW w:w="3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Company’s investment in loans disaggregated based on the method of evaluating impairment at the dates indicated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Recorded Investment</w:t>
            </w:r>
          </w:p>
        </w:tc>
        <w:tc>
          <w:tcPr>
            <w:tcW w:w="12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b w:val="1"/>
                <w:bCs w:val="1"/>
                <w:color w:val="auto"/>
              </w:rPr>
              <w:t>Allowance for Loan Losses</w:t>
            </w:r>
          </w:p>
        </w:tc>
      </w:tr>
      <w:tr>
        <w:trPr>
          <w:trHeight w:val="198"/>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Collectively</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00" w:type="dxa"/>
            <w:vAlign w:val="bottom"/>
          </w:tcPr>
          <w:p>
            <w:pPr>
              <w:spacing w:after="0"/>
              <w:rPr>
                <w:sz w:val="17"/>
                <w:szCs w:val="17"/>
                <w:color w:val="auto"/>
              </w:rPr>
            </w:pP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Evaluated</w:t>
            </w:r>
          </w:p>
        </w:tc>
        <w:tc>
          <w:tcPr>
            <w:tcW w:w="1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Evaluated</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Evaluated</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Evaluated</w:t>
            </w:r>
          </w:p>
        </w:tc>
      </w:tr>
      <w:tr>
        <w:trPr>
          <w:trHeight w:val="175"/>
        </w:trPr>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March 31, 2022</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770,427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14,075</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350,143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3,275</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470,652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9,461</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376,359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w:t>
            </w: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255,703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73,245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149,096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8,006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2,445,625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38,458</w:t>
            </w:r>
          </w:p>
        </w:tc>
      </w:tr>
      <w:tr>
        <w:trPr>
          <w:trHeight w:val="21"/>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2021</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754,343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16,661</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378,725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4,363</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454,946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7,881</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386,098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5,093</w:t>
            </w: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240,719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3,653</w:t>
            </w: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146,862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7,771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2,429,806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40,754</w:t>
            </w:r>
          </w:p>
        </w:tc>
      </w:tr>
      <w:tr>
        <w:trPr>
          <w:trHeight w:val="21"/>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22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6020" w:type="dxa"/>
            <w:vAlign w:val="bottom"/>
            <w:gridSpan w:val="10"/>
          </w:tcPr>
          <w:p>
            <w:pPr>
              <w:spacing w:after="0"/>
              <w:rPr>
                <w:sz w:val="20"/>
                <w:szCs w:val="20"/>
                <w:color w:val="auto"/>
              </w:rPr>
            </w:pPr>
            <w:r>
              <w:rPr>
                <w:rFonts w:ascii="Arial" w:cs="Arial" w:eastAsia="Arial" w:hAnsi="Arial"/>
                <w:sz w:val="18"/>
                <w:szCs w:val="18"/>
                <w:color w:val="auto"/>
                <w:w w:val="96"/>
              </w:rPr>
              <w:t>Impaired loan information at the dates indicated follows (dollars in thousands):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With No</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Related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Allowance</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Allowance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r>
      <w:tr>
        <w:trPr>
          <w:trHeight w:val="175"/>
        </w:trPr>
        <w:tc>
          <w:tcPr>
            <w:tcW w:w="3280" w:type="dxa"/>
            <w:vAlign w:val="bottom"/>
            <w:gridSpan w:val="4"/>
          </w:tcPr>
          <w:p>
            <w:pPr>
              <w:spacing w:after="0" w:line="176" w:lineRule="exact"/>
              <w:rPr>
                <w:sz w:val="20"/>
                <w:szCs w:val="20"/>
                <w:color w:val="auto"/>
              </w:rPr>
            </w:pPr>
            <w:r>
              <w:rPr>
                <w:rFonts w:ascii="Arial" w:cs="Arial" w:eastAsia="Arial" w:hAnsi="Arial"/>
                <w:sz w:val="18"/>
                <w:szCs w:val="18"/>
                <w:color w:val="auto"/>
              </w:rPr>
              <w:t>March 31, 2022</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w:t>
            </w: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4,897</w:t>
            </w: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1-4 family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w:t>
            </w:r>
          </w:p>
        </w:tc>
      </w:tr>
      <w:tr>
        <w:trPr>
          <w:trHeight w:val="216"/>
        </w:trPr>
        <w:tc>
          <w:tcPr>
            <w:tcW w:w="3280" w:type="dxa"/>
            <w:vAlign w:val="bottom"/>
            <w:gridSpan w:val="4"/>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4"/>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8,006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2,410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9,202</w:t>
            </w: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280" w:type="dxa"/>
            <w:vAlign w:val="bottom"/>
            <w:gridSpan w:val="4"/>
          </w:tcPr>
          <w:p>
            <w:pPr>
              <w:spacing w:after="0" w:line="176" w:lineRule="exact"/>
              <w:rPr>
                <w:sz w:val="20"/>
                <w:szCs w:val="20"/>
                <w:color w:val="auto"/>
              </w:rPr>
            </w:pPr>
            <w:r>
              <w:rPr>
                <w:rFonts w:ascii="Arial" w:cs="Arial" w:eastAsia="Arial" w:hAnsi="Arial"/>
                <w:sz w:val="18"/>
                <w:szCs w:val="18"/>
                <w:color w:val="auto"/>
              </w:rPr>
              <w:t>December 31, 2021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3,687</w:t>
            </w: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4,852</w:t>
            </w: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1-4 family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w:t>
            </w:r>
          </w:p>
        </w:tc>
      </w:tr>
      <w:tr>
        <w:trPr>
          <w:trHeight w:val="216"/>
        </w:trPr>
        <w:tc>
          <w:tcPr>
            <w:tcW w:w="3280" w:type="dxa"/>
            <w:vAlign w:val="bottom"/>
            <w:gridSpan w:val="4"/>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4"/>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7,771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2,023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10,396</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impaired loans $250 thousand and greater were specifically evaluated for impairment. Interest income recognized using a cash-basis method on impaired loans for the three months ended March 31, 2022 and the year ended December 31, 2021 was not significant. Additional funds committed to be advanced on impaired loans are not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an age analysis on accruing past-due loans and nonaccrual loans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30-89 Days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More Past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Past Due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Due</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Nonaccrual</w:t>
            </w: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March 31, 2022</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4,994</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w:t>
            </w:r>
          </w:p>
        </w:tc>
      </w:tr>
      <w:tr>
        <w:trPr>
          <w:trHeight w:val="216"/>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8,665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9,548</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2021</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5,236</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w:t>
            </w:r>
          </w:p>
        </w:tc>
      </w:tr>
      <w:tr>
        <w:trPr>
          <w:trHeight w:val="216"/>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8,993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9,518</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by the Company about the risks of default associated with the loan. The Company reviews the grades on loans as part of the company's on-going monitoring of the credit quality of the loan portfolio.</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internal classifications of loans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Substandard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6"/>
        </w:trPr>
        <w:tc>
          <w:tcPr>
            <w:tcW w:w="4620" w:type="dxa"/>
            <w:vAlign w:val="bottom"/>
            <w:gridSpan w:val="3"/>
          </w:tcPr>
          <w:p>
            <w:pPr>
              <w:spacing w:after="0" w:line="176" w:lineRule="exact"/>
              <w:rPr>
                <w:sz w:val="20"/>
                <w:szCs w:val="20"/>
                <w:color w:val="auto"/>
              </w:rPr>
            </w:pPr>
            <w:r>
              <w:rPr>
                <w:rFonts w:ascii="Arial" w:cs="Arial" w:eastAsia="Arial" w:hAnsi="Arial"/>
                <w:sz w:val="18"/>
                <w:szCs w:val="18"/>
                <w:color w:val="auto"/>
              </w:rPr>
              <w:t>March 31, 2022</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40,393</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771,490</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348,785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1,358</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350,143</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23,787</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475,593</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9,180</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378,361</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255,518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255,703</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73,049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73,245</w:t>
            </w: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148,418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149,096</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2,376,192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1,662</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75,777</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2,453,631</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46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2021</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41,592</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755,444</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372,797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5,928</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378,725</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7,558</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460,024</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8,232</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387,690</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239,869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850</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240,719</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67,822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68,113</w:t>
            </w: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146,696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146,862</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2,371,284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1,676</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64,617</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2,437,577</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section 4013 of the Coronavirus Aid, Relief, and Economic Security Act (the “CARES Act”), banks may elect to deem that loan modifications do not result in a classification as a TDR if they are (1) related to the COVID-19 pandemic; (2) executed on a loan that was not more than 30 days past due as of December 31, 2020; and (3) executed between March 1, 2020, and the earlier of (A) 60 days after the date of termination of the national emergency or</w:t>
      </w:r>
    </w:p>
    <w:p>
      <w:pPr>
        <w:spacing w:after="0" w:line="2" w:lineRule="exact"/>
        <w:rPr>
          <w:sz w:val="20"/>
          <w:szCs w:val="20"/>
          <w:color w:val="auto"/>
        </w:rPr>
      </w:pPr>
    </w:p>
    <w:p>
      <w:pPr>
        <w:jc w:val="both"/>
        <w:ind w:firstLine="8"/>
        <w:spacing w:after="0" w:line="255" w:lineRule="auto"/>
        <w:tabs>
          <w:tab w:leader="none" w:pos="299"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December 31, 2020. Under section 540 of the Consolidated Appropriations Act, 2021 (the “Act”), section 4013 of the CARES Act was amended to extend the period for loan modifications to the earlier of (1) January 1, 2022, or (2) 60 days after the date of termination of the national emergency. The Company elected to adopt the provisions of the CARES Act and the Act.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other short-term modifications made on a good faith basis in response to the COVID-19 pandemic to borrowers who were current prior to any relief are not TDRs under ASC 310-40 and the interagency statement released by the federal banking regulators on April 7, 2020 in response to the COVID-19 pandemic (the “Joint Interagency Regulatory Guidance”). This includes short-term (e.g., up to six months) modifications such as payment deferrals, fee waivers, extensions of repayment terms, or delays in payment that are insignificant. Borrowers considered current are those that are less than 30 days past due on their contractual payments at the time a modification program is implemented.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COVID-19 pandemic, the Company implemented a short-term deferral modification program that complies with ASC 310-40 and the Joint Interagency Regulatory Guidance. As of March 31, 2022 and December 31, 2021, the Company had no loans under an active modification that comply with ASC 310-40 and the Joint Interagency Regulatory Guidance.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Beginning in April 2020, the Company began offering additional COVID-19 related deferral and modification of principal and/or interest payments to selected borrowers on a case-by-case basis that were outside the scope of the short-term deferral modification program. These additional modifications comply with the provisions of section 4013 of the CARES Act and section 501 of the Act. As of March 31, 2022, the Company had 1 loan totaling approximately $6.0 million subject to these deferral and modification agreements. As of December 31, 2021 the Company had 3 loans totaling approximately $15.9 million subject to these deferral and modification agreements, representing 0.65% of outstanding loans held for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modified as a TDR during the three months ended March 31, 2022 and the year ended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goodwill of $19.5 million at March 31, 2022 and December 31, 2021.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intangible assets, which consist of CDI, customer lists, and employment agreements at the dates indicated are summarized below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Amortized intangible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Core deposit intangible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(2,712)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(2,469)</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Arising from business combinations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(1,287)</w:t>
            </w:r>
          </w:p>
        </w:tc>
      </w:tr>
      <w:tr>
        <w:trPr>
          <w:trHeight w:val="223"/>
        </w:trPr>
        <w:tc>
          <w:tcPr>
            <w:tcW w:w="86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top w:val="single" w:sz="8" w:color="CCEEFF"/>
            </w:tcBorders>
          </w:tcPr>
          <w:p>
            <w:pPr>
              <w:spacing w:after="0"/>
              <w:rPr>
                <w:sz w:val="19"/>
                <w:szCs w:val="19"/>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MORTGAGE SERVICING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3,222</w:t>
            </w: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Ending balance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25,425</w:t>
            </w:r>
          </w:p>
        </w:tc>
        <w:tc>
          <w:tcPr>
            <w:tcW w:w="28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13,558</w:t>
            </w:r>
          </w:p>
        </w:tc>
      </w:tr>
      <w:tr>
        <w:trPr>
          <w:trHeight w:val="20"/>
        </w:trPr>
        <w:tc>
          <w:tcPr>
            <w:tcW w:w="8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March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500" w:type="dxa"/>
            <w:vAlign w:val="bottom"/>
            <w:tcBorders>
              <w:bottom w:val="single" w:sz="8" w:color="CCEEFF"/>
            </w:tcBorders>
            <w:shd w:val="clear" w:color="auto" w:fill="CCEEFF"/>
          </w:tcPr>
          <w:p>
            <w:pPr>
              <w:spacing w:after="0"/>
              <w:rPr>
                <w:sz w:val="19"/>
                <w:szCs w:val="19"/>
                <w:color w:val="auto"/>
              </w:rPr>
            </w:pPr>
          </w:p>
        </w:tc>
        <w:tc>
          <w:tcPr>
            <w:tcW w:w="3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Mortgage loans serviced for others</w:t>
            </w:r>
          </w:p>
        </w:tc>
        <w:tc>
          <w:tcPr>
            <w:tcW w:w="3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2,028,339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1,953,095</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89"/>
              </w:rPr>
              <w:t>Mortgage servicing rights assets as a percentage of serviced mortgage loans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r>
      <w:tr>
        <w:trPr>
          <w:trHeight w:val="569"/>
        </w:trPr>
        <w:tc>
          <w:tcPr>
            <w:tcW w:w="5500" w:type="dxa"/>
            <w:vAlign w:val="bottom"/>
          </w:tcPr>
          <w:p>
            <w:pPr>
              <w:spacing w:after="0"/>
              <w:rPr>
                <w:sz w:val="24"/>
                <w:szCs w:val="24"/>
                <w:color w:val="auto"/>
              </w:rPr>
            </w:pPr>
          </w:p>
        </w:tc>
        <w:tc>
          <w:tcPr>
            <w:tcW w:w="3100" w:type="dxa"/>
            <w:vAlign w:val="bottom"/>
          </w:tcPr>
          <w:p>
            <w:pPr>
              <w:jc w:val="right"/>
              <w:ind w:right="2819"/>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550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key assumptions used in measuring the fair value of the Company's mortgage servicing rights as of the dates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0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constant prepayment rate</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8.48%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8.63%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life in years</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7.49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Subordinated Debt Securities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December 2018, the Company issued $26.5 million in subordinated debt securities. $12.4 million of the subordinated debt securities have a maturity date of December 2028 and a weighted average fixed rate of 5.74% for the first five years. The remaining $14.1 million of subordinated debt securities have a maturity date of December 2030 and a weighted average fixed rate of 6.41% for the first seven years. After the fixed rate periods, the subordinated debt securities issued in December 2018 will float at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prime rate, with a floor of 4.5% and a ceiling of 7.5%. These subordinated debt securities pay interest quarterly, are unsecured, and may be called by the Company at any time after the remaining maturity is five years or less. Additionally, these subordinated debt securities are intended to qualify for Tier 2 capital treatment, subject to regulatory limitations.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29, 2020, the Company issued $50.0 million in subordinated debt securities. Proceeds from the issuance of these subordinated debt securities were reduced by approximately $926 thousand in debt issuance costs. The subordinated debt securities issued in September 2020 have a maturity date of September 2030 with a fixed rate of 4.50% for the first five years. After the expiration of the fixed rate period, the subordinated debt securities will reset quarterly at a variable rate equal to the then current three-month Secured Overnight Financing Rate, as published by the Federal Reserve Bank of New York, plus 438 basis points. These subordinated debt securities pay interest semi-annually, are unsecured, and may be called by the Company at any time after the remaining maturity is five years or less. Additionally, these subordinated debt securities are intended to qualify for Tier 2 capital treatment, subject to regulatory limitations.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2022, the total amount of the Company’s subordinated debt securities outstanding was $76.5 million less approximately $651 thousand of remaining debt issuance costs for a total balance of $75.8 million. As of December 31, 2021, the total amount of subordinated debt securities outstanding was $76.5 million less approximately $697 thousand of remaining debt issuance costs for a total balance of $75.8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Payable and Other Borrowings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2022, and December 31, 2021, City Bank had no outstanding advances from the Federal Home Loan Bank of Dallas (“FHLB”).</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Plan for the period indicated is presented in the table below (dollars in thousands, except per share data):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50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Weighted-Average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Weighted-Average</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Remaining Contractual</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Aggregate</w:t>
            </w:r>
          </w:p>
        </w:tc>
      </w:tr>
      <w:tr>
        <w:trPr>
          <w:trHeight w:val="241"/>
        </w:trPr>
        <w:tc>
          <w:tcPr>
            <w:tcW w:w="1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c>
          <w:tcPr>
            <w:tcW w:w="20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Life in Years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176"/>
        </w:trPr>
        <w:tc>
          <w:tcPr>
            <w:tcW w:w="5080" w:type="dxa"/>
            <w:vAlign w:val="bottom"/>
            <w:gridSpan w:val="3"/>
          </w:tcPr>
          <w:p>
            <w:pPr>
              <w:spacing w:after="0" w:line="176" w:lineRule="exact"/>
              <w:rPr>
                <w:sz w:val="20"/>
                <w:szCs w:val="20"/>
                <w:color w:val="auto"/>
              </w:rPr>
            </w:pPr>
            <w:r>
              <w:rPr>
                <w:rFonts w:ascii="Arial" w:cs="Arial" w:eastAsia="Arial" w:hAnsi="Arial"/>
                <w:sz w:val="18"/>
                <w:szCs w:val="18"/>
                <w:color w:val="auto"/>
              </w:rPr>
              <w:t>Three Months Ended March 31, 2022</w:t>
            </w: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1,602,028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15.42</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17,883</w:t>
            </w:r>
          </w:p>
        </w:tc>
      </w:tr>
      <w:tr>
        <w:trPr>
          <w:trHeight w:val="216"/>
        </w:trPr>
        <w:tc>
          <w:tcPr>
            <w:tcW w:w="5080" w:type="dxa"/>
            <w:vAlign w:val="bottom"/>
            <w:gridSpan w:val="3"/>
          </w:tcPr>
          <w:p>
            <w:pPr>
              <w:ind w:left="14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45,203</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29.40</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18.58</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5080" w:type="dxa"/>
            <w:vAlign w:val="bottom"/>
            <w:gridSpan w:val="3"/>
          </w:tcPr>
          <w:p>
            <w:pPr>
              <w:ind w:left="1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(5,886)</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19.22</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23"/>
        </w:trPr>
        <w:tc>
          <w:tcPr>
            <w:tcW w:w="5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7"/>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1,633,932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17,781</w:t>
            </w:r>
          </w:p>
        </w:tc>
      </w:tr>
      <w:tr>
        <w:trPr>
          <w:trHeight w:val="209"/>
        </w:trPr>
        <w:tc>
          <w:tcPr>
            <w:tcW w:w="10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1,191,915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14,941</w:t>
            </w:r>
          </w:p>
        </w:tc>
      </w:tr>
      <w:tr>
        <w:trPr>
          <w:trHeight w:val="209"/>
        </w:trPr>
        <w:tc>
          <w:tcPr>
            <w:tcW w:w="10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1,191,915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22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14,941</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assumptions used to calculate the fair values of the awards granted during the periods noted is presented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ThreeMonths Ended</w:t>
            </w:r>
          </w:p>
        </w:tc>
      </w:tr>
      <w:tr>
        <w:trPr>
          <w:trHeight w:val="241"/>
        </w:trPr>
        <w:tc>
          <w:tcPr>
            <w:tcW w:w="7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left="1170"/>
              <w:spacing w:after="0"/>
              <w:rPr>
                <w:sz w:val="20"/>
                <w:szCs w:val="20"/>
                <w:color w:val="auto"/>
              </w:rPr>
            </w:pPr>
            <w:r>
              <w:rPr>
                <w:rFonts w:ascii="Arial" w:cs="Arial" w:eastAsia="Arial" w:hAnsi="Arial"/>
                <w:sz w:val="18"/>
                <w:szCs w:val="18"/>
                <w:b w:val="1"/>
                <w:bCs w:val="1"/>
                <w:color w:val="auto"/>
                <w:w w:val="93"/>
              </w:rPr>
              <w:t>March 31,</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7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 to 40.29%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41.20% to 41.32%</w:t>
            </w:r>
          </w:p>
        </w:tc>
        <w:tc>
          <w:tcPr>
            <w:tcW w:w="20" w:type="dxa"/>
            <w:vAlign w:val="bottom"/>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4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 to 6.3</w:t>
            </w: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to 6.2</w:t>
            </w:r>
          </w:p>
        </w:tc>
        <w:tc>
          <w:tcPr>
            <w:tcW w:w="20" w:type="dxa"/>
            <w:vAlign w:val="bottom"/>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1.56% to 1.95%</w:t>
            </w:r>
          </w:p>
        </w:tc>
        <w:tc>
          <w:tcPr>
            <w:tcW w:w="4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0.52% to 0.83%</w:t>
            </w:r>
          </w:p>
        </w:tc>
        <w:tc>
          <w:tcPr>
            <w:tcW w:w="2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c>
          <w:tcPr>
            <w:tcW w:w="48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intrinsic value of options exercised during the three months ended March 31, 2022 and March 31, 2021 was $74 thousand and $9 thousand,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Awards and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Plan for the period indicated is presented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2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41"/>
        </w:trPr>
        <w:tc>
          <w:tcPr>
            <w:tcW w:w="27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175"/>
        </w:trPr>
        <w:tc>
          <w:tcPr>
            <w:tcW w:w="8400" w:type="dxa"/>
            <w:vAlign w:val="bottom"/>
            <w:gridSpan w:val="2"/>
          </w:tcPr>
          <w:p>
            <w:pPr>
              <w:spacing w:after="0" w:line="176" w:lineRule="exact"/>
              <w:rPr>
                <w:sz w:val="20"/>
                <w:szCs w:val="20"/>
                <w:color w:val="auto"/>
              </w:rPr>
            </w:pPr>
            <w:r>
              <w:rPr>
                <w:rFonts w:ascii="Arial" w:cs="Arial" w:eastAsia="Arial" w:hAnsi="Arial"/>
                <w:sz w:val="18"/>
                <w:szCs w:val="18"/>
                <w:color w:val="auto"/>
              </w:rPr>
              <w:t>Three Months Ended March 31, 2022</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720" w:type="dxa"/>
            <w:vAlign w:val="bottom"/>
            <w:tcBorders>
              <w:top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r>
      <w:tr>
        <w:trPr>
          <w:trHeight w:val="216"/>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73,359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28.85</w:t>
            </w:r>
          </w:p>
        </w:tc>
      </w:tr>
      <w:tr>
        <w:trPr>
          <w:trHeight w:val="216"/>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(23,930)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r>
      <w:tr>
        <w:trPr>
          <w:trHeight w:val="223"/>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(2,888)</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28.03</w:t>
            </w:r>
          </w:p>
        </w:tc>
      </w:tr>
      <w:tr>
        <w:trPr>
          <w:trHeight w:val="216"/>
        </w:trPr>
        <w:tc>
          <w:tcPr>
            <w:tcW w:w="272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Balance, March 31, 2022</w:t>
            </w:r>
          </w:p>
        </w:tc>
        <w:tc>
          <w:tcPr>
            <w:tcW w:w="1120" w:type="dxa"/>
            <w:vAlign w:val="bottom"/>
          </w:tcPr>
          <w:p>
            <w:pPr>
              <w:jc w:val="right"/>
              <w:spacing w:after="0"/>
              <w:rPr>
                <w:sz w:val="20"/>
                <w:szCs w:val="20"/>
                <w:color w:val="auto"/>
              </w:rPr>
            </w:pPr>
            <w:r>
              <w:rPr>
                <w:rFonts w:ascii="Arial" w:cs="Arial" w:eastAsia="Arial" w:hAnsi="Arial"/>
                <w:sz w:val="18"/>
                <w:szCs w:val="18"/>
                <w:color w:val="auto"/>
              </w:rPr>
              <w:t>89,308</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26.87</w:t>
            </w:r>
          </w:p>
        </w:tc>
      </w:tr>
      <w:tr>
        <w:trPr>
          <w:trHeight w:val="20"/>
        </w:trPr>
        <w:tc>
          <w:tcPr>
            <w:tcW w:w="2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stock units granted under the Plan typically vest from one to four years, but vesting periods may vary. Compensation expense for these grants will be recognized over the vesting period of the awards based on the fair value of the stock at the issue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unrecognized compensation cost for the awards outstanding under the Plan at March 31, 2022 was $4.6 million and will be recognized over a weighted average remaining period of 1.72 years. The total fair value of restricted stock units vested during each of the three months ended March 31, 2022 and March 31, 2021 was $464 and $489 thousand,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OFF-BALANCE-SHEET ACTIVITIES, COMMITMENTS AND CONTINGENCIES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Financial instruments with off-balance-sheet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is a party to financial instruments with off-balance-sheet risk in the normal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whose contract amounts represent credit risk outstanding at the dates indicated follow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542,338</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13,208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12,418</w:t>
            </w:r>
          </w:p>
        </w:tc>
      </w:tr>
    </w:tbl>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ectPr>
          <w:pgSz w:w="11900" w:h="16838" w:orient="portrait"/>
          <w:cols w:equalWidth="0" w:num="1">
            <w:col w:w="11240"/>
          </w:cols>
          <w:pgMar w:left="320" w:top="114" w:right="339" w:bottom="24"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u w:val="single" w:color="auto"/>
          <w:color w:val="auto"/>
        </w:rPr>
        <w:t>Litigation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 In July 2020, a vendor claimed that City Bank had breached a contract by failing to timely pay amounts allegedly due and owing. City Bank</w:t>
      </w:r>
      <w:r>
        <w:rPr>
          <w:rFonts w:ascii="Arial" w:cs="Arial" w:eastAsia="Arial" w:hAnsi="Arial"/>
          <w:sz w:val="16"/>
          <w:szCs w:val="16"/>
          <w:i w:val="1"/>
          <w:iCs w:val="1"/>
          <w:color w:val="auto"/>
        </w:rPr>
        <w:t xml:space="preserve"> </w:t>
      </w:r>
      <w:r>
        <w:rPr>
          <w:rFonts w:ascii="Arial" w:cs="Arial" w:eastAsia="Arial" w:hAnsi="Arial"/>
          <w:sz w:val="16"/>
          <w:szCs w:val="16"/>
          <w:color w:val="auto"/>
        </w:rPr>
        <w:t>vigorously rejected any such non-payment contentions and filed suit against the vendor. With the lawsuit, City Bank sought, among other claims and relief, an injunction against the vendor. After an evidentiary hearing, the court entered a temporary injunction against the vendor expressly prohibiting it from, among other things, terminating the contract pending trial. Based upon discovery in the lawsuit, City Bank also filed a breach of contract claim against the vendor alleging that the vendor violated City Bank’s contractual exclusivity rights. The vendor has filed counterclaims, including for declaratory relief that the contracts should be declared unenforceable. In October 2021, the vendor filed a counterclaim alleging that City Bank’s attempted enforcement of its exclusivity rights contravenes the Texas Free Enterprise and Antitrust Act. The vendor purports to seek actual damages, to treble such actual damages, attorney's fees and expenses. The case remains ongoing and trial is set for October 2022. City Bank intends to continue a vigorous pursuit of its claims against the vendor. In addition, City Bank pursues a number of substantive factual and legal challenges to the vendor’s counterclaims and believes the counterclaims are without merit. At this time, the ultimate outcome is unknown and an estimated range of any loss cannot be made.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 defendant in legal actions arising from time to time in the normal course of business. Management believes that the ultimate liability, if any, arising from these matters will not materially affect the combined financial statements, based on information known as of the date of the combined financial statements.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FHLB Letters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may use FHLB letters of credit to pledge to certain public deposits. There were no FHLB letters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at March 31, 2022 or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AND REGULATORY MATTERS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the Federal Reserve published final rules for the adoption of the Basel III regulatory capital framework (“Basel III”). Basel III, among other things, (i) introduced a new capital measure called Common Equity Tier 1 (“CET1”), (ii) specified that Tier 1 capital consists of CET1 and Additional Tier 1 Capital instruments meeting specified requirements, (iii) defined CET1 narrowly by requiring that most deductions/adjustments to regulatory capital measures be made to CET1 and not to the other components of capital and (iv) expanded the scope of the deductions/adjustments as compared to existing regulations. Basel III became effective for the Company and its bank subsidiary on January 1, 2016 with certain transition provisions fully phased-in on January 1, 2019.</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March 31, 2022 and December 31, 2021, that the Company and its bank subsidiary met all capital adequacy requirements to which they are subject.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2022, the bank subsidiary was well capitalized under the regulatory framework for prompt corrective action. To be categorized as well capitalized, an institution must maintain minimum total risk-based, Tier 1 risk-based and Tier 1 leverage ratios as set forth in the following tables. There are no conditions or events since March 31, 2022 that management believes have changed the bank subsidiary’s category.</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222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9980" w:type="dxa"/>
            <w:vAlign w:val="bottom"/>
            <w:gridSpan w:val="18"/>
          </w:tcPr>
          <w:p>
            <w:pPr>
              <w:spacing w:after="0"/>
              <w:rPr>
                <w:sz w:val="20"/>
                <w:szCs w:val="20"/>
                <w:color w:val="auto"/>
              </w:rPr>
            </w:pPr>
            <w:r>
              <w:rPr>
                <w:rFonts w:ascii="Arial" w:cs="Arial" w:eastAsia="Arial" w:hAnsi="Arial"/>
                <w:sz w:val="18"/>
                <w:szCs w:val="18"/>
                <w:color w:val="auto"/>
                <w:w w:val="99"/>
              </w:rPr>
              <w:t>The Company and its bank subsidiary’s actual capital amounts and ratios at the dates indicated follows (dollars in thousands):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Minimum Required</w:t>
            </w:r>
          </w:p>
        </w:tc>
        <w:tc>
          <w:tcPr>
            <w:tcW w:w="160" w:type="dxa"/>
            <w:vAlign w:val="bottom"/>
          </w:tcPr>
          <w:p>
            <w:pPr>
              <w:spacing w:after="0"/>
              <w:rPr>
                <w:sz w:val="24"/>
                <w:szCs w:val="24"/>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To Be Well Capitalized</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9"/>
              </w:rPr>
              <w:t>Under BASEL III</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Under Prompt Corrective</w:t>
            </w:r>
          </w:p>
        </w:tc>
      </w:tr>
      <w:tr>
        <w:trPr>
          <w:trHeight w:val="241"/>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Fully Phased-In</w:t>
            </w:r>
          </w:p>
        </w:tc>
        <w:tc>
          <w:tcPr>
            <w:tcW w:w="160" w:type="dxa"/>
            <w:vAlign w:val="bottom"/>
          </w:tcPr>
          <w:p>
            <w:pPr>
              <w:spacing w:after="0"/>
              <w:rPr>
                <w:sz w:val="20"/>
                <w:szCs w:val="20"/>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Action Provisions</w:t>
            </w:r>
          </w:p>
        </w:tc>
      </w:tr>
      <w:tr>
        <w:trPr>
          <w:trHeight w:val="223"/>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r>
      <w:tr>
        <w:trPr>
          <w:trHeight w:val="175"/>
        </w:trPr>
        <w:tc>
          <w:tcPr>
            <w:tcW w:w="11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91"/>
              </w:rPr>
              <w:t>March 31, 2022</w:t>
            </w:r>
          </w:p>
        </w:tc>
        <w:tc>
          <w:tcPr>
            <w:tcW w:w="2080" w:type="dxa"/>
            <w:vAlign w:val="bottom"/>
            <w:gridSpan w:val="2"/>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3240" w:type="dxa"/>
            <w:vAlign w:val="bottom"/>
            <w:gridSpan w:val="4"/>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535,998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308,961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431,140</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14.66%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308,882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294,173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423,358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250,111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394,331</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250,047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235,338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3240" w:type="dxa"/>
            <w:vAlign w:val="bottom"/>
            <w:gridSpan w:val="4"/>
          </w:tcPr>
          <w:p>
            <w:pPr>
              <w:spacing w:after="0" w:line="201" w:lineRule="exact"/>
              <w:rPr>
                <w:sz w:val="20"/>
                <w:szCs w:val="20"/>
                <w:color w:val="auto"/>
              </w:rPr>
            </w:pPr>
            <w:r>
              <w:rPr>
                <w:rFonts w:ascii="Arial" w:cs="Arial" w:eastAsia="Arial" w:hAnsi="Arial"/>
                <w:sz w:val="18"/>
                <w:szCs w:val="18"/>
                <w:color w:val="auto"/>
              </w:rPr>
              <w:t>Common Equity Tier 1 to Risk Weighted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gridSpan w:val="4"/>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378,358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205,974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394,331</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205,921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191,212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423,358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158,049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394,331</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157,958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196,196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3240" w:type="dxa"/>
            <w:vAlign w:val="bottom"/>
            <w:gridSpan w:val="4"/>
          </w:tcPr>
          <w:p>
            <w:pPr>
              <w:spacing w:after="0" w:line="176" w:lineRule="exact"/>
              <w:rPr>
                <w:sz w:val="20"/>
                <w:szCs w:val="20"/>
                <w:color w:val="auto"/>
              </w:rPr>
            </w:pPr>
            <w:r>
              <w:rPr>
                <w:rFonts w:ascii="Arial" w:cs="Arial" w:eastAsia="Arial" w:hAnsi="Arial"/>
                <w:sz w:val="18"/>
                <w:szCs w:val="18"/>
                <w:color w:val="auto"/>
              </w:rPr>
              <w:t>December 31, 2021</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524,836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299,521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425,748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299,465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285,205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413,322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242,469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390,015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242,424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228,164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2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to Risk Weighted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368,322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12.91%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199,681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390,015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199,644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185,383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413,322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154,592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390,015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154,503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191,859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 of the interest rate swaps do not represent amounts exchanged by the parties. The amount exchanged is determined by reference to the notional amounts and the other terms of the individual interest rate swap agreements.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changes in fair value hedges included in the Consolidated Statements of Comprehensive Income (Loss) as of the periods indicated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35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Rate Contracts</w:t>
            </w:r>
          </w:p>
        </w:tc>
        <w:tc>
          <w:tcPr>
            <w:tcW w:w="5060" w:type="dxa"/>
            <w:vAlign w:val="bottom"/>
            <w:tcBorders>
              <w:bottom w:val="single" w:sz="8" w:color="auto"/>
            </w:tcBorders>
          </w:tcPr>
          <w:p>
            <w:pPr>
              <w:ind w:left="258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 - fair value hedges</w:t>
            </w:r>
          </w:p>
        </w:tc>
        <w:tc>
          <w:tcPr>
            <w:tcW w:w="5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Fair value hedge ineffectiveness</w:t>
            </w:r>
          </w:p>
        </w:tc>
        <w:tc>
          <w:tcPr>
            <w:tcW w:w="5060" w:type="dxa"/>
            <w:vAlign w:val="bottom"/>
          </w:tcPr>
          <w:p>
            <w:pPr>
              <w:ind w:left="780"/>
              <w:spacing w:after="0"/>
              <w:rPr>
                <w:sz w:val="20"/>
                <w:szCs w:val="20"/>
                <w:color w:val="auto"/>
              </w:rPr>
            </w:pPr>
            <w:r>
              <w:rPr>
                <w:rFonts w:ascii="Arial" w:cs="Arial" w:eastAsia="Arial" w:hAnsi="Arial"/>
                <w:sz w:val="18"/>
                <w:szCs w:val="18"/>
                <w:color w:val="auto"/>
              </w:rPr>
              <w:t>Other noninterest expense</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fair value hedges included in the Consolidated Balance Sheets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Interest rate swaps related to state and municipal securities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8,650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Interest rate swaps related to state and municipal securities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123,760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12,435</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123,760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5,686</w:t>
            </w:r>
          </w:p>
        </w:tc>
      </w:tr>
    </w:tbl>
    <w:p>
      <w:pPr>
        <w:sectPr>
          <w:pgSz w:w="11900" w:h="16838" w:orient="portrait"/>
          <w:cols w:equalWidth="0" w:num="1">
            <w:col w:w="11240"/>
          </w:cols>
          <w:pgMar w:left="320" w:top="114" w:right="339" w:bottom="0" w:gutter="0" w:footer="0" w:header="0"/>
        </w:sectPr>
      </w:pPr>
    </w:p>
    <w:bookmarkStart w:id="23" w:name="page24"/>
    <w:bookmarkEnd w:id="23"/>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banking derivatives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gains (losses) relating to free standing derivative instruments used for risk management are summarized below as of the periods indicated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42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1"/>
              </w:rPr>
              <w:t>Forward contracts related to mortgage loans held for sale</w:t>
            </w:r>
          </w:p>
        </w:tc>
        <w:tc>
          <w:tcPr>
            <w:tcW w:w="4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gain (loss) on sales of loans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Interest rate lock commitments</w:t>
            </w:r>
          </w:p>
        </w:tc>
        <w:tc>
          <w:tcPr>
            <w:tcW w:w="4360" w:type="dxa"/>
            <w:vAlign w:val="bottom"/>
          </w:tcPr>
          <w:p>
            <w:pPr>
              <w:ind w:left="80"/>
              <w:spacing w:after="0"/>
              <w:rPr>
                <w:sz w:val="20"/>
                <w:szCs w:val="20"/>
                <w:color w:val="auto"/>
              </w:rPr>
            </w:pPr>
            <w:r>
              <w:rPr>
                <w:rFonts w:ascii="Arial" w:cs="Arial" w:eastAsia="Arial" w:hAnsi="Arial"/>
                <w:sz w:val="18"/>
                <w:szCs w:val="18"/>
                <w:color w:val="auto"/>
              </w:rPr>
              <w:t>Net gain (loss) on sales of loans</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amount and fair value of mortgage banking derivatives in the Consolidated Balance Sheets at the dates indicated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 contracts related to mortgage loans held for sale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Interest rate lock commitments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96,387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2,699</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104,437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Total included in other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96,387</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104,437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Forward contracts related to mortgage loans held for sale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83,384</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93,120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23"/>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lock commitments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included in other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83,384</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had received cash collateral of $12.3 million to offset asset derivative positions on its interest rate swaps at March 31, 2022. This amount is reported in other liabilities in the consolidated balance sheets. The Company had advanced $1.1 million to offset liability derivative positions on its interest rate swaps at March 31, 2022. Additionally, the Company had advanced $440 thousand on its mortgage forward contracts at March 31, 2022. The advanced cash collateral amounts are reported in cash and due from banks in the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factors used in the earnings per share computation for the periods indicated follow (dollars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47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15,160</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17,716,136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18,069,186</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awards</w:t>
            </w:r>
          </w:p>
        </w:tc>
        <w:tc>
          <w:tcPr>
            <w:tcW w:w="3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676,261</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3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18,392,397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18,511,120</w:t>
            </w:r>
          </w:p>
        </w:tc>
        <w:tc>
          <w:tcPr>
            <w:tcW w:w="100" w:type="dxa"/>
            <w:vAlign w:val="bottom"/>
          </w:tcPr>
          <w:p>
            <w:pPr>
              <w:spacing w:after="0"/>
              <w:rPr>
                <w:sz w:val="18"/>
                <w:szCs w:val="18"/>
                <w:color w:val="auto"/>
              </w:rPr>
            </w:pPr>
          </w:p>
        </w:tc>
      </w:tr>
      <w:tr>
        <w:trPr>
          <w:trHeight w:val="21"/>
        </w:trPr>
        <w:tc>
          <w:tcPr>
            <w:tcW w:w="47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41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1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r>
      <w:tr>
        <w:trPr>
          <w:trHeight w:val="569"/>
        </w:trPr>
        <w:tc>
          <w:tcPr>
            <w:tcW w:w="4780" w:type="dxa"/>
            <w:vAlign w:val="bottom"/>
          </w:tcPr>
          <w:p>
            <w:pPr>
              <w:spacing w:after="0"/>
              <w:rPr>
                <w:sz w:val="24"/>
                <w:szCs w:val="24"/>
                <w:color w:val="auto"/>
              </w:rPr>
            </w:pPr>
          </w:p>
        </w:tc>
        <w:tc>
          <w:tcPr>
            <w:tcW w:w="3900" w:type="dxa"/>
            <w:vAlign w:val="bottom"/>
          </w:tcPr>
          <w:p>
            <w:pPr>
              <w:jc w:val="right"/>
              <w:ind w:right="2896"/>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78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by reportable segment as of the periods indicated are detailed below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Three Months Ended March 31, 2022</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2720" w:type="dxa"/>
            <w:vAlign w:val="bottom"/>
            <w:tcBorders>
              <w:top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23,697</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(36,255)</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(1,669)</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(37,924)</w:t>
            </w:r>
          </w:p>
        </w:tc>
      </w:tr>
      <w:tr>
        <w:trPr>
          <w:trHeight w:val="216"/>
        </w:trPr>
        <w:tc>
          <w:tcPr>
            <w:tcW w:w="27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17,960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17,805</w:t>
            </w:r>
          </w:p>
        </w:tc>
      </w:tr>
      <w:tr>
        <w:trPr>
          <w:trHeight w:val="216"/>
        </w:trPr>
        <w:tc>
          <w:tcPr>
            <w:tcW w:w="27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(3,559)</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(3,527)</w:t>
            </w:r>
          </w:p>
        </w:tc>
      </w:tr>
      <w:tr>
        <w:trPr>
          <w:trHeight w:val="216"/>
        </w:trPr>
        <w:tc>
          <w:tcPr>
            <w:tcW w:w="27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14,401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14,278</w:t>
            </w:r>
          </w:p>
        </w:tc>
      </w:tr>
      <w:tr>
        <w:trPr>
          <w:trHeight w:val="21"/>
        </w:trPr>
        <w:tc>
          <w:tcPr>
            <w:tcW w:w="2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Three Months Ended March 31, 2021</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8"/>
        </w:trPr>
        <w:tc>
          <w:tcPr>
            <w:tcW w:w="2720" w:type="dxa"/>
            <w:vAlign w:val="bottom"/>
            <w:tcBorders>
              <w:top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26,500</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(35,955)</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(1,102)</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(37,057)</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18,917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(3,741)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15,176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15,160</w:t>
            </w:r>
          </w:p>
        </w:tc>
        <w:tc>
          <w:tcPr>
            <w:tcW w:w="0" w:type="dxa"/>
            <w:vAlign w:val="bottom"/>
          </w:tcPr>
          <w:p>
            <w:pPr>
              <w:spacing w:after="0"/>
              <w:rPr>
                <w:sz w:val="1"/>
                <w:szCs w:val="1"/>
                <w:color w:val="auto"/>
              </w:rPr>
            </w:pPr>
          </w:p>
        </w:tc>
      </w:tr>
      <w:tr>
        <w:trPr>
          <w:trHeight w:val="21"/>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FAIR VALUE DISCLOSURES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185" w:lineRule="exact"/>
        <w:rPr>
          <w:sz w:val="20"/>
          <w:szCs w:val="20"/>
          <w:color w:val="auto"/>
        </w:rPr>
      </w:pPr>
    </w:p>
    <w:p>
      <w:pPr>
        <w:ind w:left="860" w:right="20" w:hanging="488"/>
        <w:spacing w:after="0" w:line="258"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 the ability to access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1" w:lineRule="exact"/>
        <w:rPr>
          <w:rFonts w:ascii="Arial" w:cs="Arial" w:eastAsia="Arial" w:hAnsi="Arial"/>
          <w:sz w:val="18"/>
          <w:szCs w:val="18"/>
          <w:color w:val="auto"/>
        </w:rPr>
      </w:pPr>
    </w:p>
    <w:p>
      <w:pPr>
        <w:jc w:val="both"/>
        <w:ind w:left="860" w:hanging="488"/>
        <w:spacing w:after="0" w:line="281"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2" w:lineRule="exact"/>
        <w:rPr>
          <w:rFonts w:ascii="Arial" w:cs="Arial" w:eastAsia="Arial" w:hAnsi="Arial"/>
          <w:sz w:val="16"/>
          <w:szCs w:val="16"/>
          <w:color w:val="auto"/>
        </w:rPr>
      </w:pPr>
    </w:p>
    <w:p>
      <w:pPr>
        <w:ind w:left="860" w:hanging="488"/>
        <w:spacing w:after="0" w:line="260"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Significant unobservable inputs for determining the fair values of assets or liabilities that reflect an entity’s own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assumptions that market participants would use in pricing the assets or liabilities.</w:t>
      </w:r>
    </w:p>
    <w:p>
      <w:pPr>
        <w:sectPr>
          <w:pgSz w:w="11900" w:h="16838" w:orient="portrait"/>
          <w:cols w:equalWidth="0" w:num="1">
            <w:col w:w="11240"/>
          </w:cols>
          <w:pgMar w:left="320" w:top="121"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6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700" w:type="dxa"/>
            <w:vAlign w:val="bottom"/>
            <w:gridSpan w:val="10"/>
          </w:tcPr>
          <w:p>
            <w:pPr>
              <w:ind w:left="380"/>
              <w:spacing w:after="0"/>
              <w:rPr>
                <w:sz w:val="20"/>
                <w:szCs w:val="20"/>
                <w:color w:val="auto"/>
              </w:rPr>
            </w:pPr>
            <w:r>
              <w:rPr>
                <w:rFonts w:ascii="Arial" w:cs="Arial" w:eastAsia="Arial" w:hAnsi="Arial"/>
                <w:sz w:val="18"/>
                <w:szCs w:val="18"/>
                <w:color w:val="auto"/>
              </w:rPr>
              <w:t>The following table summarizes fair value measurements at the dates indicated (dollars in thousands):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5"/>
        </w:trPr>
        <w:tc>
          <w:tcPr>
            <w:tcW w:w="11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91"/>
              </w:rPr>
              <w:t>March 31, 2022</w:t>
            </w:r>
          </w:p>
        </w:tc>
        <w:tc>
          <w:tcPr>
            <w:tcW w:w="4820" w:type="dxa"/>
            <w:vAlign w:val="bottom"/>
            <w:gridSpan w:val="2"/>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980" w:type="dxa"/>
            <w:vAlign w:val="bottom"/>
            <w:gridSpan w:val="4"/>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4"/>
          </w:tcPr>
          <w:p>
            <w:pPr>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253,008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253,008</w:t>
            </w: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398,433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398,433</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105,019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105,019</w:t>
            </w: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24,535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24,535</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Other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12,409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12,409</w:t>
            </w: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22,323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22,323</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Mortgage servicing rights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25,425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25,425</w:t>
            </w: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15,202</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Liability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(1,238)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(1,238)</w:t>
            </w: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6,815</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59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December 31, 2021</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U.S. government and agencies</w:t>
            </w:r>
          </w:p>
        </w:tc>
        <w:tc>
          <w:tcPr>
            <w:tcW w:w="900" w:type="dxa"/>
            <w:vAlign w:val="bottom"/>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State and municipal</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275,672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275,672</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303,089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303,089</w:t>
            </w: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106,320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106,320</w:t>
            </w:r>
          </w:p>
        </w:tc>
      </w:tr>
      <w:tr>
        <w:trPr>
          <w:trHeight w:val="216"/>
        </w:trPr>
        <w:tc>
          <w:tcPr>
            <w:tcW w:w="5980" w:type="dxa"/>
            <w:vAlign w:val="bottom"/>
            <w:gridSpan w:val="4"/>
          </w:tcPr>
          <w:p>
            <w:pPr>
              <w:ind w:left="14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26,936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26,936</w:t>
            </w:r>
          </w:p>
        </w:tc>
      </w:tr>
      <w:tr>
        <w:trPr>
          <w:trHeight w:val="216"/>
        </w:trPr>
        <w:tc>
          <w:tcPr>
            <w:tcW w:w="59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12,487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12,487</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47,593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47,593</w:t>
            </w: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19,700</w:t>
            </w: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color w:val="auto"/>
              </w:rPr>
              <w:t>Asset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7,328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7,328</w:t>
            </w: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gridSpan w:val="4"/>
          </w:tcPr>
          <w:p>
            <w:pPr>
              <w:spacing w:after="0"/>
              <w:rPr>
                <w:sz w:val="20"/>
                <w:szCs w:val="20"/>
                <w:color w:val="auto"/>
              </w:rPr>
            </w:pPr>
            <w:r>
              <w:rPr>
                <w:rFonts w:ascii="Arial" w:cs="Arial" w:eastAsia="Arial" w:hAnsi="Arial"/>
                <w:sz w:val="18"/>
                <w:szCs w:val="18"/>
                <w:color w:val="auto"/>
              </w:rPr>
              <w:t>Impaired loans</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6,427</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6,427</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held for sale (mandatory)</w:t>
      </w:r>
      <w:r>
        <w:rPr>
          <w:rFonts w:ascii="Arial" w:cs="Arial" w:eastAsia="Arial" w:hAnsi="Arial"/>
          <w:sz w:val="18"/>
          <w:szCs w:val="18"/>
          <w:color w:val="auto"/>
        </w:rPr>
        <w:t xml:space="preserve"> – Loans held for sale originated for mandatory delivery are reported at fair value. Fair value is determined using quoted prices for similar assets, adjusted for specific attributes of that loan.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Mortgage servicing rights</w:t>
      </w:r>
      <w:r>
        <w:rPr>
          <w:rFonts w:ascii="Arial" w:cs="Arial" w:eastAsia="Arial" w:hAnsi="Arial"/>
          <w:sz w:val="18"/>
          <w:szCs w:val="18"/>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and discount rates, which are significant unobservable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xml:space="preserve"> – Fair value of derivatives is based on valuation models using observable market data as of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Impaired loans</w:t>
      </w:r>
      <w:r>
        <w:rPr>
          <w:rFonts w:ascii="Arial" w:cs="Arial" w:eastAsia="Arial" w:hAnsi="Arial"/>
          <w:sz w:val="18"/>
          <w:szCs w:val="18"/>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quantitative information about recurring and non-recurring Level 3 fair value measurements at the dates indicated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Range of</w:t>
            </w: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4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5"/>
              </w:rPr>
              <w:t>Techniques</w:t>
            </w:r>
          </w:p>
        </w:tc>
        <w:tc>
          <w:tcPr>
            <w:tcW w:w="10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Discounts</w:t>
            </w:r>
          </w:p>
        </w:tc>
      </w:tr>
      <w:tr>
        <w:trPr>
          <w:trHeight w:val="176"/>
        </w:trPr>
        <w:tc>
          <w:tcPr>
            <w:tcW w:w="11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1"/>
              </w:rPr>
              <w:t>March 31, 2022</w:t>
            </w:r>
          </w:p>
        </w:tc>
        <w:tc>
          <w:tcPr>
            <w:tcW w:w="122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6"/>
        </w:trPr>
        <w:tc>
          <w:tcPr>
            <w:tcW w:w="2380" w:type="dxa"/>
            <w:vAlign w:val="bottom"/>
            <w:gridSpan w:val="3"/>
          </w:tcPr>
          <w:p>
            <w:pPr>
              <w:spacing w:after="0"/>
              <w:rPr>
                <w:sz w:val="20"/>
                <w:szCs w:val="20"/>
                <w:color w:val="auto"/>
              </w:rPr>
            </w:pPr>
            <w:r>
              <w:rPr>
                <w:rFonts w:ascii="Arial" w:cs="Arial" w:eastAsia="Arial" w:hAnsi="Arial"/>
                <w:sz w:val="18"/>
                <w:szCs w:val="18"/>
                <w:color w:val="auto"/>
              </w:rPr>
              <w:t>Non-recurring:</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6,815</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20%-100%</w:t>
            </w:r>
          </w:p>
        </w:tc>
      </w:t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Recurring:</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25,425</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Conditional prepayment rate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8.48%</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rPr>
              <w:t>Discount rate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8.63%</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23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2021</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Non-recurring:</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Impaired loans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6,427</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20%-100%</w:t>
            </w: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Recurring:</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Mortgage servicing rights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19,700</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Discounted cash flows</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rPr>
              <w:t>Conditional prepayment rate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12.35%</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Discount rate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and related carrying amounts, of the Company’s financial instruments that are not previously disclosed in the recurring fair value section are as follows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391"/>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March 31, 2022</w:t>
            </w:r>
          </w:p>
        </w:tc>
        <w:tc>
          <w:tcPr>
            <w:tcW w:w="3460" w:type="dxa"/>
            <w:vAlign w:val="bottom"/>
            <w:gridSpan w:val="2"/>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620" w:type="dxa"/>
            <w:vAlign w:val="bottom"/>
            <w:gridSpan w:val="3"/>
          </w:tcPr>
          <w:p>
            <w:pPr>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528,612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528,612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528,612</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2,413,982</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2,413,792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2,413,792</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7,276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7,454</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10,512</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10,512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10,512</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3,450,157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3,450,510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3,450,510</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952</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33,850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33,850</w:t>
            </w:r>
          </w:p>
        </w:tc>
      </w:tr>
      <w:tr>
        <w:trPr>
          <w:trHeight w:val="230"/>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75,821</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79,562</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79,562</w:t>
            </w:r>
          </w:p>
        </w:tc>
      </w:tr>
      <w:tr>
        <w:trPr>
          <w:trHeight w:val="399"/>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392"/>
        </w:trPr>
        <w:tc>
          <w:tcPr>
            <w:tcW w:w="4620" w:type="dxa"/>
            <w:vAlign w:val="bottom"/>
            <w:gridSpan w:val="3"/>
          </w:tcPr>
          <w:p>
            <w:pPr>
              <w:spacing w:after="0"/>
              <w:rPr>
                <w:sz w:val="20"/>
                <w:szCs w:val="20"/>
                <w:color w:val="auto"/>
              </w:rPr>
            </w:pPr>
            <w:r>
              <w:rPr>
                <w:rFonts w:ascii="Arial" w:cs="Arial" w:eastAsia="Arial" w:hAnsi="Arial"/>
                <w:sz w:val="18"/>
                <w:szCs w:val="18"/>
                <w:color w:val="auto"/>
              </w:rPr>
              <w:t>December 31, 2021</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Financial assets:</w:t>
            </w: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486,821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486,821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486,821</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2,395,479</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2,397,079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2,397,079</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28,914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29,500</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13,900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13,900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13,900</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3,341,222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3,004,091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339,797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3,343,888</w:t>
            </w: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26,550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26,550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26,550</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r>
      <w:tr>
        <w:trPr>
          <w:trHeight w:val="216"/>
        </w:trPr>
        <w:tc>
          <w:tcPr>
            <w:tcW w:w="4620" w:type="dxa"/>
            <w:vAlign w:val="bottom"/>
            <w:gridSpan w:val="3"/>
          </w:tcPr>
          <w:p>
            <w:pPr>
              <w:ind w:left="14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45,690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45,690</w:t>
            </w:r>
          </w:p>
        </w:tc>
      </w:tr>
      <w:tr>
        <w:trPr>
          <w:trHeight w:val="216"/>
        </w:trPr>
        <w:tc>
          <w:tcPr>
            <w:tcW w:w="4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75,775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77,939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77,939</w:t>
            </w:r>
          </w:p>
        </w:tc>
      </w:tr>
      <w:tr>
        <w:trPr>
          <w:trHeight w:val="353"/>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21, 2022, the Company declared a cash dividend of $0.11 per share of common stock to be paid on May 16, 2022 to all shareholders of record as of May 2, 2022.</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The following discussion and analysis is intended to assist readers in understanding our financial condition as of and results of operations for the period covered by this Quarterly Report on Form 10-Q (this “Form 10-Q”) and should be read in conjunction with our consolidated financial statements and the accompanying notes thereto included in this Form 10-Q and in our Annual Report on Form 10-K for the year ended December 31, 2021 (the “2021 Annual Report on Form 10-K”) filed with the Securities and Exchange Commission (the “SEC”) pursuant to Rule 424(b) of the Securities Act of 1933, as amended (the “Securities Act”), on March 8, 2022.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autionary Notice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70" w:lineRule="exact"/>
        <w:rPr>
          <w:sz w:val="20"/>
          <w:szCs w:val="20"/>
          <w:color w:val="auto"/>
        </w:rPr>
      </w:pPr>
    </w:p>
    <w:p>
      <w:pPr>
        <w:ind w:left="980" w:hanging="324"/>
        <w:spacing w:after="0" w:line="25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execute our expansion strategy and manage our growth, including identifying and consummating suitable acquisitions;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our market areas, as well as the concentration of our business in such market areas;</w:t>
      </w:r>
    </w:p>
    <w:p>
      <w:pPr>
        <w:jc w:val="both"/>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duration and severity of the ongoing COVID-19 pandemic, or any current or future variants thereof, and the response of governmental authorities to the COVID-19 pandemic and our participation in COVID-19-related government programs such as the Paycheck Protection Program (the “PPP”) administered by the Small Business Administration (the “SBA”) and created under the Coronavirus Aid, Relief, and Economic Security Act (the “CARES Act”);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9" w:lineRule="exact"/>
        <w:rPr>
          <w:rFonts w:ascii="Arial" w:cs="Arial" w:eastAsia="Arial" w:hAnsi="Arial"/>
          <w:sz w:val="18"/>
          <w:szCs w:val="18"/>
          <w:color w:val="auto"/>
        </w:rPr>
      </w:pPr>
    </w:p>
    <w:p>
      <w:pPr>
        <w:ind w:left="980" w:hanging="324"/>
        <w:spacing w:after="0" w:line="265"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associated with our commercial loan portfolio, including the uncertain economic consequences of the ongoing COVID-19 pandemic, or any current or future variants thereof, or any deterioration in value of the general business assets that secure such loans;</w:t>
      </w: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potential changes in the prices, values and sales volumes of commercial and residential real estate securing our real estate loans;</w:t>
      </w:r>
    </w:p>
    <w:p>
      <w:pPr>
        <w:spacing w:after="0" w:line="20" w:lineRule="exact"/>
        <w:rPr>
          <w:rFonts w:ascii="Arial" w:cs="Arial" w:eastAsia="Arial" w:hAnsi="Arial"/>
          <w:sz w:val="17"/>
          <w:szCs w:val="17"/>
          <w:color w:val="auto"/>
        </w:rPr>
      </w:pPr>
    </w:p>
    <w:p>
      <w:pPr>
        <w:ind w:left="980" w:right="2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the sale of crop insurance products, including termination of or substantial changes to the federal crop insurance program;</w:t>
      </w: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related to the significant amount of credit that we have extended to a limited number of borrowers and in a limited geographic area;</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impairment on the goodwill we have recorded or may record in connection with business acquisitions;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 for loan losses;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ectPr>
          <w:pgSz w:w="11900" w:h="16838" w:orient="portrait"/>
          <w:cols w:equalWidth="0" w:num="1">
            <w:col w:w="11240"/>
          </w:cols>
          <w:pgMar w:left="320" w:top="121"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we may experience when implementing new technologies;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error, fraudulent activity by employees or customers and inaccurate or incomplete information about our customers and counterparties;</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severe weather, acts of god, acts of war or terrorism, outbreaks of hostilities, public health outbreaks (such as the ongoing COVID-19 pandemic), other international or domestic calamities, and other matters beyond our control;</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Wall Street Reform and Consumer Protection Act, the Economic Growth, Regulatory Relief, and Consumer Protection Act (“EGRRCPA”), and others relating to banking, consumer protection, securities and tax matters; and</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policies of the Board of Governors of the Federal Reserve System (“Federal Reserve”) and as a result of initiatives of the Biden administration.</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Form 10-Q and the risk factors set forth in our 2021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maintains an Internet web site at </w:t>
      </w:r>
      <w:r>
        <w:rPr>
          <w:rFonts w:ascii="Arial" w:cs="Arial" w:eastAsia="Arial" w:hAnsi="Arial"/>
          <w:sz w:val="18"/>
          <w:szCs w:val="18"/>
          <w:i w:val="1"/>
          <w:iCs w:val="1"/>
          <w:u w:val="single" w:color="auto"/>
          <w:color w:val="auto"/>
        </w:rPr>
        <w:t>www.spfi.bank</w:t>
      </w:r>
      <w:r>
        <w:rPr>
          <w:rFonts w:ascii="Arial" w:cs="Arial" w:eastAsia="Arial" w:hAnsi="Arial"/>
          <w:sz w:val="18"/>
          <w:szCs w:val="18"/>
          <w:color w:val="auto"/>
        </w:rPr>
        <w:t xml:space="preserve">. The Company makes available, free of charge, on its web site (under </w:t>
      </w:r>
      <w:r>
        <w:rPr>
          <w:rFonts w:ascii="Arial" w:cs="Arial" w:eastAsia="Arial" w:hAnsi="Arial"/>
          <w:sz w:val="18"/>
          <w:szCs w:val="18"/>
          <w:i w:val="1"/>
          <w:iCs w:val="1"/>
          <w:u w:val="single" w:color="auto"/>
          <w:color w:val="auto"/>
        </w:rPr>
        <w:t>www.spfi.bank/financials-filings/sec-filings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Company’s annual reports on Form 10-K, quarterly reports on Form 10-Q, current reports on Form 8-K,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Arial" w:cs="Arial" w:eastAsia="Arial" w:hAnsi="Arial"/>
          <w:sz w:val="18"/>
          <w:szCs w:val="18"/>
          <w:i w:val="1"/>
          <w:iCs w:val="1"/>
          <w:u w:val="single" w:color="auto"/>
          <w:color w:val="auto"/>
        </w:rPr>
        <w:t>www.spfi.bank/corporate-governance/documents-charters</w:t>
      </w:r>
      <w:r>
        <w:rPr>
          <w:rFonts w:ascii="Arial" w:cs="Arial" w:eastAsia="Arial" w:hAnsi="Arial"/>
          <w:sz w:val="18"/>
          <w:szCs w:val="18"/>
          <w:i w:val="1"/>
          <w:iCs w:val="1"/>
          <w:color w:val="auto"/>
        </w:rPr>
        <w:t xml:space="preserve"> </w:t>
      </w:r>
      <w:r>
        <w:rPr>
          <w:rFonts w:ascii="Arial" w:cs="Arial" w:eastAsia="Arial" w:hAnsi="Arial"/>
          <w:sz w:val="18"/>
          <w:szCs w:val="18"/>
          <w:color w:val="auto"/>
        </w:rPr>
        <w:t>) links to the Company’s Code of Conduct and the charters for its board committees.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 that contains reports, proxy and information statements, and other information regarding issuers that file electronically with the SEC.</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routinely posts important information for investors on its web site (under </w:t>
      </w:r>
      <w:r>
        <w:rPr>
          <w:rFonts w:ascii="Arial" w:cs="Arial" w:eastAsia="Arial" w:hAnsi="Arial"/>
          <w:sz w:val="17"/>
          <w:szCs w:val="17"/>
          <w:i w:val="1"/>
          <w:iCs w:val="1"/>
          <w:u w:val="single" w:color="auto"/>
          <w:color w:val="auto"/>
        </w:rPr>
        <w:t>www.spfi.bank</w:t>
      </w:r>
      <w:r>
        <w:rPr>
          <w:rFonts w:ascii="Arial" w:cs="Arial" w:eastAsia="Arial" w:hAnsi="Arial"/>
          <w:sz w:val="17"/>
          <w:szCs w:val="17"/>
          <w:color w:val="auto"/>
        </w:rPr>
        <w:t xml:space="preserve"> and, more specifically, under the News &amp; Events tab at </w:t>
      </w:r>
      <w:r>
        <w:rPr>
          <w:rFonts w:ascii="Arial" w:cs="Arial" w:eastAsia="Arial" w:hAnsi="Arial"/>
          <w:sz w:val="17"/>
          <w:szCs w:val="17"/>
          <w:i w:val="1"/>
          <w:iCs w:val="1"/>
          <w:u w:val="single" w:color="auto"/>
          <w:color w:val="auto"/>
        </w:rPr>
        <w:t>www.spfi.bank/news-events/press-releases</w:t>
      </w:r>
      <w:r>
        <w:rPr>
          <w:rFonts w:ascii="Arial" w:cs="Arial" w:eastAsia="Arial" w:hAnsi="Arial"/>
          <w:sz w:val="17"/>
          <w:szCs w:val="17"/>
          <w:color w:val="auto"/>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contained on, or that may be accessed through, the Company’s web site is not incorporated by reference into, and is not a part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 Update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ongoing COVID-19 pandemic continues to cause significant disruptions in the U.S. economy. At this time, we cannot predict the impact or how long the economy or our impacted clients will be disrupted by the ongoing COVID-19 pandemic and any current or future variants of COVID-19, which could depend on numerous factors, including vaccination rates among the population, the effectiveness of COVID-19 vaccines against variants, and the response by governmental bodies and regulators. We are closely monitoring the current environment, and are preparing to quickly make any necessary adjustments to protect our employees and customers.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also continues to utilize a rigorous enterprise risk management (“ERM”) system that delivers a systematic approach to risk measurement and enhances the effectiveness of risk management across the Bank. The Bank’s ERM system has allowed management to consistently and aggressively review the Bank’s loan portfolio for signs of potential issues during the ongoing COVID-19 pandemic and the Bank continues to closely monitoring its loans to borrowers in the retail, hospitality and energy sectors.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Throughout the COVID-19 pandemic, the Bank has been proactive with its borrowers in those sectors most affected by the COVID-19 pandemic and has offered loan modifications to borrowers who are or may be unable to meet their contractual payment obligations because of the effects of COVID-19. As part of the Bank’s efforts to support its customers and protect the Bank, the Bank offered varying forms of loan modifications including 90-day payment deferrals, 6-month interest only terms, or in certain select cases periods of longer than 6 months of interest only, to provide borrowers relief. As of March 31, 2022, total active loan modifications attributed to COVID-19 were approximately $6.0 million. All active modifications are loans modified for either interest only periods longer than 6 months, primarily in the Bank’s hotel portfolio. The Bank expects that these remaining loans on deferral will return to full payment status at the end of their respective deferral period.</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Paycheck Protection Program (“PPP”) was created by the Coronavirus Aid, Relief, and Economic Security Act (the “CARES Act”) and implemented by the U.S. Small Business Administration (the “SBA”) in March 2020. The PPP allowed entities to apply for a 1.00% interest rate loan with payments generally deferred until the date the lender receives the applicable forgiveness amount from the SBA. The PPP loans may be partially or fully forgiven by the SBA if the entity meets certain conditions. The maturity term for any principal portion left unforgiven is either 2 or 5 years from the funding date, depending on when the PPP loan was originated. For PPP loans that the SBA approved on or after June 5, 2020, the loan must have a maturity of at least 5 years. All PPP loans are fully guaranteed by the SBA and are included in total loans outstanding. The Economic Aid Act, signed into law on December 27, 2020, authorized an additional $284.5 billion in new PPP loan funding and extended the authority of lenders to make PPP loans through March 31, 2021. The PPP Extension Act of 2021 was subsequently signed into law on March 30, 2021 and extended the PPP application deadline to May 31, 2021.</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assisted approximately 2,100 customers for a total of $218 million in the first round of PPP. There has been approximately $217 million in PPP loan forgiveness by the SBA and loan repayments by customers, leaving approximately $1 million outstanding as of March 31, 2022. The Bank began accepting new applications for PPP loans in January 2021 to assist customers with the new round of the PPP until funding for the PPP expired on May 31, 2021. The Bank funded approximately 1,100 PPP loans for a total of $91 million in the second round of PPP. As of March 31, 2022, the SBA has forgiven approximately $64 million of PPP loans from the second round.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currently unable to fully assess or predict the extent of the effects of the COVID-19 pandemic, or any current or future variant of COVID-19, on our operations as the ultimate impact will depend on factors that are currently unknown and/or beyond our control. Please refer to Part II, Item 1A, “Risk Factors” in this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net income of $14.3 million, or $0.78 per diluted common share, for the three months ended March 31, 2022, compared to net income of $15.2 million, or $0.82 per diluted common share for the three months ended March 31, 2021. Return on average equity was 14.58% and return on average assets was 1.47% for the three months ended March 31, 2022, compared to 16.51% and 1.66%, respectively, for the three months ended March 31, 2021. The decrease in net income of $0.9 million was primarily the result of a decrease of $2.8 million in noninterest income, partially offset by a decrease of $2.2 million in provision for loan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ectPr>
          <w:pgSz w:w="11900" w:h="16838" w:orient="portrait"/>
          <w:cols w:equalWidth="0" w:num="1">
            <w:col w:w="11240"/>
          </w:cols>
          <w:pgMar w:left="320" w:top="121" w:right="3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Three Months Ended March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Loans, excluding PPP</w:t>
            </w:r>
            <w:r>
              <w:rPr>
                <w:rFonts w:ascii="Arial" w:cs="Arial" w:eastAsia="Arial" w:hAnsi="Arial"/>
                <w:sz w:val="25"/>
                <w:szCs w:val="25"/>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2,447,009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28,624</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2,163,114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35,594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179,498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2,998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545,994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218,321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1,448</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216,695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1,481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Other interest-earning assets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330,233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3,689,067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3,435,534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33,294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262,178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269,612</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3,951,245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3,705,146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NOW, savings and money market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00"/>
              <w:spacing w:after="0"/>
              <w:rPr>
                <w:sz w:val="20"/>
                <w:szCs w:val="20"/>
                <w:color w:val="auto"/>
              </w:rPr>
            </w:pPr>
            <w:r>
              <w:rPr>
                <w:rFonts w:ascii="Arial" w:cs="Arial" w:eastAsia="Arial" w:hAnsi="Arial"/>
                <w:sz w:val="18"/>
                <w:szCs w:val="18"/>
                <w:color w:val="auto"/>
              </w:rPr>
              <w:t>deposits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1,937,764</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1,807,963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1,104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324,381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25,022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Notes payable &amp; other longer-term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74,444</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75,798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1,012</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75,635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1,019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Junior subordinated deferrable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debentures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2,399,063</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2,353,838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935,345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50,843</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43,604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1,154,934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397,248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372,359</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Total liabilities and stockholders’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3,951,245</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3,705,146</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30,252</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29,856</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3.14%</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interest margin is calculated as the annualized net interest income, on a fully tax-equivalent basis, divided by average interest-earning assets.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 sets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9"/>
          </w:tcPr>
          <w:p>
            <w:pPr>
              <w:jc w:val="right"/>
              <w:ind w:right="7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3"/>
              </w:rPr>
              <w:t>2022 over 2021</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8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excluding PPP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interest-earning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(894)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Savings, MMDAs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interest income for the three months ended March 31, 2022 was $29.9 million, compared to $29.5 million for the three months ended March 31, 2021, an increase of $0.4 million, or 1.4%. The increase in net interest income was mainly comprised of the $0.3 million, or 8.9%, decrease in interest expense. While interest income was consistent, there was a change in the amount of interest income from PPP loans and non-PPP loans. Interest income on non-PPP loans grew $2.3 million and was primarily attributable to a $283.9 million increase in average non-PPP loan balances, partially offset by a 19 basis point decrease in interest rates for the three months ended March 31, 2022, compared to the three months ended March 31, 2021. The increase in non-PPP loan balances was due to organic loan growth throughout the portfolio. Interest income on PPP loans and the related SBA fees declined $2.2 million as the average PPP loan balance decreased $143.9 million for the three months ended March 31, 2022, compared to the same period in 2021. These fees are deferred and then accreted into interest income over the life of the applicable loans. During the three months ended March 31, 2022, the Company had $88 thousand in interest income on PPP loans and recognized $667 thousand in PPP related SBA fees. At March 31, 2022, there was $1.3 million of deferred fees that have not been accreted to income. The Company expects that the remaining outstanding PPP loans will continue to be forgiven by the SBA over the next several quarters.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$0.3 million decrease in interest expense for the three months ended March 31, 2022 was primarily related to a 6 basis point decrease in the rate paid on interest-bearing liabilities, partially offset by an increase of $45.2 million, or 1.9%, in average interest-bearing liabilities over the same period in 2021. The increase in average interest-bearing liabilities from March 31, 2021 to March 31, 2022 was largely due to growth in deposits from PPP loan funding, other government stimulus payments and programs, and organic growth. Additionally, the decrease in the rate paid on interest-bearing liabilities was the result of repricing a portion of public fund deposits during 2021. Additionally, average noninterest-bearing demand deposits increased to $1.10 billion at March 31, 2022 from $935.3 million at March 31, 2021.</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March 31, 2022, net interest margin and net interest spread were 3.33% and 3.14%, respectively, compared to 3.52% and 3.34%, respectively, for the same period in 2021, which reflects the changes in interest income and interest expense discussed above.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provision for loan losses for the three months ended March 31, 2022 was $(2.1) million, compared to $0.1 million for the three months ended March 31, 2021. The decrease in the provision for loan losses in the first quarter of 2022 compared to the same quarter in 2021 is primarily due improving credit metrics in the loan portfolio, specifically in the hotel segment, direct energy segment, and other Permian Basin-related credits and a decline in the amount of loans that are actively under a COVID-19 pandemic-related modification. The allowance for loan losses as a percentage of loans held for investment was 1.62% at March 31, 2022 and 1.73% at December 31, 2021. Further discussion of the allowance for loan losses is noted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major components of our noninterest income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b w:val="1"/>
                <w:bCs w:val="1"/>
                <w:color w:val="auto"/>
                <w:w w:val="8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Mortgage banking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18,816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Fiduciary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Other income and fees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23,697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income and fees includes the increase in the cash surrender value of life insurance, safe deposit box rental, check printing, collections, wire transfer and other miscellaneous services.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Noninterest income for the three months ended March 31, 2022 was $23.7 million, compared to $26.5 million for the three months ended March 31, 2021, a decrease of $2.8 million, or 10.6%. Income from mortgage banking activities decreased $5.2 million, or 27.5%, to $13.6 million for the three months ended March 31, 2022 from $18.8 million for the three months ended March 31, 2021. The decrease in mortgage banking activities was primarily due to a decrease of $201.0 million, or 46.1%, in mortgage loan originations for the three months ended March 31, 2022 compared to the same period for 2021. We experienced record volume in mortgage originations during 2020 and 2021, as the industry benefitted from historic low levels of interest rates. Refinance activity also played a key role in this decrease, which has begun to taper off and return to more historic levels. The decrease in mortgage loan originations was partially offset by a positive $4.5 million fair value adjustment to our mortgage servicing rights portfolio due to increased pricing for these assets as mortgage interest rates continue to rise. The decrease in mortgage banking activities was partially offset by increased income during the first quarter of 2022 from an investment in a Small Business Investment Company (“SBIC”) of $869 thousand, growth in bank card services and interchange fees, and income from insurance activities.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major components of our noninterest expense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b w:val="1"/>
                <w:bCs w:val="1"/>
                <w:color w:val="auto"/>
                <w:w w:val="8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22,703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Occupancy expense,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Bankcard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line="216" w:lineRule="exact"/>
              <w:rPr>
                <w:sz w:val="20"/>
                <w:szCs w:val="20"/>
                <w:color w:val="auto"/>
              </w:rPr>
            </w:pPr>
            <w:r>
              <w:rPr>
                <w:rFonts w:ascii="Arial" w:cs="Arial" w:eastAsia="Arial" w:hAnsi="Arial"/>
                <w:sz w:val="16"/>
                <w:szCs w:val="16"/>
                <w:color w:val="auto"/>
              </w:rPr>
              <w:t>Other expenses</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4,249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Other expenses include items such as telephone expenses, postage, courier fees, directors’ fees, and insurance.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Noninterest expense for the three months ended March 31, 2022 was $37.9 million compared to $37.1 million for the three months ended March 31, 2021, an increase of $0.9 million, or 2.3%. Salaries and employee benefits decreased $1.6 million, or 6.6%, from $24.3 million for the three months ended March 31, 2021 to $22.7 million for the three months ended March 31, 2022. This decrease in salaries and employee benefits expense for the first quarter of 2022 compared to the first quarter of 2021 was primarily driven by decreased commissions of $2.4 million paid on the lower volume of mortgage loan origination, partially offset by a rise in salary expense due to higher costs for new hires in commercial lending and as a part of the data analytics and cloud projects, stock-based compensation and annual salary adjustments. Other noninterest expenses increased $1.0 million for the three months ended March 31, 2022, compared to the same period in 2021. This increase was primarily due to a loss on disposal of assets of $362 thousand in the first quarter of 2022. Professional services expenses increased $1.1 million for the three months ended March 31, 2022, compared to the same period in 2021. This increase was primarily due to a $712 thousand increase in legal fees largely as a result of the vendor dispute legal proceedings. See Part II, Item 1, “Legal Proceedings,” of this Form 10-Q for further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assets increased $97.9 million, or 2.5%, to $4.00 billion at March 31, 2022, compared to $3.90 billion at December 31, 2021. Our gross loans held for investment increased $16.1 million, or 0.7%, to $2.45 billion at March 31, 2022, compared to $2.44 billion at December 31, 2021. Our securities portfolio increased $68.9 million, or 9.5%, to $793.4 million at March 31, 2022, compared to $724.5 million at December 31, 2021. Total deposits increased $108.9 million, or 3.3%, to $3.45 billion at March 31, 2022, compared to $3.34 billion at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held for investment increased $16.1 million, or 0.7%, to $2.45 billion at March 31, 2022, compared to $2.44 billion at December 31, 2021. This increase in our loans was primarily the result of organic net loan growth of $27.9 million, partially offset by a decrease due to SBA forgiveness and repayments of $11.8 million in PPP loans during the first quarter of 2022. The organic loan growth remained relationship-focused and occurred primarily in land development and construction loans, restaurant and retail loans, and consumer loans.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contractual maturities of our loans held for investment portfolio at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3"/>
              </w:rPr>
              <w:t>Due after One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Due after Five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Due in</w:t>
            </w:r>
          </w:p>
        </w:tc>
        <w:tc>
          <w:tcPr>
            <w:tcW w:w="120" w:type="dxa"/>
            <w:vAlign w:val="bottom"/>
          </w:tcPr>
          <w:p>
            <w:pPr>
              <w:spacing w:after="0"/>
              <w:rPr>
                <w:sz w:val="18"/>
                <w:szCs w:val="18"/>
                <w:color w:val="auto"/>
              </w:rPr>
            </w:pPr>
          </w:p>
        </w:tc>
        <w:tc>
          <w:tcPr>
            <w:tcW w:w="126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Years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One Year or</w:t>
            </w:r>
          </w:p>
        </w:tc>
        <w:tc>
          <w:tcPr>
            <w:tcW w:w="120" w:type="dxa"/>
            <w:vAlign w:val="bottom"/>
          </w:tcPr>
          <w:p>
            <w:pPr>
              <w:spacing w:after="0"/>
              <w:rPr>
                <w:sz w:val="18"/>
                <w:szCs w:val="18"/>
                <w:color w:val="auto"/>
              </w:rPr>
            </w:pPr>
          </w:p>
        </w:tc>
        <w:tc>
          <w:tcPr>
            <w:tcW w:w="12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Through</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Through</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Due 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2"/>
              </w:rPr>
              <w:t>Less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Five Years</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Fifteen Years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Fifteen 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3"/>
              </w:rPr>
              <w:t>(Dollars in thousands)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94,337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356,260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208,530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771,490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79,831</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114,648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109,574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46,090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350,143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63,573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166,555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143,158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102,307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475,593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61,662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69,771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206,217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378,361</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146,767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106,688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255,703</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41,947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26,321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73,245</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133,870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4,322</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9,936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149,096</w:t>
            </w:r>
          </w:p>
        </w:tc>
      </w:tr>
      <w:tr>
        <w:trPr>
          <w:trHeight w:val="25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419,547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892,161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665,010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476,913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2,453,631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571"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71"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distribution between fixed and adjustable interest rate loans for maturities greater than one year as of March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Fixed</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Adjustable</w:t>
            </w:r>
          </w:p>
        </w:tc>
      </w:t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6"/>
              </w:rPr>
              <w:t>(Dollars in thousands)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402,704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66,451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203,861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259,002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158,755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253,455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14,359</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995,208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1,038,876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March 31, 2022, there is $1.24 billion in adjustable rate loans, with $648.7 million of these loans that mature or reprice in the next twelve months. Of these loans that mature or reprice in the next twelve months, $426.1 million will reprice immediately upon changes in the underlying index rate, with the remaining $222.6 million being subject to floors above the current index or a future repricing date.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prime rate is the predominate index used by the Bank.</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Bank is primarily involved in real estate, commercial, agricultural and consumer lending activities with customers throughout Texas and Eastern New Mexico. We have a collateral concentration, as 67.8% of our loans were secured by real property as of March 31, 2022, compared to 69.4% as of December 31, 2021.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37.2% of loans held for investment as of March 31, 2022 and represented 36.7% of loans held for investment as of December 31, 2021. Further, these loans are geographically diversified, primarily throughout the State of Texas as well as Eastern New Mexico.</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Commercial Real Estate</w:t>
      </w:r>
      <w:r>
        <w:rPr>
          <w:rFonts w:ascii="Arial" w:cs="Arial" w:eastAsia="Arial" w:hAnsi="Arial"/>
          <w:sz w:val="16"/>
          <w:szCs w:val="16"/>
          <w:color w:val="auto"/>
        </w:rPr>
        <w:t>. Our commercial real estate portfolio includes loans for commercial property that is owned by real estate investors,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real estate loans increased $16.0 million, or 2.1%, to $771.5 million as of March 31, 2022 from $755.4 million as of December 31, 2021. The increase was primarily driven by an increase of $14.3 million in residential land development loans and an increase in commercial land development loans of $6.6 million, partially offset with a decrease of $5.6 million retail loans.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Commercial – General and Specialized</w:t>
      </w:r>
      <w:r>
        <w:rPr>
          <w:rFonts w:ascii="Arial" w:cs="Arial" w:eastAsia="Arial" w:hAnsi="Arial"/>
          <w:sz w:val="17"/>
          <w:szCs w:val="17"/>
          <w:color w:val="auto"/>
        </w:rPr>
        <w:t>. Commercial loans are underwritten after evaluating and understanding the borrower’s ability to operate profitably.</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general loans increased $15.6 million, or 3.4%, to $475.6 million as of March 31, 2022 from $460.0 million as of December 31, 2021. The increase in commercial general loans was primarily due to a $19.2 million of organic loan growth in restaurant and retail loans and a $4.1 million increase in construction loans, partially offset by a decrease in PPP loans of $11.8 million during the period.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specialized loans decreased $28.6 million, or 7.5%, to $350.1 million as of March 31, 2022 from $378.7 million as of December 31, 2021. This decrease was primarily due to net repayments of $35.5 million in seasonal agricultural production loans, partially offset by organic loan growth of $8.7 million in finance/investment loans. A credit of approximately $46 million, in the energy sector, is expected to be paid off during the second quarter of 2022 as it moves to a non-bank structure.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Consumer</w:t>
      </w:r>
      <w:r>
        <w:rPr>
          <w:rFonts w:ascii="Arial" w:cs="Arial" w:eastAsia="Arial" w:hAnsi="Arial"/>
          <w:sz w:val="17"/>
          <w:szCs w:val="17"/>
          <w:color w:val="auto"/>
        </w:rPr>
        <w:t>. We utilize a computer-based credit scoring analysis to supplement our policies and procedures in underwriting consumer loans. Our loan policy</w:t>
      </w:r>
      <w:r>
        <w:rPr>
          <w:rFonts w:ascii="Arial" w:cs="Arial" w:eastAsia="Arial" w:hAnsi="Arial"/>
          <w:sz w:val="17"/>
          <w:szCs w:val="17"/>
          <w:i w:val="1"/>
          <w:iCs w:val="1"/>
          <w:color w:val="auto"/>
        </w:rPr>
        <w:t xml:space="preserve"> </w:t>
      </w:r>
      <w:r>
        <w:rPr>
          <w:rFonts w:ascii="Arial" w:cs="Arial" w:eastAsia="Arial" w:hAnsi="Arial"/>
          <w:sz w:val="17"/>
          <w:szCs w:val="17"/>
          <w:color w:val="auto"/>
        </w:rPr>
        <w:t>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Consumer and other loans increased $10.8 million, or 1.5%, to $707.3 million as of March 31, 2022 from $696.5 million as of December 31, 2021. The increase in these loans was primarily a result of a $15.0 million increase in auto loans as a result of increased auto buyer demand. As of March 31, 2022, our consumer loan portfolio was comprised of $378.4 million in 1-4 family residential loans, $255.7 million in auto loans, and $73.2 million in other consumer loans.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Construction</w:t>
      </w:r>
      <w:r>
        <w:rPr>
          <w:rFonts w:ascii="Arial" w:cs="Arial" w:eastAsia="Arial" w:hAnsi="Arial"/>
          <w:sz w:val="17"/>
          <w:szCs w:val="17"/>
          <w:color w:val="auto"/>
        </w:rPr>
        <w:t>. Loans for residential construction are for single-family properties to developers, builders, or end-users. These loans are underwritten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loans increased $2.2 million, or 1.5%, to $149.1 million as of March 31, 2022 from $146.9 million as of December 31, 2021. The increase resulted from continued higher demand for residential construction as a result of home shortages in many of our markets.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212529"/>
        </w:rPr>
        <w:t>Paycheck Protection Program</w:t>
      </w:r>
      <w:r>
        <w:rPr>
          <w:rFonts w:ascii="Arial" w:cs="Arial" w:eastAsia="Arial" w:hAnsi="Arial"/>
          <w:sz w:val="17"/>
          <w:szCs w:val="17"/>
          <w:color w:val="212529"/>
        </w:rPr>
        <w:t>. In April 2020, we began originating loans to qualified small businesses under the PPP administered by the SBA under the</w:t>
      </w:r>
      <w:r>
        <w:rPr>
          <w:rFonts w:ascii="Arial" w:cs="Arial" w:eastAsia="Arial" w:hAnsi="Arial"/>
          <w:sz w:val="17"/>
          <w:szCs w:val="17"/>
          <w:i w:val="1"/>
          <w:iCs w:val="1"/>
          <w:color w:val="212529"/>
        </w:rPr>
        <w:t xml:space="preserve"> </w:t>
      </w:r>
      <w:r>
        <w:rPr>
          <w:rFonts w:ascii="Arial" w:cs="Arial" w:eastAsia="Arial" w:hAnsi="Arial"/>
          <w:sz w:val="17"/>
          <w:szCs w:val="17"/>
          <w:color w:val="212529"/>
        </w:rPr>
        <w:t>provisions of the CARES Act. Loans covered by the PPP may be eligible for loan forgiveness for certain costs incurred related to payroll, group health care benefit costs and qualifying mortgage, rent and utility payments. The remaining loan balance after forgiveness of any amounts is still fully guaranteed by the SBA. Terms of the PPP loans include the following (i) maximum amount limited to the lesser of $10 million or an amount calculated using a payroll-based formula, (ii) maximum loan term of five years, (iii) interest rate of 1.00%, (iv) no collateral or personal guarantees are required, (v) no payments are required for six months following the loan disbursement date and (vi) loan forgiveness up to the full principal amount of the loan and any accrued interest, subject to certain requirements including that no more than 25% of the loan forgiveness amount may be attributable to non-payroll costs. In return for processing and booking the loan, the SBA paid the lender a processing fee tiered by the size of the loan (5% for loans of not more than $350 thousand; 3% for loans more than $350 thousand and less than $2 million; and 1% for loans of at least $2 million). At March 31, 2022, outstanding PPP loans totaled approximately $28.4 million and are included in commercial general loans.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color w:val="auto"/>
              </w:rPr>
              <w:t>The following table summarizes commitments we have made as of the dates presented.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(Dollars in thousands)</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542,338</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13,208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12,418</w:t>
            </w:r>
          </w:p>
        </w:tc>
      </w:tr>
      <w:tr>
        <w:trPr>
          <w:trHeight w:val="257"/>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634,079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554,756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assessed by regulatory examinations and the Company’s internal and external loan reviews.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determine the adequacy of the allowance for loan losses,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 thousand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was $39.6 million at March 31, 2022, compared to $42.1 million at December 31, 2021, a decrease of $2.4 million, or 5.8%. The decrease is primarily the result of a negative provision of $2.1 million being recorded in March 2022 based on improving credit metrics in the loan portfolio, specifically in the hotel segment, direct energy segment, and other Permian Basin-related credits, and a decline in the amount of loans actively under a modification.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r>
              <w:rPr>
                <w:rFonts w:ascii="Arial" w:cs="Arial" w:eastAsia="Arial" w:hAnsi="Arial"/>
                <w:sz w:val="18"/>
                <w:szCs w:val="18"/>
                <w:color w:val="auto"/>
                <w:w w:val="97"/>
              </w:rPr>
              <w:t>The following table provides an analysis of the allowance for loan losses and other data at the dates indicated.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March 31,</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540" w:type="dxa"/>
            <w:vAlign w:val="bottom"/>
            <w:vMerge w:val="restart"/>
          </w:tcPr>
          <w:p>
            <w:pPr>
              <w:spacing w:after="0"/>
              <w:rPr>
                <w:sz w:val="20"/>
                <w:szCs w:val="20"/>
                <w:color w:val="auto"/>
              </w:rPr>
            </w:pPr>
            <w:r>
              <w:rPr>
                <w:rFonts w:ascii="Arial" w:cs="Arial" w:eastAsia="Arial" w:hAnsi="Arial"/>
                <w:sz w:val="18"/>
                <w:szCs w:val="18"/>
                <w:color w:val="auto"/>
              </w:rPr>
              <w:t>Average loans outstanding during period</w:t>
            </w:r>
            <w:r>
              <w:rPr>
                <w:rFonts w:ascii="Arial" w:cs="Arial" w:eastAsia="Arial" w:hAnsi="Arial"/>
                <w:sz w:val="29"/>
                <w:szCs w:val="29"/>
                <w:color w:val="auto"/>
                <w:vertAlign w:val="superscript"/>
              </w:rPr>
              <w:t>(1)</w:t>
            </w:r>
          </w:p>
        </w:tc>
        <w:tc>
          <w:tcPr>
            <w:tcW w:w="120" w:type="dxa"/>
            <w:vAlign w:val="bottom"/>
          </w:tcPr>
          <w:p>
            <w:pPr>
              <w:spacing w:after="0"/>
              <w:rPr>
                <w:sz w:val="20"/>
                <w:szCs w:val="20"/>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(Dollars in thousands)</w:t>
            </w:r>
          </w:p>
        </w:tc>
        <w:tc>
          <w:tcPr>
            <w:tcW w:w="0" w:type="dxa"/>
            <w:vAlign w:val="bottom"/>
          </w:tcPr>
          <w:p>
            <w:pPr>
              <w:spacing w:after="0"/>
              <w:rPr>
                <w:sz w:val="1"/>
                <w:szCs w:val="1"/>
                <w:color w:val="auto"/>
              </w:rPr>
            </w:pPr>
          </w:p>
        </w:tc>
      </w:tr>
      <w:tr>
        <w:trPr>
          <w:trHeight w:val="198"/>
        </w:trPr>
        <w:tc>
          <w:tcPr>
            <w:tcW w:w="8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705,516</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354,119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336,754</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490,945</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374,609</w:t>
            </w:r>
          </w:p>
        </w:tc>
        <w:tc>
          <w:tcPr>
            <w:tcW w:w="0" w:type="dxa"/>
            <w:vAlign w:val="bottom"/>
          </w:tcPr>
          <w:p>
            <w:pPr>
              <w:spacing w:after="0"/>
              <w:rPr>
                <w:sz w:val="1"/>
                <w:szCs w:val="1"/>
                <w:color w:val="auto"/>
              </w:rPr>
            </w:pPr>
          </w:p>
        </w:tc>
      </w:tr>
      <w:tr>
        <w:trPr>
          <w:trHeight w:val="216"/>
        </w:trPr>
        <w:tc>
          <w:tcPr>
            <w:tcW w:w="8540" w:type="dxa"/>
            <w:vAlign w:val="bottom"/>
          </w:tcPr>
          <w:p>
            <w:pPr>
              <w:ind w:left="3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244,097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227,301</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79,044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68,106</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144,928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124,840</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48,913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92,130</w:t>
            </w:r>
          </w:p>
        </w:tc>
        <w:tc>
          <w:tcPr>
            <w:tcW w:w="0" w:type="dxa"/>
            <w:vAlign w:val="bottom"/>
          </w:tcPr>
          <w:p>
            <w:pPr>
              <w:spacing w:after="0"/>
              <w:rPr>
                <w:sz w:val="1"/>
                <w:szCs w:val="1"/>
                <w:color w:val="auto"/>
              </w:rPr>
            </w:pPr>
          </w:p>
        </w:tc>
      </w:tr>
      <w:tr>
        <w:trPr>
          <w:trHeight w:val="27"/>
        </w:trPr>
        <w:tc>
          <w:tcPr>
            <w:tcW w:w="85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Total average loans outstanding during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2,482,603</w:t>
            </w: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2,420,201</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Net charge-offs during the period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540" w:type="dxa"/>
            <w:vAlign w:val="bottom"/>
          </w:tcPr>
          <w:p>
            <w:pPr>
              <w:ind w:left="3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3"/>
        </w:trPr>
        <w:tc>
          <w:tcPr>
            <w:tcW w:w="8540" w:type="dxa"/>
            <w:vAlign w:val="bottom"/>
          </w:tcPr>
          <w:p>
            <w:pPr>
              <w:ind w:left="34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6"/>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charge-offs during the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loans held for investment outstanding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2,453,631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2,437,577</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Nonaccrual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9,548</w:t>
            </w: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9,518</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39,649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42,098</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Ratio of allowance to total loans held for investment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Ratio of allowance to nonaccrual loans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415.26%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442.30%</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Ratio of nonaccrual loans to total loans held for investment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Ratio of net charge-offs to average loans during the period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 specialized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Commercial – general</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ind w:left="340"/>
              <w:spacing w:after="0"/>
              <w:rPr>
                <w:sz w:val="20"/>
                <w:szCs w:val="20"/>
                <w:color w:val="auto"/>
              </w:rPr>
            </w:pPr>
            <w:r>
              <w:rPr>
                <w:rFonts w:ascii="Arial" w:cs="Arial" w:eastAsia="Arial" w:hAnsi="Arial"/>
                <w:sz w:val="18"/>
                <w:szCs w:val="18"/>
                <w:color w:val="auto"/>
              </w:rPr>
              <w:t>1-4 family residential</w:t>
            </w:r>
          </w:p>
        </w:tc>
        <w:tc>
          <w:tcPr>
            <w:tcW w:w="5200" w:type="dxa"/>
            <w:vAlign w:val="bottom"/>
          </w:tcPr>
          <w:p>
            <w:pPr>
              <w:jc w:val="right"/>
              <w:ind w:right="373"/>
              <w:spacing w:after="0"/>
              <w:rPr>
                <w:sz w:val="20"/>
                <w:szCs w:val="20"/>
                <w:color w:val="auto"/>
              </w:rPr>
            </w:pPr>
            <w:r>
              <w:rPr>
                <w:rFonts w:ascii="Arial" w:cs="Arial" w:eastAsia="Arial" w:hAnsi="Arial"/>
                <w:sz w:val="18"/>
                <w:szCs w:val="18"/>
                <w:color w:val="auto"/>
              </w:rPr>
              <w:t>0.01%</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 loans</w:t>
            </w:r>
          </w:p>
        </w:tc>
        <w:tc>
          <w:tcPr>
            <w:tcW w:w="52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0.02%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16"/>
        </w:trPr>
        <w:tc>
          <w:tcPr>
            <w:tcW w:w="5060" w:type="dxa"/>
            <w:vAlign w:val="bottom"/>
          </w:tcPr>
          <w:p>
            <w:pPr>
              <w:ind w:left="340"/>
              <w:spacing w:after="0"/>
              <w:rPr>
                <w:sz w:val="20"/>
                <w:szCs w:val="20"/>
                <w:color w:val="auto"/>
              </w:rPr>
            </w:pPr>
            <w:r>
              <w:rPr>
                <w:rFonts w:ascii="Arial" w:cs="Arial" w:eastAsia="Arial" w:hAnsi="Arial"/>
                <w:sz w:val="18"/>
                <w:szCs w:val="18"/>
                <w:color w:val="auto"/>
              </w:rPr>
              <w:t>Other consumer</w:t>
            </w:r>
          </w:p>
        </w:tc>
        <w:tc>
          <w:tcPr>
            <w:tcW w:w="5200" w:type="dxa"/>
            <w:vAlign w:val="bottom"/>
          </w:tcPr>
          <w:p>
            <w:pPr>
              <w:jc w:val="right"/>
              <w:ind w:right="373"/>
              <w:spacing w:after="0"/>
              <w:rPr>
                <w:sz w:val="20"/>
                <w:szCs w:val="20"/>
                <w:color w:val="auto"/>
              </w:rPr>
            </w:pPr>
            <w:r>
              <w:rPr>
                <w:rFonts w:ascii="Arial" w:cs="Arial" w:eastAsia="Arial" w:hAnsi="Arial"/>
                <w:sz w:val="18"/>
                <w:szCs w:val="18"/>
                <w:color w:val="auto"/>
              </w:rPr>
              <w:t>0.15%</w:t>
            </w:r>
          </w:p>
        </w:tc>
        <w:tc>
          <w:tcPr>
            <w:tcW w:w="980" w:type="dxa"/>
            <w:vAlign w:val="bottom"/>
          </w:tcPr>
          <w:p>
            <w:pPr>
              <w:jc w:val="right"/>
              <w:spacing w:after="0"/>
              <w:rPr>
                <w:sz w:val="20"/>
                <w:szCs w:val="20"/>
                <w:color w:val="auto"/>
              </w:rPr>
            </w:pPr>
            <w:r>
              <w:rPr>
                <w:rFonts w:ascii="Arial" w:cs="Arial" w:eastAsia="Arial" w:hAnsi="Arial"/>
                <w:sz w:val="18"/>
                <w:szCs w:val="18"/>
                <w:color w:val="auto"/>
              </w:rPr>
              <w:t>0.96%</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52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Total ratio of net charge-offs to average loans during the period</w:t>
            </w:r>
          </w:p>
        </w:tc>
        <w:tc>
          <w:tcPr>
            <w:tcW w:w="5200" w:type="dxa"/>
            <w:vAlign w:val="bottom"/>
          </w:tcPr>
          <w:p>
            <w:pPr>
              <w:jc w:val="right"/>
              <w:ind w:right="373"/>
              <w:spacing w:after="0"/>
              <w:rPr>
                <w:sz w:val="20"/>
                <w:szCs w:val="20"/>
                <w:color w:val="auto"/>
              </w:rPr>
            </w:pPr>
            <w:r>
              <w:rPr>
                <w:rFonts w:ascii="Arial" w:cs="Arial" w:eastAsia="Arial" w:hAnsi="Arial"/>
                <w:sz w:val="18"/>
                <w:szCs w:val="18"/>
                <w:color w:val="auto"/>
              </w:rPr>
              <w:t>0.01%</w:t>
            </w: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554"/>
        </w:trPr>
        <w:tc>
          <w:tcPr>
            <w:tcW w:w="5060" w:type="dxa"/>
            <w:vAlign w:val="bottom"/>
          </w:tcPr>
          <w:p>
            <w:pPr>
              <w:spacing w:after="0"/>
              <w:rPr>
                <w:sz w:val="24"/>
                <w:szCs w:val="24"/>
                <w:color w:val="auto"/>
              </w:rPr>
            </w:pPr>
          </w:p>
        </w:tc>
        <w:tc>
          <w:tcPr>
            <w:tcW w:w="5200" w:type="dxa"/>
            <w:vAlign w:val="bottom"/>
          </w:tcPr>
          <w:p>
            <w:pPr>
              <w:jc w:val="right"/>
              <w:ind w:right="4473"/>
              <w:spacing w:after="0"/>
              <w:rPr>
                <w:sz w:val="20"/>
                <w:szCs w:val="20"/>
                <w:color w:val="auto"/>
              </w:rPr>
            </w:pPr>
            <w:r>
              <w:rPr>
                <w:rFonts w:ascii="Arial" w:cs="Arial" w:eastAsia="Arial" w:hAnsi="Arial"/>
                <w:sz w:val="14"/>
                <w:szCs w:val="14"/>
                <w:color w:val="auto"/>
              </w:rPr>
              <w:t>36</w:t>
            </w:r>
          </w:p>
        </w:tc>
        <w:tc>
          <w:tcPr>
            <w:tcW w:w="980" w:type="dxa"/>
            <w:vAlign w:val="bottom"/>
          </w:tcPr>
          <w:p>
            <w:pPr>
              <w:spacing w:after="0"/>
              <w:rPr>
                <w:sz w:val="24"/>
                <w:szCs w:val="24"/>
                <w:color w:val="auto"/>
              </w:rPr>
            </w:pPr>
          </w:p>
        </w:tc>
      </w:tr>
      <w:tr>
        <w:trPr>
          <w:trHeight w:val="46"/>
        </w:trPr>
        <w:tc>
          <w:tcPr>
            <w:tcW w:w="5060" w:type="dxa"/>
            <w:vAlign w:val="bottom"/>
            <w:tcBorders>
              <w:bottom w:val="single" w:sz="8" w:color="auto"/>
            </w:tcBorders>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charge-offs totaled $364 thousand and were 0.06% (annualized) of average loans outstanding for the three months ended March 31, 2022, compared to $623 thousand and 0.11% for the three months ended March 31, 2021. The decrease in net charge-offs in the first quarter of 2022 was primarily the result of a decrease of $190 thousand in auto and other consumer net charge-offs in the first quarter of 2022 compared to the same period in 2021. The allowance for loan losses as a percentage of loans held for investment was 1.62% at March 31, 2022 and 1.73% at December 31, 2021.</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entire allowance for loan losses is available to absorb losses from any part of our loan portfolio, the following table sets forth the allocation of the allowance for loan losses for the periods presented and the percentage of allowance in each classification to total allowance: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14,621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17,245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3,275</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4,363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3,681</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3,653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loan losses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39,649</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42,098</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we acquire as a result of foreclosure or by deed-in-lieu of foreclosure is classified as other real estate owned (“OREO”) until sold and is initially recorded at fair value less costs to sell when acquired, establishing a new cost basis.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Nonperforming loans include nonaccrual loans and loans past due 90 days or more. Nonperforming assets consist of nonperforming loans plus OREO.</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2022, our total nonaccrual loans were $9.5 million, or 0.39% of total loans held for investment, as compared to $9.5 million, or 0.39% of total loans held for investment, at December 31, 2021. These loans were reviewed for impairment and specific valuation allowances were established as necessary and included in the allowance for loan losses as of March 31, 2022 to cover any probable loss. There were not any significant changes in nonaccrual loans during the first quarter of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Nonperforming loans were $12.1 million at March 31, 2022 and $10.6 million at December 31, 2021 .</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cases where a borrower experiences financial difficulties and we make certain concessionary modifications to contractual terms, the loan is classified as a troubled debt restructuring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no loans restructured as TDRs during the first three months of 2022 or 2021. TDRs are excluded from our nonperforming loans unless they otherwise meet the definition of nonaccrual loans or are past due 90 days or more.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COVID-19 Industry Exposures. </w:t>
      </w:r>
      <w:r>
        <w:rPr>
          <w:rFonts w:ascii="Arial" w:cs="Arial" w:eastAsia="Arial" w:hAnsi="Arial"/>
          <w:sz w:val="18"/>
          <w:szCs w:val="18"/>
          <w:color w:val="auto"/>
        </w:rPr>
        <w:t>The Company’s COVID-19 industry exposures at March 31, 2022 were:</w:t>
      </w:r>
    </w:p>
    <w:p>
      <w:pPr>
        <w:spacing w:after="0" w:line="225" w:lineRule="exact"/>
        <w:rPr>
          <w:sz w:val="20"/>
          <w:szCs w:val="20"/>
          <w:color w:val="auto"/>
        </w:rPr>
      </w:pPr>
    </w:p>
    <w:p>
      <w:pPr>
        <w:jc w:val="both"/>
        <w:ind w:left="6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Restaurant and retail owner-occupied loans totaled $141.6 million (5.8% of total loans). The average loan size is $502 thousand. There was $1.8 million in classified loans, $60 thousand in loans past due 30 days or more, and $1.2 million in nonaccrual loans. The related allowance for loan losses to total restaurant and retail owner-occupied loans is 2.65%. As of March 31, 2022, none of these loans were active modifications as a result of the COVID-19 pandemic.</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Hospitality and assisted living center loans totaled $116.0 million (4.7% of total loans). The average loan size is $3.0 million. There was $38.6 million in classified loans, no loans past due 30 days or more, and $1.1 million in nonaccrual loans. The related allowance for loan losses to total hospitality and assisted living center loans is 6.94%. As of March 31, 2022, approximately 5% of these loans were active modifications as a result of the COVID-19 pandemic. All of these modifications have original modified terms that extended up to 18 months. The Company expects that these remaining modified loans will return to full payment status at the end of their respective modification period.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Oil and Gas Exposures. </w:t>
      </w:r>
      <w:r>
        <w:rPr>
          <w:rFonts w:ascii="Arial" w:cs="Arial" w:eastAsia="Arial" w:hAnsi="Arial"/>
          <w:sz w:val="18"/>
          <w:szCs w:val="18"/>
          <w:color w:val="auto"/>
        </w:rPr>
        <w:t>The Company’s direct energy sector loans totaled $121.6 million (5.0% of total loans) at March 31, 2022. There was $459</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in classified loans, $128 thousand in loans past due 30 days or more, and $43 thousand in nonaccrual loans. Management has expanded the monitoring of the loans in this category. The related allowance for loan losses to direct energy loans is 1.26%. As of March 31, 2022, none of these loans were active modifications as a result of the COVID-19 pandemic.</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Portfolio</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securities portfolio consists of securities classified as either held-to-maturity or available-for-sale. Securities available-for-sale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securities portfolio increased $68.9 million, or 9.5%, to $793.4 million at March 31, 2022, compared to $724.5 million at December 31, 2021. The increase was primarily due to a $132.4 million in purchases, partially offset by $17.7 million in maturities, prepayments and calls and a $44.9 million decline in the unrealized gain at March 31, 2022 as compared to December 31, 2021 .</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securities have fair values less than amortized cost and, therefore, contain unrealized losses. During the three months ended March 31, 2022, the fair value of the Company’s available for sale securities declined by $44.9 million as a result of the recent significant increase in interest rates. At March 31, 2022,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rPr>
              <w:t>As of March 31, 2022</w:t>
            </w: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right"/>
              <w:ind w:right="840"/>
              <w:spacing w:after="0" w:line="198" w:lineRule="exact"/>
              <w:rPr>
                <w:sz w:val="20"/>
                <w:szCs w:val="20"/>
                <w:color w:val="auto"/>
              </w:rPr>
            </w:pPr>
            <w:r>
              <w:rPr>
                <w:rFonts w:ascii="Arial" w:cs="Arial" w:eastAsia="Arial" w:hAnsi="Arial"/>
                <w:sz w:val="18"/>
                <w:szCs w:val="18"/>
                <w:b w:val="1"/>
                <w:bCs w:val="1"/>
                <w:color w:val="auto"/>
              </w:rPr>
              <w:t>Due in One</w:t>
            </w:r>
          </w:p>
        </w:tc>
        <w:tc>
          <w:tcPr>
            <w:tcW w:w="160" w:type="dxa"/>
            <w:vAlign w:val="bottom"/>
          </w:tcPr>
          <w:p>
            <w:pPr>
              <w:spacing w:after="0"/>
              <w:rPr>
                <w:sz w:val="17"/>
                <w:szCs w:val="17"/>
                <w:color w:val="auto"/>
              </w:rPr>
            </w:pPr>
          </w:p>
        </w:tc>
        <w:tc>
          <w:tcPr>
            <w:tcW w:w="21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jc w:val="center"/>
              <w:ind w:right="420"/>
              <w:spacing w:after="0" w:line="198" w:lineRule="exact"/>
              <w:rPr>
                <w:sz w:val="20"/>
                <w:szCs w:val="20"/>
                <w:color w:val="auto"/>
              </w:rPr>
            </w:pPr>
            <w:r>
              <w:rPr>
                <w:rFonts w:ascii="Arial" w:cs="Arial" w:eastAsia="Arial" w:hAnsi="Arial"/>
                <w:sz w:val="18"/>
                <w:szCs w:val="18"/>
                <w:b w:val="1"/>
                <w:bCs w:val="1"/>
                <w:color w:val="auto"/>
                <w:w w:val="91"/>
              </w:rPr>
              <w:t>Due after Five Years</w:t>
            </w:r>
          </w:p>
        </w:tc>
        <w:tc>
          <w:tcPr>
            <w:tcW w:w="180" w:type="dxa"/>
            <w:vAlign w:val="bottom"/>
          </w:tcPr>
          <w:p>
            <w:pPr>
              <w:spacing w:after="0"/>
              <w:rPr>
                <w:sz w:val="17"/>
                <w:szCs w:val="17"/>
                <w:color w:val="auto"/>
              </w:rPr>
            </w:pPr>
          </w:p>
        </w:tc>
        <w:tc>
          <w:tcPr>
            <w:tcW w:w="1820" w:type="dxa"/>
            <w:vAlign w:val="bottom"/>
            <w:gridSpan w:val="3"/>
          </w:tcPr>
          <w:p>
            <w:pPr>
              <w:ind w:left="46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Year or Less</w:t>
            </w:r>
          </w:p>
        </w:tc>
        <w:tc>
          <w:tcPr>
            <w:tcW w:w="1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Through Ten Years</w:t>
            </w:r>
          </w:p>
        </w:tc>
        <w:tc>
          <w:tcPr>
            <w:tcW w:w="180" w:type="dxa"/>
            <w:vAlign w:val="bottom"/>
          </w:tcPr>
          <w:p>
            <w:pPr>
              <w:spacing w:after="0"/>
              <w:rPr>
                <w:sz w:val="20"/>
                <w:szCs w:val="20"/>
                <w:color w:val="auto"/>
              </w:rPr>
            </w:pPr>
          </w:p>
        </w:tc>
        <w:tc>
          <w:tcPr>
            <w:tcW w:w="1980" w:type="dxa"/>
            <w:vAlign w:val="bottom"/>
            <w:gridSpan w:val="4"/>
          </w:tcPr>
          <w:p>
            <w:pPr>
              <w:ind w:left="44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Amortized</w:t>
            </w:r>
          </w:p>
        </w:tc>
        <w:tc>
          <w:tcPr>
            <w:tcW w:w="2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6"/>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government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agencies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954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8,480</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10,185</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243,699</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Mortgage-backed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380" w:type="dxa"/>
            <w:vAlign w:val="bottom"/>
            <w:tcBorders>
              <w:lef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56,701</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363,304</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2280" w:type="dxa"/>
            <w:vAlign w:val="bottom"/>
          </w:tcPr>
          <w:p>
            <w:pPr>
              <w:ind w:left="18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30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103,976</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0.56</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2,072</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22,703</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220" w:type="dxa"/>
            <w:vAlign w:val="bottom"/>
            <w:tcBorders>
              <w:left w:val="single" w:sz="8" w:color="CCEEFF"/>
            </w:tcBorders>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184,934</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629,706</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2.17%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gridSpan w:val="2"/>
          </w:tcPr>
          <w:p>
            <w:pPr>
              <w:jc w:val="right"/>
              <w:ind w:right="750"/>
              <w:spacing w:after="0"/>
              <w:rPr>
                <w:sz w:val="20"/>
                <w:szCs w:val="20"/>
                <w:color w:val="auto"/>
              </w:rPr>
            </w:pPr>
            <w:r>
              <w:rPr>
                <w:rFonts w:ascii="Arial" w:cs="Arial" w:eastAsia="Arial" w:hAnsi="Arial"/>
                <w:sz w:val="14"/>
                <w:szCs w:val="14"/>
                <w:color w:val="auto"/>
              </w:rPr>
              <w:t>39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1"/>
              </w:rPr>
              <w:t>As of December 31, 2021</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right"/>
              <w:ind w:right="840"/>
              <w:spacing w:after="0" w:line="198" w:lineRule="exact"/>
              <w:rPr>
                <w:sz w:val="20"/>
                <w:szCs w:val="20"/>
                <w:color w:val="auto"/>
              </w:rPr>
            </w:pPr>
            <w:r>
              <w:rPr>
                <w:rFonts w:ascii="Arial" w:cs="Arial" w:eastAsia="Arial" w:hAnsi="Arial"/>
                <w:sz w:val="18"/>
                <w:szCs w:val="18"/>
                <w:b w:val="1"/>
                <w:bCs w:val="1"/>
                <w:color w:val="auto"/>
              </w:rPr>
              <w:t>Due in One</w:t>
            </w:r>
          </w:p>
        </w:tc>
        <w:tc>
          <w:tcPr>
            <w:tcW w:w="160" w:type="dxa"/>
            <w:vAlign w:val="bottom"/>
          </w:tcPr>
          <w:p>
            <w:pPr>
              <w:spacing w:after="0"/>
              <w:rPr>
                <w:sz w:val="17"/>
                <w:szCs w:val="17"/>
                <w:color w:val="auto"/>
              </w:rPr>
            </w:pPr>
          </w:p>
        </w:tc>
        <w:tc>
          <w:tcPr>
            <w:tcW w:w="21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jc w:val="center"/>
              <w:ind w:right="420"/>
              <w:spacing w:after="0" w:line="198" w:lineRule="exact"/>
              <w:rPr>
                <w:sz w:val="20"/>
                <w:szCs w:val="20"/>
                <w:color w:val="auto"/>
              </w:rPr>
            </w:pPr>
            <w:r>
              <w:rPr>
                <w:rFonts w:ascii="Arial" w:cs="Arial" w:eastAsia="Arial" w:hAnsi="Arial"/>
                <w:sz w:val="18"/>
                <w:szCs w:val="18"/>
                <w:b w:val="1"/>
                <w:bCs w:val="1"/>
                <w:color w:val="auto"/>
                <w:w w:val="91"/>
              </w:rPr>
              <w:t>Due after Five Years</w:t>
            </w:r>
          </w:p>
        </w:tc>
        <w:tc>
          <w:tcPr>
            <w:tcW w:w="180" w:type="dxa"/>
            <w:vAlign w:val="bottom"/>
          </w:tcPr>
          <w:p>
            <w:pPr>
              <w:spacing w:after="0"/>
              <w:rPr>
                <w:sz w:val="17"/>
                <w:szCs w:val="17"/>
                <w:color w:val="auto"/>
              </w:rPr>
            </w:pPr>
          </w:p>
        </w:tc>
        <w:tc>
          <w:tcPr>
            <w:tcW w:w="1820" w:type="dxa"/>
            <w:vAlign w:val="bottom"/>
            <w:gridSpan w:val="3"/>
          </w:tcPr>
          <w:p>
            <w:pPr>
              <w:ind w:left="46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Year or Less</w:t>
            </w:r>
          </w:p>
        </w:tc>
        <w:tc>
          <w:tcPr>
            <w:tcW w:w="1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Through Ten Years</w:t>
            </w:r>
          </w:p>
        </w:tc>
        <w:tc>
          <w:tcPr>
            <w:tcW w:w="180" w:type="dxa"/>
            <w:vAlign w:val="bottom"/>
          </w:tcPr>
          <w:p>
            <w:pPr>
              <w:spacing w:after="0"/>
              <w:rPr>
                <w:sz w:val="20"/>
                <w:szCs w:val="20"/>
                <w:color w:val="auto"/>
              </w:rPr>
            </w:pPr>
          </w:p>
        </w:tc>
        <w:tc>
          <w:tcPr>
            <w:tcW w:w="1980" w:type="dxa"/>
            <w:vAlign w:val="bottom"/>
            <w:gridSpan w:val="4"/>
          </w:tcPr>
          <w:p>
            <w:pPr>
              <w:ind w:left="44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6"/>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government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agencies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1,939</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7,563</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10,502</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245,139</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Mortgage-backed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59,116</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242,381</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2"/>
        </w:trPr>
        <w:tc>
          <w:tcPr>
            <w:tcW w:w="22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30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106,733</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0.56</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2,328</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23,718</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Other securities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190,679</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511,238</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2.09%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Total deposits at March 31, 2022 were $3.45 billion, representing an increase of $108.9 million, or 3.3%, compared to $3.34 billion at December 31, 2021. As of March 31, 2022, 32.8% of total deposits were comprised of noninterest-bearing demand accounts, 57.5% of interest-bearing non-maturity accounts and 9.7% of time deposits.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The following table shows the deposit mix as of the dates presented: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4"/>
                <w:szCs w:val="24"/>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1,131,215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1,071,367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NOW and other transaction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373,634</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395,322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Money market and other savings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1,610,735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1,534,795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334,573</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339,738</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r>
      <w:tr>
        <w:trPr>
          <w:trHeight w:val="237"/>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3,450,157</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3,341,222</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Average deposit balances and weighted average rates paid on deposits, on an annualized basis, for the periods indicated are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Year Ended</w:t>
            </w:r>
          </w:p>
        </w:tc>
      </w:t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March 31, 2022</w:t>
            </w:r>
          </w:p>
        </w:tc>
        <w:tc>
          <w:tcPr>
            <w:tcW w:w="140" w:type="dxa"/>
            <w:vAlign w:val="bottom"/>
          </w:tcPr>
          <w:p>
            <w:pPr>
              <w:spacing w:after="0"/>
              <w:rPr>
                <w:sz w:val="20"/>
                <w:szCs w:val="20"/>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59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1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Weighted</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Average</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Weighted</w:t>
            </w:r>
          </w:p>
        </w:tc>
        <w:tc>
          <w:tcPr>
            <w:tcW w:w="160" w:type="dxa"/>
            <w:vAlign w:val="bottom"/>
          </w:tcPr>
          <w:p>
            <w:pPr>
              <w:spacing w:after="0"/>
              <w:rPr>
                <w:sz w:val="17"/>
                <w:szCs w:val="17"/>
                <w:color w:val="auto"/>
              </w:rPr>
            </w:pPr>
          </w:p>
        </w:tc>
      </w:t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Average Rate</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Average Rate</w:t>
            </w:r>
          </w:p>
        </w:tc>
      </w:tr>
      <w:tr>
        <w:trPr>
          <w:trHeight w:val="216"/>
        </w:trPr>
        <w:tc>
          <w:tcPr>
            <w:tcW w:w="5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1,104,091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1,016,835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375,242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355,274</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Savings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149,016</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132,426</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0.09%</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1,413,506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1,353,978</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r>
      <w:tr>
        <w:trPr>
          <w:trHeight w:val="223"/>
        </w:trPr>
        <w:tc>
          <w:tcPr>
            <w:tcW w:w="594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339,104</w:t>
            </w: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329,509</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1.25%</w:t>
            </w:r>
          </w:p>
        </w:tc>
      </w:tr>
      <w:tr>
        <w:trPr>
          <w:trHeight w:val="223"/>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2,276,868</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2,171,187</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r>
      <w:tr>
        <w:trPr>
          <w:trHeight w:val="216"/>
        </w:trPr>
        <w:tc>
          <w:tcPr>
            <w:tcW w:w="5940" w:type="dxa"/>
            <w:vAlign w:val="bottom"/>
          </w:tcPr>
          <w:p>
            <w:pPr>
              <w:ind w:left="500"/>
              <w:spacing w:after="0"/>
              <w:rPr>
                <w:sz w:val="20"/>
                <w:szCs w:val="20"/>
                <w:color w:val="auto"/>
              </w:rPr>
            </w:pPr>
            <w:r>
              <w:rPr>
                <w:rFonts w:ascii="Arial" w:cs="Arial" w:eastAsia="Arial" w:hAnsi="Arial"/>
                <w:sz w:val="18"/>
                <w:szCs w:val="18"/>
                <w:color w:val="auto"/>
              </w:rPr>
              <w:t>Total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3,380,959</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3,188,022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0.26%</w:t>
            </w:r>
          </w:p>
        </w:tc>
      </w:tr>
      <w:tr>
        <w:trPr>
          <w:trHeight w:val="21"/>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scheduled maturities of uninsured certificates of deposits or other time deposits as of March 31, 2022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Three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Three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Six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800" w:type="dxa"/>
            <w:vAlign w:val="bottom"/>
            <w:gridSpan w:val="2"/>
          </w:tcPr>
          <w:p>
            <w:pPr>
              <w:jc w:val="right"/>
              <w:ind w:right="3010"/>
              <w:spacing w:after="0"/>
              <w:rPr>
                <w:sz w:val="20"/>
                <w:szCs w:val="20"/>
                <w:color w:val="auto"/>
              </w:rPr>
            </w:pPr>
            <w:r>
              <w:rPr>
                <w:rFonts w:ascii="Arial" w:cs="Arial" w:eastAsia="Arial" w:hAnsi="Arial"/>
                <w:sz w:val="18"/>
                <w:szCs w:val="18"/>
                <w:b w:val="1"/>
                <w:bCs w:val="1"/>
                <w:color w:val="auto"/>
                <w:w w:val="88"/>
              </w:rPr>
              <w:t>(Dollars in thousands)</w:t>
            </w: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Months</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Six Months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12 Months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12 Months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11,971</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amount of uninsured deposits as of March 31, 2022 was $1.08 billion.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ectPr>
          <w:pgSz w:w="11900" w:h="16838" w:orient="portrait"/>
          <w:cols w:equalWidth="0" w:num="1">
            <w:col w:w="11240"/>
          </w:cols>
          <w:pgMar w:left="320" w:top="114" w:right="339" w:bottom="328"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328"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Borrowed Funds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deposits, we utilize advances from the FHLB and other borrowings as a supplementary funding source to finance our operations.</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both short and long-term, on a blanket floating lien status collateralized by first mortgage loans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real estate loans as well as FHLB stock. At March 31, 2022 and December 31, 2021, we had total remaining borrowing capacity from the FHLB of $908.5 million and $903.9 million,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The following table sets forth our long-term FHLB borrowings as of and for the periods indicated:</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264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86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6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2021</w:t>
            </w:r>
          </w:p>
        </w:tc>
        <w:tc>
          <w:tcPr>
            <w:tcW w:w="160" w:type="dxa"/>
            <w:vAlign w:val="bottom"/>
          </w:tcPr>
          <w:p>
            <w:pPr>
              <w:spacing w:after="0"/>
              <w:rPr>
                <w:sz w:val="19"/>
                <w:szCs w:val="19"/>
                <w:color w:val="auto"/>
              </w:rPr>
            </w:pPr>
          </w:p>
        </w:tc>
      </w:tr>
      <w:tr>
        <w:trPr>
          <w:trHeight w:val="216"/>
        </w:trPr>
        <w:tc>
          <w:tcPr>
            <w:tcW w:w="8600" w:type="dxa"/>
            <w:vAlign w:val="bottom"/>
          </w:tcPr>
          <w:p>
            <w:pPr>
              <w:spacing w:after="0"/>
              <w:rPr>
                <w:sz w:val="18"/>
                <w:szCs w:val="18"/>
                <w:color w:val="auto"/>
              </w:rPr>
            </w:pPr>
          </w:p>
        </w:tc>
        <w:tc>
          <w:tcPr>
            <w:tcW w:w="26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9"/>
              </w:rPr>
              <w:t>(Dollars in thousands)</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7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720" w:type="dxa"/>
            <w:vAlign w:val="bottom"/>
          </w:tcPr>
          <w:p>
            <w:pPr>
              <w:jc w:val="right"/>
              <w:ind w:right="558"/>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74,444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0.19%</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used FHLB letters of credit to pledge to certain public deposits. These letters of credit expired in July 2021 and the Company began pledging securities to these public funds rather than renewing the letters of credit. As a result, there were no FHLB letters of credit outstanding at March 31, 2022.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Federal Reserve Bank of Dallas</w:t>
      </w:r>
      <w:r>
        <w:rPr>
          <w:rFonts w:ascii="Arial" w:cs="Arial" w:eastAsia="Arial" w:hAnsi="Arial"/>
          <w:sz w:val="18"/>
          <w:szCs w:val="18"/>
          <w:color w:val="auto"/>
        </w:rPr>
        <w:t>. The Bank has a line of credit with the Federal Reserve Bank of Dallas (the “FRB”). The amount of the line is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on a monthly basis by the FRB. The line is collateralized by a blanket floating lien on all agriculture, commercial and consumer loans. The amount of the line was $608.6 million and $593.6 million at March 31, 2022 and December 31, 2021,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The following table sets forth our FRB borrowings as of and for the periods indicated:</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gridSpan w:val="3"/>
          </w:tcPr>
          <w:p>
            <w:pPr>
              <w:jc w:val="center"/>
              <w:ind w:right="303"/>
              <w:spacing w:after="0"/>
              <w:rPr>
                <w:sz w:val="20"/>
                <w:szCs w:val="20"/>
                <w:color w:val="auto"/>
              </w:rPr>
            </w:pPr>
            <w:r>
              <w:rPr>
                <w:rFonts w:ascii="Arial" w:cs="Arial" w:eastAsia="Arial" w:hAnsi="Arial"/>
                <w:sz w:val="18"/>
                <w:szCs w:val="18"/>
                <w:b w:val="1"/>
                <w:bCs w:val="1"/>
                <w:color w:val="auto"/>
                <w:w w:val="90"/>
              </w:rPr>
              <w:t>As of/For the</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2140" w:type="dxa"/>
            <w:vAlign w:val="bottom"/>
            <w:gridSpan w:val="4"/>
          </w:tcPr>
          <w:p>
            <w:pPr>
              <w:jc w:val="center"/>
              <w:ind w:left="258"/>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86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right="323"/>
              <w:spacing w:after="0"/>
              <w:rPr>
                <w:sz w:val="20"/>
                <w:szCs w:val="20"/>
                <w:color w:val="auto"/>
              </w:rPr>
            </w:pPr>
            <w:r>
              <w:rPr>
                <w:rFonts w:ascii="Arial" w:cs="Arial" w:eastAsia="Arial" w:hAnsi="Arial"/>
                <w:sz w:val="18"/>
                <w:szCs w:val="18"/>
                <w:b w:val="1"/>
                <w:bCs w:val="1"/>
                <w:color w:val="auto"/>
                <w:w w:val="93"/>
              </w:rPr>
              <w:t>March 31,</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6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8600" w:type="dxa"/>
            <w:vAlign w:val="bottom"/>
          </w:tcPr>
          <w:p>
            <w:pPr>
              <w:spacing w:after="0"/>
              <w:rPr>
                <w:sz w:val="18"/>
                <w:szCs w:val="18"/>
                <w:color w:val="auto"/>
              </w:rPr>
            </w:pPr>
          </w:p>
        </w:tc>
        <w:tc>
          <w:tcPr>
            <w:tcW w:w="2140" w:type="dxa"/>
            <w:vAlign w:val="bottom"/>
            <w:gridSpan w:val="4"/>
          </w:tcPr>
          <w:p>
            <w:pPr>
              <w:jc w:val="center"/>
              <w:ind w:left="238"/>
              <w:spacing w:after="0"/>
              <w:rPr>
                <w:sz w:val="20"/>
                <w:szCs w:val="20"/>
                <w:color w:val="auto"/>
              </w:rPr>
            </w:pPr>
            <w:r>
              <w:rPr>
                <w:rFonts w:ascii="Arial" w:cs="Arial" w:eastAsia="Arial" w:hAnsi="Arial"/>
                <w:sz w:val="18"/>
                <w:szCs w:val="18"/>
                <w:b w:val="1"/>
                <w:bCs w:val="1"/>
                <w:color w:val="auto"/>
                <w:w w:val="89"/>
              </w:rPr>
              <w:t>(Dollars in thousands)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7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7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0.00%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720" w:type="dxa"/>
            <w:vAlign w:val="bottom"/>
          </w:tcPr>
          <w:p>
            <w:pPr>
              <w:jc w:val="right"/>
              <w:ind w:right="558"/>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0.00%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Lines of Credit</w:t>
      </w:r>
      <w:r>
        <w:rPr>
          <w:rFonts w:ascii="Arial" w:cs="Arial" w:eastAsia="Arial" w:hAnsi="Arial"/>
          <w:sz w:val="18"/>
          <w:szCs w:val="18"/>
          <w:color w:val="auto"/>
        </w:rPr>
        <w:t>. The Bank has uncollateralized lines of credit with multiple banks as a source of funding for liquidity management. The total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lines was $160.0 million and $160.0 million as of March 31, 2022 and December 31, 2021, respectively. The lines were not used during the three months ended March 31, 2022 or the three months ended March 31, 2021.</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Subordinated Debt Securities</w:t>
      </w:r>
      <w:r>
        <w:rPr>
          <w:rFonts w:ascii="Arial" w:cs="Arial" w:eastAsia="Arial" w:hAnsi="Arial"/>
          <w:sz w:val="18"/>
          <w:szCs w:val="18"/>
          <w:color w:val="auto"/>
        </w:rPr>
        <w:t>. In December 2018, the Company issued $26.5 million in subordinated debt securities. Subordinated debt securities totaling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$12.4 million have a maturity date of December 2028 and an average fixed rate of 5.74% for the first five years. The remaining $14.1 million of subordinated debt securities issued in December 2018 have a maturity date of December 2030 and an average fixed rate of 6.41% for the first seven years. After the fixed rate periods, all subordinated debt securities issued in December 2018 will float at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prime rate, with a floor of 4.5% and a ceiling of 7.5%. These subordinated debt securities pay interest quarterly, are unsecured, and may be called by the Company at any time after the remaining maturity is five years or less. Additionally, these subordinated debt securities are intended to qualify for Tier 2 capital treatment, subject to regulatory limitations.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29, 2020, the Company issued $50.0 million in subordinated debt securities. Proceeds from the issuance of these subordinated debt securities were reduced by approximately $926 thousand in debt issuance costs. The subordinated debt securities issued in September 2020 have a maturity date of September 2030 with a fixed rate of 4.50% for the first five years. After the expiration of the fixed rate period, the subordinated debt securities will reset quarterly at a variable rate equal to the then current three-month Secured Overnight Financing Rate, as published by the Federal Reserve Bank of New York, plus 438 basis points. These subordinated debt securities pay interest semi-annually, are unsecured, and may be called by the Company at any time after the remaining maturity is five years or less. Additionally, these subordinated debt securities are intended to qualify for Tier 2 capital treatment, subject to regulatory limitations.</w:t>
      </w:r>
    </w:p>
    <w:p>
      <w:pPr>
        <w:sectPr>
          <w:pgSz w:w="11900" w:h="16838" w:orient="portrait"/>
          <w:cols w:equalWidth="0" w:num="1">
            <w:col w:w="11240"/>
          </w:cols>
          <w:pgMar w:left="320" w:top="122"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2022, the total amount of subordinated debt securities outstanding was $76.5 million less approximately $651 thousand of remaining debt issuance costs for a total balance of $75.8 million.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Junior Subordinated Deferrable Interest Debentures and Trust Preferred Securities</w:t>
      </w:r>
      <w:r>
        <w:rPr>
          <w:rFonts w:ascii="Arial" w:cs="Arial" w:eastAsia="Arial" w:hAnsi="Arial"/>
          <w:sz w:val="18"/>
          <w:szCs w:val="18"/>
          <w:color w:val="auto"/>
        </w:rPr>
        <w:t>. Between March 2004 and June 2007, the Company formed three</w:t>
      </w:r>
      <w:r>
        <w:rPr>
          <w:rFonts w:ascii="Arial" w:cs="Arial" w:eastAsia="Arial" w:hAnsi="Arial"/>
          <w:sz w:val="18"/>
          <w:szCs w:val="18"/>
          <w:i w:val="1"/>
          <w:iCs w:val="1"/>
          <w:color w:val="auto"/>
        </w:rPr>
        <w:t xml:space="preserve"> </w:t>
      </w:r>
      <w:r>
        <w:rPr>
          <w:rFonts w:ascii="Arial" w:cs="Arial" w:eastAsia="Arial" w:hAnsi="Arial"/>
          <w:sz w:val="18"/>
          <w:szCs w:val="18"/>
          <w:color w:val="auto"/>
        </w:rPr>
        <w:t>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March 31, 2022 and December 31, 2021.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chart below indicates certain information, as of March 31, 2022,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Stated</w:t>
            </w:r>
          </w:p>
        </w:tc>
        <w:tc>
          <w:tcPr>
            <w:tcW w:w="23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Maturity Date of</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 of</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Amount of</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Trust Preferred</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Trust Preferred</w:t>
            </w:r>
          </w:p>
        </w:tc>
      </w:tr>
      <w:tr>
        <w:trPr>
          <w:trHeight w:val="206"/>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320"/>
              <w:spacing w:after="0"/>
              <w:rPr>
                <w:sz w:val="20"/>
                <w:szCs w:val="20"/>
                <w:color w:val="auto"/>
              </w:rPr>
            </w:pPr>
            <w:r>
              <w:rPr>
                <w:rFonts w:ascii="Arial" w:cs="Arial" w:eastAsia="Arial" w:hAnsi="Arial"/>
                <w:sz w:val="18"/>
                <w:szCs w:val="18"/>
                <w:b w:val="1"/>
                <w:bCs w:val="1"/>
                <w:color w:val="auto"/>
              </w:rPr>
              <w:t>Issue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Trust Preferred</w:t>
            </w:r>
          </w:p>
        </w:tc>
        <w:tc>
          <w:tcPr>
            <w:tcW w:w="180" w:type="dxa"/>
            <w:vAlign w:val="bottom"/>
          </w:tcPr>
          <w:p>
            <w:pPr>
              <w:spacing w:after="0"/>
              <w:rPr>
                <w:sz w:val="17"/>
                <w:szCs w:val="17"/>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3"/>
              </w:rPr>
              <w:t>Amount of</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Securities and</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and</w:t>
            </w:r>
          </w:p>
        </w:tc>
      </w:tr>
      <w:tr>
        <w:trPr>
          <w:trHeight w:val="251"/>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Trust</w:t>
            </w:r>
          </w:p>
        </w:tc>
        <w:tc>
          <w:tcPr>
            <w:tcW w:w="120" w:type="dxa"/>
            <w:vAlign w:val="bottom"/>
          </w:tcPr>
          <w:p>
            <w:pPr>
              <w:spacing w:after="0"/>
              <w:rPr>
                <w:sz w:val="21"/>
                <w:szCs w:val="21"/>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Debentures</w:t>
            </w:r>
          </w:p>
        </w:tc>
        <w:tc>
          <w:tcPr>
            <w:tcW w:w="220" w:type="dxa"/>
            <w:vAlign w:val="bottom"/>
          </w:tcPr>
          <w:p>
            <w:pPr>
              <w:spacing w:after="0"/>
              <w:rPr>
                <w:sz w:val="21"/>
                <w:szCs w:val="21"/>
                <w:color w:val="auto"/>
              </w:rPr>
            </w:pPr>
          </w:p>
        </w:tc>
        <w:tc>
          <w:tcPr>
            <w:tcW w:w="14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9"/>
              </w:rPr>
              <w:t>Debentures</w:t>
            </w:r>
            <w:r>
              <w:rPr>
                <w:rFonts w:ascii="Arial" w:cs="Arial" w:eastAsia="Arial" w:hAnsi="Arial"/>
                <w:sz w:val="28"/>
                <w:szCs w:val="28"/>
                <w:b w:val="1"/>
                <w:bCs w:val="1"/>
                <w:color w:val="auto"/>
                <w:w w:val="89"/>
                <w:vertAlign w:val="superscript"/>
              </w:rPr>
              <w:t>(1)</w:t>
            </w:r>
          </w:p>
        </w:tc>
        <w:tc>
          <w:tcPr>
            <w:tcW w:w="120" w:type="dxa"/>
            <w:vAlign w:val="bottom"/>
          </w:tcPr>
          <w:p>
            <w:pPr>
              <w:spacing w:after="0"/>
              <w:rPr>
                <w:sz w:val="21"/>
                <w:szCs w:val="21"/>
                <w:color w:val="auto"/>
              </w:rPr>
            </w:pPr>
          </w:p>
        </w:tc>
        <w:tc>
          <w:tcPr>
            <w:tcW w:w="23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7"/>
              </w:rPr>
              <w:t>Debentures</w:t>
            </w:r>
            <w:r>
              <w:rPr>
                <w:rFonts w:ascii="Arial" w:cs="Arial" w:eastAsia="Arial" w:hAnsi="Arial"/>
                <w:sz w:val="28"/>
                <w:szCs w:val="28"/>
                <w:b w:val="1"/>
                <w:bCs w:val="1"/>
                <w:color w:val="auto"/>
                <w:w w:val="87"/>
                <w:vertAlign w:val="superscript"/>
              </w:rPr>
              <w:t>(2)(3)</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ind w:left="320"/>
              <w:spacing w:after="0"/>
              <w:rPr>
                <w:sz w:val="20"/>
                <w:szCs w:val="20"/>
                <w:color w:val="auto"/>
              </w:rPr>
            </w:pPr>
            <w:r>
              <w:rPr>
                <w:rFonts w:ascii="Arial" w:cs="Arial" w:eastAsia="Arial" w:hAnsi="Arial"/>
                <w:sz w:val="18"/>
                <w:szCs w:val="18"/>
                <w:b w:val="1"/>
                <w:bCs w:val="1"/>
                <w:color w:val="auto"/>
              </w:rPr>
              <w:t>(Dollars in</w:t>
            </w: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South Plains Financial Capital Trust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r>
      <w:tr>
        <w:trPr>
          <w:trHeight w:val="230"/>
        </w:trPr>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III</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10,310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2034</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3-mo. LIBOR + 265 bps; 2.91%</w:t>
            </w: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w w:val="93"/>
              </w:rPr>
              <w:t>South Plains Financial Capital Trust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30"/>
        </w:trPr>
        <w:tc>
          <w:tcPr>
            <w:tcW w:w="2700" w:type="dxa"/>
            <w:vAlign w:val="bottom"/>
          </w:tcPr>
          <w:p>
            <w:pPr>
              <w:ind w:left="140"/>
              <w:spacing w:after="0"/>
              <w:rPr>
                <w:sz w:val="20"/>
                <w:szCs w:val="20"/>
                <w:color w:val="auto"/>
              </w:rPr>
            </w:pPr>
            <w:r>
              <w:rPr>
                <w:rFonts w:ascii="Arial" w:cs="Arial" w:eastAsia="Arial" w:hAnsi="Arial"/>
                <w:sz w:val="18"/>
                <w:szCs w:val="18"/>
                <w:color w:val="auto"/>
              </w:rPr>
              <w:t>IV</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20,619</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2035</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3-mo. LIBOR + 139 bps; 2.22%</w:t>
            </w: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South Plains Financial Capital Trust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r>
      <w:tr>
        <w:trPr>
          <w:trHeight w:val="230"/>
        </w:trPr>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15,464</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2037</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3-mo. LIBOR + 150 bps; 2.33%</w:t>
            </w:r>
          </w:p>
        </w:tc>
      </w:tr>
      <w:tr>
        <w:trPr>
          <w:trHeight w:val="27"/>
        </w:trPr>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46,393</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be redeemed at the Company’s option.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payable quarterly with principal due at maturity.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as of last reset date, prior to March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if the projected future net interest income levels would be acceptable. The Company attempts to stay within acceptable net interest income levels.</w:t>
      </w:r>
    </w:p>
    <w:p>
      <w:pPr>
        <w:spacing w:after="0" w:line="17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stockholders’ equity decreased to $387.1 million as of March 31, 2022, compared to $407.4 million as of December 31, 2021, a decrease of $20.4 million, or 5.0%. The decrease from December 31, 2021 was primarily the result of $14.3 million in net earnings for the three months ended March 31, 2022, offset by a decrease in accumulated other comprehensive income of $30.0 million related to fair value changes in available for sale securities and related fair value hedges, net of tax, $3.0 million in repurchases of common stock and $1.9 million of dividends paid.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2022, both we and the Bank met all the capital adequacy requirements to which we and the Bank were subject. At March 31, 2022, we and the Bank were “well capitalized” under the regulatory framework for prompt corrective action. Management believes that no conditions or events have occurred since March 31, 2022 that would materially adversely change such capital classifications. From time to time, we may need to raise additional capital to support our and the Bank’s further growth and to maintain our “well capitalized” status.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and the Bank’s regulatory capital ratios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ind w:left="44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0"/>
                <w:szCs w:val="20"/>
                <w:color w:val="auto"/>
              </w:rPr>
            </w:pPr>
          </w:p>
        </w:tc>
        <w:tc>
          <w:tcPr>
            <w:tcW w:w="2420" w:type="dxa"/>
            <w:vAlign w:val="bottom"/>
            <w:gridSpan w:val="4"/>
          </w:tcPr>
          <w:p>
            <w:pPr>
              <w:ind w:left="32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South Plains Financial, Inc.</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535,998</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18.22%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524,836</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18.40%</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423,358</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14.39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413,322</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378,358</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12.86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368,322</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423,358</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10.78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413,322</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City Bank:</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431,140</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14.66%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425,748</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14.93%</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394,331</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390,015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394,331</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13.40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390,015</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30"/>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394,331</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390,015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Bank Leverage Ratio</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above.</w:t>
      </w:r>
    </w:p>
    <w:p>
      <w:pPr>
        <w:sectPr>
          <w:pgSz w:w="11900" w:h="16838" w:orient="portrait"/>
          <w:cols w:equalWidth="0" w:num="1">
            <w:col w:w="11240"/>
          </w:cols>
          <w:pgMar w:left="320" w:top="122"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repurchased stock in accordance with its stock repurchase program during the three months ended March 31, 2022 and 2021. For the three months ended March 31, 2022, we repurchased 106,498 shares of common stock for a total of $3.0 million. For the three months ended March 31, 2021, we repurchased 43,184 shares of common stock for a total of $786 thousand. See Part II, Item 2, “Unregistered Sales of Equity Securities and Use of Proceeds,” of this Form 10-Q for further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exposure to interest rate risk is managed by the ALCO Committee, in accordance with policies approved by the Bank’s Board.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540" w:type="dxa"/>
            <w:vAlign w:val="bottom"/>
            <w:gridSpan w:val="2"/>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9460" w:type="dxa"/>
            <w:vAlign w:val="bottom"/>
            <w:gridSpan w:val="5"/>
          </w:tcPr>
          <w:p>
            <w:pPr>
              <w:spacing w:after="0"/>
              <w:rPr>
                <w:sz w:val="20"/>
                <w:szCs w:val="20"/>
                <w:color w:val="auto"/>
              </w:rPr>
            </w:pPr>
            <w:r>
              <w:rPr>
                <w:rFonts w:ascii="Arial" w:cs="Arial" w:eastAsia="Arial" w:hAnsi="Arial"/>
                <w:sz w:val="18"/>
                <w:szCs w:val="18"/>
                <w:color w:val="auto"/>
                <w:w w:val="93"/>
              </w:rPr>
              <w:t>The following tables summarize the simulated change in net interest income over a 12-month horizon as of the dates indicated: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March 31,</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0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198"/>
        </w:trPr>
        <w:tc>
          <w:tcPr>
            <w:tcW w:w="10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Percent Change in</w:t>
            </w:r>
          </w:p>
        </w:tc>
        <w:tc>
          <w:tcPr>
            <w:tcW w:w="22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Percent Change in</w:t>
            </w:r>
          </w:p>
        </w:tc>
        <w:tc>
          <w:tcPr>
            <w:tcW w:w="100" w:type="dxa"/>
            <w:vAlign w:val="bottom"/>
          </w:tcPr>
          <w:p>
            <w:pPr>
              <w:spacing w:after="0"/>
              <w:rPr>
                <w:sz w:val="17"/>
                <w:szCs w:val="17"/>
                <w:color w:val="auto"/>
              </w:rPr>
            </w:pPr>
          </w:p>
        </w:tc>
      </w:tr>
      <w:tr>
        <w:trPr>
          <w:trHeight w:val="241"/>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Change in Interest Rates (Basis Points)</w:t>
            </w: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Net Interest Income</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Net Interest Income</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+300</w:t>
            </w:r>
          </w:p>
        </w:tc>
        <w:tc>
          <w:tcPr>
            <w:tcW w:w="1980" w:type="dxa"/>
            <w:vAlign w:val="bottom"/>
            <w:tcBorders>
              <w:top w:val="single" w:sz="8" w:color="auto"/>
            </w:tcBorders>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+200</w:t>
            </w:r>
          </w:p>
        </w:tc>
        <w:tc>
          <w:tcPr>
            <w:tcW w:w="19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9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-100</w:t>
            </w:r>
          </w:p>
        </w:tc>
        <w:tc>
          <w:tcPr>
            <w:tcW w:w="19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Tangible Book Value Per Common Share</w:t>
      </w:r>
      <w:r>
        <w:rPr>
          <w:rFonts w:ascii="Arial" w:cs="Arial" w:eastAsia="Arial" w:hAnsi="Arial"/>
          <w:sz w:val="17"/>
          <w:szCs w:val="17"/>
          <w:color w:val="auto"/>
        </w:rPr>
        <w:t>. Tangible book value per share is a non-GAAP measure generally used by investors, financial analysts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Tangible Common Equity to Tangible Assets</w:t>
      </w:r>
      <w:r>
        <w:rPr>
          <w:rFonts w:ascii="Arial" w:cs="Arial" w:eastAsia="Arial" w:hAnsi="Arial"/>
          <w:sz w:val="17"/>
          <w:szCs w:val="17"/>
          <w:color w:val="auto"/>
        </w:rPr>
        <w:t>. Tangible common equity to tangible assets is a non-GAAP measure generally used by investors,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ectPr>
          <w:pgSz w:w="11900" w:h="16838" w:orient="portrait"/>
          <w:cols w:equalWidth="0" w:num="1">
            <w:col w:w="11240"/>
          </w:cols>
          <w:pgMar w:left="320" w:top="114"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86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6"/>
              </w:rPr>
              <w:t>March 31,</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10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(Dollars in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407,427</w:t>
            </w: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Less: Goodwill and other intangibles</w:t>
            </w:r>
          </w:p>
        </w:tc>
        <w:tc>
          <w:tcPr>
            <w:tcW w:w="12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(25,011)</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(25,403)</w:t>
            </w:r>
          </w:p>
        </w:tc>
      </w:tr>
      <w:tr>
        <w:trPr>
          <w:trHeight w:val="257"/>
        </w:trPr>
        <w:tc>
          <w:tcPr>
            <w:tcW w:w="8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Tangible common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362,057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382,024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3,999,744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3,901,855</w:t>
            </w: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Less: Goodwill and other intangibles</w:t>
            </w:r>
          </w:p>
        </w:tc>
        <w:tc>
          <w:tcPr>
            <w:tcW w:w="12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(25,011)</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(25,403)</w:t>
            </w:r>
          </w:p>
        </w:tc>
      </w:tr>
      <w:tr>
        <w:trPr>
          <w:trHeight w:val="257"/>
        </w:trPr>
        <w:tc>
          <w:tcPr>
            <w:tcW w:w="8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3,974,733</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3,876,452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Shares outstanding</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17,673,407</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17,760,243</w:t>
            </w:r>
          </w:p>
        </w:tc>
        <w:tc>
          <w:tcPr>
            <w:tcW w:w="160" w:type="dxa"/>
            <w:vAlign w:val="bottom"/>
          </w:tcPr>
          <w:p>
            <w:pPr>
              <w:spacing w:after="0"/>
              <w:rPr>
                <w:sz w:val="18"/>
                <w:szCs w:val="18"/>
                <w:color w:val="auto"/>
              </w:rPr>
            </w:pPr>
          </w:p>
        </w:tc>
      </w:tr>
      <w:tr>
        <w:trPr>
          <w:trHeight w:val="21"/>
        </w:trPr>
        <w:tc>
          <w:tcPr>
            <w:tcW w:w="10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 to total assets</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w:t>
            </w:r>
          </w:p>
        </w:tc>
      </w:tr>
      <w:tr>
        <w:trPr>
          <w:trHeight w:val="216"/>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Tangible common equity to tangible assets</w:t>
            </w:r>
          </w:p>
        </w:tc>
        <w:tc>
          <w:tcPr>
            <w:tcW w:w="12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9.11%</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r>
      <w:tr>
        <w:trPr>
          <w:trHeight w:val="216"/>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Book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22.94</w:t>
            </w:r>
          </w:p>
        </w:tc>
      </w:tr>
      <w:tr>
        <w:trPr>
          <w:trHeight w:val="230"/>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Tangible book value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20.49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21.51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consolidated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March 31, 2022.</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Securities. </w:t>
      </w:r>
      <w:r>
        <w:rPr>
          <w:rFonts w:ascii="Arial" w:cs="Arial" w:eastAsia="Arial" w:hAnsi="Arial"/>
          <w:sz w:val="16"/>
          <w:szCs w:val="16"/>
          <w:color w:val="auto"/>
        </w:rPr>
        <w:t>Investment securities may be classified into trading, held-to-maturity, or available-for-sale portfolios. Securities that are held principally for</w:t>
      </w:r>
      <w:r>
        <w:rPr>
          <w:rFonts w:ascii="Arial" w:cs="Arial" w:eastAsia="Arial" w:hAnsi="Arial"/>
          <w:sz w:val="16"/>
          <w:szCs w:val="16"/>
          <w:i w:val="1"/>
          <w:iCs w:val="1"/>
          <w:color w:val="auto"/>
        </w:rPr>
        <w:t xml:space="preserve"> </w:t>
      </w:r>
      <w:r>
        <w:rPr>
          <w:rFonts w:ascii="Arial" w:cs="Arial" w:eastAsia="Arial" w:hAnsi="Arial"/>
          <w:sz w:val="16"/>
          <w:szCs w:val="16"/>
          <w:color w:val="auto"/>
        </w:rPr>
        <w:t>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Loans that management has the intent and ability to hold for the foreseeable future or until maturity or payoff are reported at their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allowance for loan losses is established as losses are estimated to have occurred through a provision for loan losses</w:t>
      </w:r>
      <w:r>
        <w:rPr>
          <w:rFonts w:ascii="Arial" w:cs="Arial" w:eastAsia="Arial" w:hAnsi="Arial"/>
          <w:sz w:val="16"/>
          <w:szCs w:val="16"/>
          <w:i w:val="1"/>
          <w:iCs w:val="1"/>
          <w:color w:val="auto"/>
        </w:rPr>
        <w:t xml:space="preserve"> </w:t>
      </w:r>
      <w:r>
        <w:rPr>
          <w:rFonts w:ascii="Arial" w:cs="Arial" w:eastAsia="Arial" w:hAnsi="Arial"/>
          <w:sz w:val="16"/>
          <w:szCs w:val="16"/>
          <w:color w:val="auto"/>
        </w:rPr>
        <w:t>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ectPr>
          <w:pgSz w:w="11900" w:h="16838" w:orient="portrait"/>
          <w:cols w:equalWidth="0" w:num="1">
            <w:col w:w="11240"/>
          </w:cols>
          <w:pgMar w:left="320" w:top="114"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comprised of residential mortgage loans. Loans that are originated for best efforts delivery are carried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Mortgage Servicing Rights Asset. </w:t>
      </w:r>
      <w:r>
        <w:rPr>
          <w:rFonts w:ascii="Arial" w:cs="Arial" w:eastAsia="Arial" w:hAnsi="Arial"/>
          <w:sz w:val="17"/>
          <w:szCs w:val="17"/>
          <w:color w:val="auto"/>
        </w:rPr>
        <w:t>When mortgage loans are sold with servicing retained, servicing rights are initially recorded at fair value with the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consolidated financial statements. The fair values of servicing rights are subject to significant fluctuations as a result of changes in estimated and actual prepayment speeds and default rates and losses.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Goodwill resulting from business combinations is generally determined as the excess of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Summary of Significant Accounting Policies, in the notes to the consolidated financial statements included elsewhere in this Form 10-Q regarding the impact of new accounting pronouncements which we have adopted.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that occurred during the three months ended March 31, 2022 that have materially affected, or are reasonably likely to materially affect, the Company’s internal control over financial reporting.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and its subsidiaries are subject to various legal actions, as described in our Annual Report on Form 10-K for the year ended December 31, 2021 (the “2021 Annual Report on Form 10-K”) filed with the SEC on March 8, 2022. Except as described above or in our 2021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2021 Annual Report on Form 10-K. There have been no material changes in the risk factors disclosed by the Company in the 2021 Annual Report on Form 10-K.</w:t>
      </w:r>
    </w:p>
    <w:p>
      <w:pPr>
        <w:spacing w:after="0" w:line="1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29, 2021, the Company’s board of directors approved a stock repurchase program, effective November 6, 2021, pursuant to which the Company may, from time to time, purchase up to $10.0 million of its outstanding shares of common stock (the “Repurchase Program”). The shares may be repurchased from time to time in privately negotiated transactions or the open market, including pursuant to a Rule 10b5-1 trading plan adopted by the Company, and in accordance with applicable regulations of the SEC. The Company is not obligated to purchase any shares of its common stock under the Repurchase Program, and the timing and exact amount of any repurchases will depend on various factors, including the performance of the Company’s stock price, general market and other conditions, applicable legal requirements and other factors. The Repurchase Program has an expiration date of November 6, 2022. The Repurchase Program may be terminated or amended by the Company’s board of directors at any time prior to the expiration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share repurchase activity for the three months ended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5"/>
              </w:rPr>
              <w:t>Maximum Dollar Amount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 Dollar Amount</w:t>
            </w:r>
          </w:p>
        </w:tc>
        <w:tc>
          <w:tcPr>
            <w:tcW w:w="80" w:type="dxa"/>
            <w:vAlign w:val="bottom"/>
          </w:tcPr>
          <w:p>
            <w:pPr>
              <w:spacing w:after="0"/>
              <w:rPr>
                <w:sz w:val="18"/>
                <w:szCs w:val="18"/>
                <w:color w:val="auto"/>
              </w:rPr>
            </w:pPr>
          </w:p>
        </w:tc>
        <w:tc>
          <w:tcPr>
            <w:tcW w:w="2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 Shares</w:t>
            </w:r>
          </w:p>
        </w:tc>
        <w:tc>
          <w:tcPr>
            <w:tcW w:w="8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Average Price</w:t>
            </w:r>
          </w:p>
        </w:tc>
        <w:tc>
          <w:tcPr>
            <w:tcW w:w="10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Pursuant to</w:t>
            </w:r>
          </w:p>
        </w:tc>
        <w:tc>
          <w:tcPr>
            <w:tcW w:w="80" w:type="dxa"/>
            <w:vAlign w:val="bottom"/>
          </w:tcPr>
          <w:p>
            <w:pPr>
              <w:spacing w:after="0"/>
              <w:rPr>
                <w:sz w:val="18"/>
                <w:szCs w:val="18"/>
                <w:color w:val="auto"/>
              </w:rPr>
            </w:pPr>
          </w:p>
        </w:tc>
        <w:tc>
          <w:tcPr>
            <w:tcW w:w="21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Repurchase Pursuant to</w:t>
            </w:r>
          </w:p>
        </w:tc>
        <w:tc>
          <w:tcPr>
            <w:tcW w:w="0" w:type="dxa"/>
            <w:vAlign w:val="bottom"/>
          </w:tcPr>
          <w:p>
            <w:pPr>
              <w:spacing w:after="0"/>
              <w:rPr>
                <w:sz w:val="1"/>
                <w:szCs w:val="1"/>
                <w:color w:val="auto"/>
              </w:rPr>
            </w:pPr>
          </w:p>
        </w:tc>
      </w:tr>
      <w:tr>
        <w:trPr>
          <w:trHeight w:val="241"/>
        </w:trPr>
        <w:tc>
          <w:tcPr>
            <w:tcW w:w="7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Repurchased</w:t>
            </w: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rPr>
              <w:t>Paid Per Share</w:t>
            </w:r>
          </w:p>
        </w:tc>
        <w:tc>
          <w:tcPr>
            <w:tcW w:w="2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Publicly-Announced Plan</w:t>
            </w:r>
          </w:p>
        </w:tc>
        <w:tc>
          <w:tcPr>
            <w:tcW w:w="80" w:type="dxa"/>
            <w:vAlign w:val="bottom"/>
          </w:tcPr>
          <w:p>
            <w:pPr>
              <w:spacing w:after="0"/>
              <w:rPr>
                <w:sz w:val="20"/>
                <w:szCs w:val="20"/>
                <w:color w:val="auto"/>
              </w:rPr>
            </w:pPr>
          </w:p>
        </w:tc>
        <w:tc>
          <w:tcPr>
            <w:tcW w:w="2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Publicly-Announced Plan</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January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1,194,530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February 2022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31,095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886,755</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5,634,145</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March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936,415</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4,697,730</w:t>
            </w: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37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106,498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rPr>
              <w:t>Item 3.</w:t>
            </w:r>
          </w:p>
        </w:tc>
        <w:tc>
          <w:tcPr>
            <w:tcW w:w="37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Defaults upon Senior Securities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00" w:type="dxa"/>
            <w:vAlign w:val="bottom"/>
            <w:vMerge w:val="continue"/>
          </w:tcPr>
          <w:p>
            <w:pPr>
              <w:spacing w:after="0"/>
              <w:rPr>
                <w:sz w:val="24"/>
                <w:szCs w:val="24"/>
                <w:color w:val="auto"/>
              </w:rPr>
            </w:pPr>
          </w:p>
        </w:tc>
        <w:tc>
          <w:tcPr>
            <w:tcW w:w="37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Mine Safety Disclosures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700" w:type="dxa"/>
            <w:vAlign w:val="bottom"/>
          </w:tcPr>
          <w:p>
            <w:pPr>
              <w:ind w:left="120"/>
              <w:spacing w:after="0"/>
              <w:rPr>
                <w:sz w:val="20"/>
                <w:szCs w:val="20"/>
                <w:color w:val="auto"/>
              </w:rPr>
            </w:pPr>
            <w:r>
              <w:rPr>
                <w:rFonts w:ascii="Arial" w:cs="Arial" w:eastAsia="Arial" w:hAnsi="Arial"/>
                <w:sz w:val="18"/>
                <w:szCs w:val="18"/>
                <w:b w:val="1"/>
                <w:bCs w:val="1"/>
                <w:color w:val="auto"/>
              </w:rPr>
              <w:t>Other Information</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None.</w:t>
            </w:r>
          </w:p>
        </w:tc>
        <w:tc>
          <w:tcPr>
            <w:tcW w:w="3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4"/>
          </w:tcPr>
          <w:p>
            <w:pPr>
              <w:ind w:left="22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41"/>
        </w:trPr>
        <w:tc>
          <w:tcPr>
            <w:tcW w:w="102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bottom w:val="single" w:sz="8" w:color="CCEEFF"/>
            </w:tcBorders>
          </w:tcPr>
          <w:p>
            <w:pPr>
              <w:spacing w:after="0"/>
              <w:rPr>
                <w:sz w:val="20"/>
                <w:szCs w:val="20"/>
                <w:color w:val="auto"/>
              </w:rPr>
            </w:pPr>
          </w:p>
        </w:tc>
        <w:tc>
          <w:tcPr>
            <w:tcW w:w="10000" w:type="dxa"/>
            <w:vAlign w:val="bottom"/>
            <w:tcBorders>
              <w:bottom w:val="single" w:sz="8" w:color="auto"/>
            </w:tcBorders>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57">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Amended and Restated Certificate of Formation of South Plains Financial, Inc. (incorporated by reference to Exhibit 3.1 to the Company’s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Form S-1 filed with the SEC on April 12, 2019) (File No. 333-230851).</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58">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Second Amended and Restated Bylaws of South Plains Financial, Inc. (incorporated by reference to Exhibit 3.1 to the Company’s Current</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Report on Form 8-K filed with the SEC on November 1, 2021) (File No. 001-38895).</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2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2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0" w:type="dxa"/>
            <w:vAlign w:val="bottom"/>
            <w:tcBorders>
              <w:top w:val="single" w:sz="8" w:color="CCEEFF"/>
            </w:tcBorders>
          </w:tcPr>
          <w:p>
            <w:pPr>
              <w:spacing w:after="0"/>
              <w:rPr>
                <w:sz w:val="18"/>
                <w:szCs w:val="18"/>
                <w:color w:val="auto"/>
              </w:rPr>
            </w:pPr>
          </w:p>
        </w:tc>
      </w:tr>
      <w:tr>
        <w:trPr>
          <w:trHeight w:val="196"/>
        </w:trPr>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2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0" w:type="dxa"/>
            <w:vAlign w:val="bottom"/>
            <w:tcBorders>
              <w:top w:val="single" w:sz="8" w:color="CCEEFF"/>
            </w:tcBorders>
          </w:tcPr>
          <w:p>
            <w:pPr>
              <w:spacing w:after="0"/>
              <w:rPr>
                <w:sz w:val="18"/>
                <w:szCs w:val="18"/>
                <w:color w:val="auto"/>
              </w:rPr>
            </w:pPr>
          </w:p>
        </w:tc>
      </w:tr>
      <w:tr>
        <w:trPr>
          <w:trHeight w:val="196"/>
        </w:trPr>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2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0" w:type="dxa"/>
            <w:vAlign w:val="bottom"/>
            <w:tcBorders>
              <w:top w:val="single" w:sz="8" w:color="CCEEFF"/>
            </w:tcBorders>
          </w:tcPr>
          <w:p>
            <w:pPr>
              <w:spacing w:after="0"/>
              <w:rPr>
                <w:sz w:val="18"/>
                <w:szCs w:val="18"/>
                <w:color w:val="auto"/>
              </w:rPr>
            </w:pPr>
          </w:p>
        </w:tc>
      </w:tr>
      <w:tr>
        <w:trPr>
          <w:trHeight w:val="202"/>
        </w:trPr>
        <w:tc>
          <w:tcPr>
            <w:tcW w:w="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The following material from South Plains Financial, Inc.’s Form 10-Q for the quarter ended March 31, 2022, formatted in XBRL</w:t>
            </w: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(eXtensible  Business  Reporting  Language),  filed  herewith:  (i)  Consolidated  Balance  Sheets,  (ii)  Consolidated  Statements  of</w:t>
            </w: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2"/>
              </w:rPr>
              <w:t>Comprehensive Income, (iii) Consolidated Statements of Changes in Stockholders’ Equity, (iv) Consolidated Statements of Cash Flows,</w:t>
            </w:r>
          </w:p>
        </w:tc>
      </w:tr>
      <w:tr>
        <w:trPr>
          <w:trHeight w:val="230"/>
        </w:trPr>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(v) Notes to Unaudited Consolidated Financial Statements.</w:t>
            </w: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Filed with this Form 10-Q</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222222"/>
        </w:rPr>
        <w:t>Furnished with this Form 10-Q</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0" w:val="left"/>
          <w:tab w:leader="none" w:pos="5620" w:val="left"/>
          <w:tab w:leader="none" w:pos="7860" w:val="left"/>
        </w:tabs>
        <w:rPr>
          <w:sz w:val="20"/>
          <w:szCs w:val="20"/>
          <w:color w:val="auto"/>
        </w:rPr>
      </w:pPr>
      <w:r>
        <w:rPr>
          <w:rFonts w:ascii="Arial" w:cs="Arial" w:eastAsia="Arial" w:hAnsi="Arial"/>
          <w:sz w:val="18"/>
          <w:szCs w:val="18"/>
          <w:color w:val="auto"/>
        </w:rPr>
        <w:t>Date:</w:t>
        <w:tab/>
        <w:t>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spacing w:after="0"/>
        <w:tabs>
          <w:tab w:leader="none" w:pos="560" w:val="left"/>
          <w:tab w:leader="none" w:pos="5620" w:val="left"/>
          <w:tab w:leader="none" w:pos="7800" w:val="left"/>
        </w:tabs>
        <w:rPr>
          <w:sz w:val="20"/>
          <w:szCs w:val="20"/>
          <w:color w:val="auto"/>
        </w:rPr>
      </w:pPr>
      <w:r>
        <w:rPr>
          <w:rFonts w:ascii="Arial" w:cs="Arial" w:eastAsia="Arial" w:hAnsi="Arial"/>
          <w:sz w:val="18"/>
          <w:szCs w:val="18"/>
          <w:color w:val="auto"/>
        </w:rPr>
        <w:t>Date:</w:t>
        <w:tab/>
        <w:t>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Curtis C. Griffith, certify that:</w:t>
      </w:r>
    </w:p>
    <w:p>
      <w:pPr>
        <w:spacing w:after="0" w:line="240" w:lineRule="exact"/>
        <w:rPr>
          <w:sz w:val="20"/>
          <w:szCs w:val="20"/>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(the “registrant”) for the quarter ended March 31, 2022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060" w:val="left"/>
          <w:tab w:leader="none" w:pos="768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Steven B. Crockett, certify that:</w:t>
      </w:r>
    </w:p>
    <w:p>
      <w:pPr>
        <w:spacing w:after="0" w:line="240" w:lineRule="exact"/>
        <w:rPr>
          <w:sz w:val="20"/>
          <w:szCs w:val="20"/>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(the “registrant”) for the quarter ended March 31, 2022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90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March 31, 2022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r>
              <w:rPr>
                <w:rFonts w:ascii="Arial" w:cs="Arial" w:eastAsia="Arial" w:hAnsi="Arial"/>
                <w:sz w:val="18"/>
                <w:szCs w:val="18"/>
                <w:color w:val="auto"/>
              </w:rPr>
              <w:t>Date: May 9, 2022</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Curtis C. Griffith</w:t>
            </w:r>
          </w:p>
        </w:tc>
      </w:tr>
      <w:tr>
        <w:trPr>
          <w:trHeight w:val="202"/>
        </w:trPr>
        <w:tc>
          <w:tcPr>
            <w:tcW w:w="35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6"/>
              </w:rPr>
              <w:t>Curtis C. Griffith</w:t>
            </w:r>
          </w:p>
        </w:tc>
      </w:tr>
      <w:tr>
        <w:trPr>
          <w:trHeight w:val="230"/>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601"/>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March 31, 2022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r>
              <w:rPr>
                <w:rFonts w:ascii="Arial" w:cs="Arial" w:eastAsia="Arial" w:hAnsi="Arial"/>
                <w:sz w:val="18"/>
                <w:szCs w:val="18"/>
                <w:color w:val="auto"/>
              </w:rPr>
              <w:t>Date: May 9, 2022</w:t>
            </w:r>
          </w:p>
        </w:tc>
        <w:tc>
          <w:tcPr>
            <w:tcW w:w="2460" w:type="dxa"/>
            <w:vAlign w:val="bottom"/>
          </w:tcPr>
          <w:p>
            <w:pPr>
              <w:ind w:left="214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B. Crockett</w:t>
            </w:r>
          </w:p>
        </w:tc>
      </w:tr>
      <w:tr>
        <w:trPr>
          <w:trHeight w:val="202"/>
        </w:trPr>
        <w:tc>
          <w:tcPr>
            <w:tcW w:w="3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80" w:type="dxa"/>
            <w:vAlign w:val="bottom"/>
          </w:tcPr>
          <w:p>
            <w:pPr>
              <w:jc w:val="center"/>
              <w:spacing w:after="0" w:line="201" w:lineRule="exact"/>
              <w:rPr>
                <w:sz w:val="20"/>
                <w:szCs w:val="20"/>
                <w:color w:val="auto"/>
              </w:rPr>
            </w:pPr>
            <w:r>
              <w:rPr>
                <w:rFonts w:ascii="Arial" w:cs="Arial" w:eastAsia="Arial" w:hAnsi="Arial"/>
                <w:sz w:val="18"/>
                <w:szCs w:val="18"/>
                <w:color w:val="auto"/>
                <w:w w:val="90"/>
              </w:rPr>
              <w:t>Steven B. Crockett</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601"/>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upperLetter"/>
      <w:start w:val="2"/>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57" Type="http://schemas.openxmlformats.org/officeDocument/2006/relationships/hyperlink" Target="https://www.sec.gov/Archives/edgar/data/1163668/000114036119007042/s002614x4_ex3-1.htm" TargetMode="External"/><Relationship Id="rId58" Type="http://schemas.openxmlformats.org/officeDocument/2006/relationships/hyperlink" Target="https://www.sec.gov/Archives/edgar/data/0001163668/000114036121036078/brhc10030259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2022-05-09T17:17:19Z</dcterms:created>
  <dcterms:modified xsi:type="dcterms:W3CDTF">2022-05-09T17:17:19Z</dcterms:modified>
</cp:coreProperties>
</file>