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194310</wp:posOffset>
            </wp:positionH>
            <wp:positionV relativeFrom="page">
              <wp:posOffset>143510</wp:posOffset>
            </wp:positionV>
            <wp:extent cx="716026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239395</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8-K</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Securities Exchange Act of 1934</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October 24, 2023</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33"/>
          <w:szCs w:val="33"/>
          <w:b w:val="1"/>
          <w:bCs w:val="1"/>
          <w:color w:val="auto"/>
        </w:rPr>
        <w:t>South Plains Financial, Inc.</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80"/>
          </w:cols>
          <w:pgMar w:left="300" w:top="444" w:right="319" w:bottom="1440" w:gutter="0" w:footer="0" w:header="0"/>
        </w:sectPr>
      </w:pPr>
    </w:p>
    <w:p>
      <w:pPr>
        <w:spacing w:after="0" w:line="167" w:lineRule="exact"/>
        <w:rPr>
          <w:sz w:val="24"/>
          <w:szCs w:val="24"/>
          <w:color w:val="auto"/>
        </w:rPr>
      </w:pPr>
    </w:p>
    <w:p>
      <w:pPr>
        <w:jc w:val="center"/>
        <w:ind w:right="420"/>
        <w:spacing w:after="0"/>
        <w:rPr>
          <w:sz w:val="20"/>
          <w:szCs w:val="20"/>
          <w:color w:val="auto"/>
        </w:rPr>
      </w:pPr>
      <w:r>
        <w:rPr>
          <w:rFonts w:ascii="Arial" w:cs="Arial" w:eastAsia="Arial" w:hAnsi="Arial"/>
          <w:sz w:val="14"/>
          <w:szCs w:val="14"/>
          <w:b w:val="1"/>
          <w:bCs w:val="1"/>
          <w:color w:val="auto"/>
        </w:rPr>
        <w:t>Texas</w:t>
      </w:r>
    </w:p>
    <w:p>
      <w:pPr>
        <w:spacing w:after="0" w:line="25" w:lineRule="exact"/>
        <w:rPr>
          <w:sz w:val="24"/>
          <w:szCs w:val="24"/>
          <w:color w:val="auto"/>
        </w:rPr>
      </w:pPr>
    </w:p>
    <w:p>
      <w:pPr>
        <w:jc w:val="center"/>
        <w:ind w:right="42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1280"/>
        <w:spacing w:after="0"/>
        <w:rPr>
          <w:sz w:val="20"/>
          <w:szCs w:val="20"/>
          <w:color w:val="auto"/>
        </w:rPr>
      </w:pPr>
      <w:r>
        <w:rPr>
          <w:rFonts w:ascii="Arial" w:cs="Arial" w:eastAsia="Arial" w:hAnsi="Arial"/>
          <w:sz w:val="14"/>
          <w:szCs w:val="14"/>
          <w:b w:val="1"/>
          <w:bCs w:val="1"/>
          <w:color w:val="auto"/>
        </w:rPr>
        <w:t>001-38895</w:t>
      </w:r>
    </w:p>
    <w:p>
      <w:pPr>
        <w:spacing w:after="0" w:line="25" w:lineRule="exact"/>
        <w:rPr>
          <w:sz w:val="24"/>
          <w:szCs w:val="24"/>
          <w:color w:val="auto"/>
        </w:rPr>
      </w:pPr>
    </w:p>
    <w:p>
      <w:pPr>
        <w:jc w:val="center"/>
        <w:ind w:right="128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860"/>
        <w:spacing w:after="0"/>
        <w:rPr>
          <w:sz w:val="20"/>
          <w:szCs w:val="20"/>
          <w:color w:val="auto"/>
        </w:rPr>
      </w:pPr>
      <w:r>
        <w:rPr>
          <w:rFonts w:ascii="Arial" w:cs="Arial" w:eastAsia="Arial" w:hAnsi="Arial"/>
          <w:sz w:val="14"/>
          <w:szCs w:val="14"/>
          <w:b w:val="1"/>
          <w:bCs w:val="1"/>
          <w:color w:val="auto"/>
        </w:rPr>
        <w:t>75-2453320</w:t>
      </w:r>
    </w:p>
    <w:p>
      <w:pPr>
        <w:spacing w:after="0" w:line="25" w:lineRule="exact"/>
        <w:rPr>
          <w:sz w:val="24"/>
          <w:szCs w:val="24"/>
          <w:color w:val="auto"/>
        </w:rPr>
      </w:pPr>
    </w:p>
    <w:p>
      <w:pPr>
        <w:jc w:val="center"/>
        <w:ind w:right="860"/>
        <w:spacing w:after="0"/>
        <w:rPr>
          <w:sz w:val="20"/>
          <w:szCs w:val="20"/>
          <w:color w:val="auto"/>
        </w:rPr>
      </w:pPr>
      <w:r>
        <w:rPr>
          <w:rFonts w:ascii="Arial" w:cs="Arial" w:eastAsia="Arial" w:hAnsi="Arial"/>
          <w:sz w:val="13"/>
          <w:szCs w:val="13"/>
          <w:color w:val="auto"/>
        </w:rPr>
        <w:t>(IRS Employer Identification No.)</w:t>
      </w:r>
    </w:p>
    <w:p>
      <w:pPr>
        <w:spacing w:after="0" w:line="181" w:lineRule="exact"/>
        <w:rPr>
          <w:sz w:val="24"/>
          <w:szCs w:val="24"/>
          <w:color w:val="auto"/>
        </w:rPr>
      </w:pPr>
    </w:p>
    <w:p>
      <w:pPr>
        <w:sectPr>
          <w:pgSz w:w="11900" w:h="16838" w:orient="portrait"/>
          <w:cols w:equalWidth="0" w:num="3">
            <w:col w:w="4140" w:space="720"/>
            <w:col w:w="2860" w:space="720"/>
            <w:col w:w="2840"/>
          </w:cols>
          <w:pgMar w:left="300" w:top="444" w:right="319" w:bottom="1440" w:gutter="0" w:footer="0" w:header="0"/>
          <w:type w:val="continuous"/>
        </w:sectPr>
      </w:pPr>
    </w:p>
    <w:p>
      <w:pPr>
        <w:jc w:val="center"/>
        <w:ind w:right="1960"/>
        <w:spacing w:after="0"/>
        <w:rPr>
          <w:sz w:val="20"/>
          <w:szCs w:val="20"/>
          <w:color w:val="auto"/>
        </w:rPr>
      </w:pPr>
      <w:r>
        <w:rPr>
          <w:rFonts w:ascii="Arial" w:cs="Arial" w:eastAsia="Arial" w:hAnsi="Arial"/>
          <w:sz w:val="14"/>
          <w:szCs w:val="14"/>
          <w:b w:val="1"/>
          <w:bCs w:val="1"/>
          <w:color w:val="auto"/>
        </w:rPr>
        <w:t>5219 City Bank Parkway</w:t>
      </w:r>
    </w:p>
    <w:p>
      <w:pPr>
        <w:spacing w:after="0" w:line="25" w:lineRule="exact"/>
        <w:rPr>
          <w:sz w:val="24"/>
          <w:szCs w:val="24"/>
          <w:color w:val="auto"/>
        </w:rPr>
      </w:pPr>
    </w:p>
    <w:p>
      <w:pPr>
        <w:jc w:val="center"/>
        <w:ind w:right="1960"/>
        <w:spacing w:after="0"/>
        <w:rPr>
          <w:sz w:val="20"/>
          <w:szCs w:val="20"/>
          <w:color w:val="auto"/>
        </w:rPr>
      </w:pPr>
      <w:r>
        <w:rPr>
          <w:rFonts w:ascii="Arial" w:cs="Arial" w:eastAsia="Arial" w:hAnsi="Arial"/>
          <w:sz w:val="14"/>
          <w:szCs w:val="14"/>
          <w:b w:val="1"/>
          <w:bCs w:val="1"/>
          <w:color w:val="auto"/>
        </w:rPr>
        <w:t>Lubbock, Texas</w:t>
      </w:r>
    </w:p>
    <w:p>
      <w:pPr>
        <w:spacing w:after="0" w:line="11" w:lineRule="exact"/>
        <w:rPr>
          <w:sz w:val="24"/>
          <w:szCs w:val="24"/>
          <w:color w:val="auto"/>
        </w:rPr>
      </w:pPr>
    </w:p>
    <w:p>
      <w:pPr>
        <w:jc w:val="center"/>
        <w:ind w:right="196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2440"/>
        <w:spacing w:after="0"/>
        <w:rPr>
          <w:sz w:val="20"/>
          <w:szCs w:val="20"/>
          <w:color w:val="auto"/>
        </w:rPr>
      </w:pPr>
      <w:r>
        <w:rPr>
          <w:rFonts w:ascii="Arial" w:cs="Arial" w:eastAsia="Arial" w:hAnsi="Arial"/>
          <w:sz w:val="14"/>
          <w:szCs w:val="14"/>
          <w:b w:val="1"/>
          <w:bCs w:val="1"/>
          <w:color w:val="auto"/>
        </w:rPr>
        <w:t>79407</w:t>
      </w:r>
    </w:p>
    <w:p>
      <w:pPr>
        <w:spacing w:after="0" w:line="25" w:lineRule="exact"/>
        <w:rPr>
          <w:sz w:val="24"/>
          <w:szCs w:val="24"/>
          <w:color w:val="auto"/>
        </w:rPr>
      </w:pPr>
    </w:p>
    <w:p>
      <w:pPr>
        <w:jc w:val="center"/>
        <w:ind w:right="2440"/>
        <w:spacing w:after="0"/>
        <w:rPr>
          <w:sz w:val="20"/>
          <w:szCs w:val="20"/>
          <w:color w:val="auto"/>
        </w:rPr>
      </w:pPr>
      <w:r>
        <w:rPr>
          <w:rFonts w:ascii="Arial" w:cs="Arial" w:eastAsia="Arial" w:hAnsi="Arial"/>
          <w:sz w:val="13"/>
          <w:szCs w:val="13"/>
          <w:color w:val="auto"/>
        </w:rPr>
        <w:t>(Zip Code)</w:t>
      </w:r>
    </w:p>
    <w:p>
      <w:pPr>
        <w:spacing w:after="0" w:line="181" w:lineRule="exact"/>
        <w:rPr>
          <w:sz w:val="24"/>
          <w:szCs w:val="24"/>
          <w:color w:val="auto"/>
        </w:rPr>
      </w:pPr>
    </w:p>
    <w:p>
      <w:pPr>
        <w:sectPr>
          <w:pgSz w:w="11900" w:h="16838" w:orient="portrait"/>
          <w:cols w:equalWidth="0" w:num="2">
            <w:col w:w="7500" w:space="720"/>
            <w:col w:w="3060"/>
          </w:cols>
          <w:pgMar w:left="300" w:top="444" w:right="31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(806) 792-7101</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7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83"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83" w:lineRule="exact"/>
        <w:rPr>
          <w:rFonts w:ascii="MS PGothic" w:cs="MS PGothic" w:eastAsia="MS PGothic" w:hAnsi="MS PGothic"/>
          <w:sz w:val="14"/>
          <w:szCs w:val="14"/>
          <w:color w:val="auto"/>
        </w:rPr>
      </w:pPr>
    </w:p>
    <w:p>
      <w:pPr>
        <w:ind w:left="260" w:hanging="254"/>
        <w:spacing w:after="0"/>
        <w:tabs>
          <w:tab w:leader="none" w:pos="2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83" w:lineRule="exact"/>
        <w:rPr>
          <w:rFonts w:ascii="MS PGothic" w:cs="MS PGothic" w:eastAsia="MS PGothic" w:hAnsi="MS PGothic"/>
          <w:sz w:val="14"/>
          <w:szCs w:val="14"/>
          <w:color w:val="auto"/>
        </w:rPr>
      </w:pPr>
    </w:p>
    <w:p>
      <w:pPr>
        <w:ind w:right="4600" w:firstLine="6"/>
        <w:spacing w:after="0" w:line="521" w:lineRule="auto"/>
        <w:tabs>
          <w:tab w:leader="none" w:pos="258"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5"/>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74"/>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SPFI</w:t>
            </w:r>
          </w:p>
        </w:tc>
        <w:tc>
          <w:tcPr>
            <w:tcW w:w="4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The Nasdaq Stock Market LLC</w:t>
            </w:r>
          </w:p>
        </w:tc>
      </w:tr>
    </w:tbl>
    <w:p>
      <w:pPr>
        <w:spacing w:after="0" w:line="161" w:lineRule="exact"/>
        <w:rPr>
          <w:sz w:val="24"/>
          <w:szCs w:val="24"/>
          <w:color w:val="auto"/>
        </w:rPr>
      </w:pPr>
    </w:p>
    <w:p>
      <w:pPr>
        <w:ind w:right="420"/>
        <w:spacing w:after="0" w:line="287"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6" w:lineRule="exact"/>
        <w:rPr>
          <w:sz w:val="24"/>
          <w:szCs w:val="24"/>
          <w:color w:val="auto"/>
        </w:rPr>
      </w:pPr>
    </w:p>
    <w:p>
      <w:pPr>
        <w:ind w:left="95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30" w:lineRule="exact"/>
        <w:rPr>
          <w:sz w:val="24"/>
          <w:szCs w:val="24"/>
          <w:color w:val="auto"/>
        </w:rPr>
      </w:pPr>
    </w:p>
    <w:p>
      <w:pPr>
        <w:ind w:right="60"/>
        <w:spacing w:after="0" w:line="18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602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211455</wp:posOffset>
            </wp:positionV>
            <wp:extent cx="7160260"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334645</wp:posOffset>
            </wp:positionV>
            <wp:extent cx="716026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44" w:right="31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4"/>
          <w:szCs w:val="14"/>
          <w:b w:val="1"/>
          <w:bCs w:val="1"/>
          <w:color w:val="auto"/>
        </w:rPr>
        <w:t>Item 2.02</w:t>
      </w:r>
      <w:r>
        <w:rPr>
          <w:sz w:val="20"/>
          <w:szCs w:val="20"/>
          <w:color w:val="auto"/>
        </w:rPr>
        <w:tab/>
      </w:r>
      <w:r>
        <w:rPr>
          <w:rFonts w:ascii="Arial" w:cs="Arial" w:eastAsia="Arial" w:hAnsi="Arial"/>
          <w:sz w:val="12"/>
          <w:szCs w:val="12"/>
          <w:b w:val="1"/>
          <w:bCs w:val="1"/>
          <w:color w:val="auto"/>
        </w:rPr>
        <w:t>Results of Operations and Financial Condition.</w:t>
      </w:r>
    </w:p>
    <w:p>
      <w:pPr>
        <w:spacing w:after="0" w:line="187"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color w:val="auto"/>
        </w:rPr>
        <w:t>On October 24, 2023, South Plains Financial, Inc. (the “Company”) issued a press release announcing its financial results for the third quarter ended September 30, 2023. A copy of the Company’s press release covering such announcement and certain other matters is furnished as Exhibit 99.1 to this Current Report on Form 8-K.</w:t>
      </w:r>
    </w:p>
    <w:p>
      <w:pPr>
        <w:spacing w:after="0" w:line="127"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187" w:lineRule="exact"/>
        <w:rPr>
          <w:sz w:val="20"/>
          <w:szCs w:val="20"/>
          <w:color w:val="auto"/>
        </w:rPr>
      </w:pPr>
    </w:p>
    <w:p>
      <w:pPr>
        <w:jc w:val="both"/>
        <w:ind w:firstLine="517"/>
        <w:spacing w:after="0" w:line="272" w:lineRule="auto"/>
        <w:rPr>
          <w:sz w:val="20"/>
          <w:szCs w:val="20"/>
          <w:color w:val="auto"/>
        </w:rPr>
      </w:pPr>
      <w:r>
        <w:rPr>
          <w:rFonts w:ascii="Arial" w:cs="Arial" w:eastAsia="Arial" w:hAnsi="Arial"/>
          <w:sz w:val="14"/>
          <w:szCs w:val="14"/>
          <w:color w:val="auto"/>
        </w:rPr>
        <w:t>On October 24, 2023, officers of the Company will have a conference call with respect to the Company’s financial results for the third quarter ended September 30, 2023. An earnings release slide presentation highlighting the Company’s financial results for the third quarter ended September 30, 2023 is furnished as Exhibit 99.2 to this Current Report on Form 8-K. This earnings release slide presentation will also be available on the Company’s website, www.spfi.bank, under the “News &amp; Events” section.</w:t>
      </w:r>
    </w:p>
    <w:p>
      <w:pPr>
        <w:spacing w:after="0" w:line="141" w:lineRule="exact"/>
        <w:rPr>
          <w:sz w:val="20"/>
          <w:szCs w:val="20"/>
          <w:color w:val="auto"/>
        </w:rPr>
      </w:pPr>
    </w:p>
    <w:p>
      <w:pPr>
        <w:jc w:val="both"/>
        <w:ind w:firstLine="517"/>
        <w:spacing w:after="0" w:line="293" w:lineRule="auto"/>
        <w:rPr>
          <w:sz w:val="20"/>
          <w:szCs w:val="20"/>
          <w:color w:val="auto"/>
        </w:rPr>
      </w:pPr>
      <w:r>
        <w:rPr>
          <w:rFonts w:ascii="Arial" w:cs="Arial" w:eastAsia="Arial" w:hAnsi="Arial"/>
          <w:sz w:val="13"/>
          <w:szCs w:val="13"/>
          <w:color w:val="auto"/>
        </w:rPr>
        <w:t>In accordance with General Instruction B.2 of Form 8-K, the information in Items 2.02 and 7.01 of this Current Report on Form 8-K, including Exhibit 99.1 and Exhibit 99.2 furnished herewith, shall not be deemed “filed” for the purposes of Section 18 of the Securities Exchange Act of 1934, as amended (the “Exchange Act”), or otherwise subject to the liabilities of that section. The information in Items 2.02 and 7.01 of this Current Report on Form 8-K, including Exhibit 99.1 and Exhibit 99.2 furnished herewith, shall not be incorporated by reference into any filing or other document pursuant to the Exchange Act or the Securities Act of 1933, as amended, except as shall be expressly set forth by specific reference in such filing or document.</w:t>
      </w:r>
    </w:p>
    <w:p>
      <w:pPr>
        <w:spacing w:after="0" w:line="127"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187" w:lineRule="exact"/>
        <w:rPr>
          <w:sz w:val="20"/>
          <w:szCs w:val="20"/>
          <w:color w:val="auto"/>
        </w:rPr>
      </w:pPr>
    </w:p>
    <w:p>
      <w:pPr>
        <w:ind w:left="1040" w:hanging="517"/>
        <w:spacing w:after="0"/>
        <w:tabs>
          <w:tab w:leader="none" w:pos="104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Exhibits.</w:t>
      </w:r>
    </w:p>
    <w:p>
      <w:pPr>
        <w:spacing w:after="0" w:line="18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u w:val="single" w:color="auto"/>
          <w:color w:val="0000EE"/>
        </w:rPr>
        <w:t>99.1</w:t>
      </w:r>
      <w:r>
        <w:rPr>
          <w:sz w:val="20"/>
          <w:szCs w:val="20"/>
          <w:color w:val="auto"/>
        </w:rPr>
        <w:tab/>
      </w:r>
      <w:r>
        <w:rPr>
          <w:rFonts w:ascii="Arial" w:cs="Arial" w:eastAsia="Arial" w:hAnsi="Arial"/>
          <w:sz w:val="12"/>
          <w:szCs w:val="12"/>
          <w:color w:val="auto"/>
        </w:rPr>
        <w:t>Press release, dated October 24, 2023, announcing third quarter 2023 financial results of South Plains Financial, Inc.</w:t>
      </w:r>
    </w:p>
    <w:p>
      <w:pPr>
        <w:spacing w:after="0" w:line="18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u w:val="single" w:color="auto"/>
          <w:color w:val="0000EE"/>
        </w:rPr>
        <w:t>99.2</w:t>
      </w:r>
      <w:r>
        <w:rPr>
          <w:sz w:val="20"/>
          <w:szCs w:val="20"/>
          <w:color w:val="auto"/>
        </w:rPr>
        <w:tab/>
      </w:r>
      <w:r>
        <w:rPr>
          <w:rFonts w:ascii="Arial" w:cs="Arial" w:eastAsia="Arial" w:hAnsi="Arial"/>
          <w:sz w:val="12"/>
          <w:szCs w:val="12"/>
          <w:color w:val="auto"/>
        </w:rPr>
        <w:t>Earnings release slide presentation, dated October 24, 2023.</w:t>
      </w:r>
    </w:p>
    <w:p>
      <w:pPr>
        <w:spacing w:after="0" w:line="18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212090</wp:posOffset>
            </wp:positionV>
            <wp:extent cx="716026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4"/>
          <w:szCs w:val="14"/>
          <w:b w:val="1"/>
          <w:bCs w:val="1"/>
          <w:color w:val="auto"/>
        </w:rPr>
        <w:t>SIGNATURES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5660"/>
        <w:spacing w:after="0"/>
        <w:rPr>
          <w:sz w:val="20"/>
          <w:szCs w:val="20"/>
          <w:color w:val="auto"/>
        </w:rPr>
      </w:pPr>
      <w:r>
        <w:rPr>
          <w:rFonts w:ascii="Arial" w:cs="Arial" w:eastAsia="Arial" w:hAnsi="Arial"/>
          <w:sz w:val="14"/>
          <w:szCs w:val="14"/>
          <w:b w:val="1"/>
          <w:bCs w:val="1"/>
          <w:color w:val="auto"/>
        </w:rPr>
        <w:t>SOUTH PLAINS FINANCIAL, INC.</w:t>
      </w:r>
    </w:p>
    <w:p>
      <w:pPr>
        <w:spacing w:after="0" w:line="187" w:lineRule="exact"/>
        <w:rPr>
          <w:sz w:val="20"/>
          <w:szCs w:val="20"/>
          <w:color w:val="auto"/>
        </w:rPr>
      </w:pPr>
    </w:p>
    <w:p>
      <w:pPr>
        <w:spacing w:after="0"/>
        <w:tabs>
          <w:tab w:leader="none" w:pos="5640" w:val="left"/>
        </w:tabs>
        <w:rPr>
          <w:sz w:val="20"/>
          <w:szCs w:val="20"/>
          <w:color w:val="auto"/>
        </w:rPr>
      </w:pPr>
      <w:r>
        <w:rPr>
          <w:rFonts w:ascii="Arial" w:cs="Arial" w:eastAsia="Arial" w:hAnsi="Arial"/>
          <w:sz w:val="14"/>
          <w:szCs w:val="14"/>
          <w:color w:val="auto"/>
        </w:rPr>
        <w:t>Date: October 24, 2023</w:t>
      </w:r>
      <w:r>
        <w:rPr>
          <w:sz w:val="20"/>
          <w:szCs w:val="20"/>
          <w:color w:val="auto"/>
        </w:rPr>
        <w:tab/>
      </w:r>
      <w:r>
        <w:rPr>
          <w:rFonts w:ascii="Arial" w:cs="Arial" w:eastAsia="Arial" w:hAnsi="Arial"/>
          <w:sz w:val="13"/>
          <w:szCs w:val="13"/>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13970</wp:posOffset>
            </wp:positionV>
            <wp:extent cx="337502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5025" cy="13970"/>
                    </a:xfrm>
                    <a:prstGeom prst="rect">
                      <a:avLst/>
                    </a:prstGeom>
                    <a:noFill/>
                  </pic:spPr>
                </pic:pic>
              </a:graphicData>
            </a:graphic>
          </wp:anchor>
        </w:drawing>
      </w:r>
    </w:p>
    <w:p>
      <w:pPr>
        <w:spacing w:after="0" w:line="13" w:lineRule="exact"/>
        <w:rPr>
          <w:sz w:val="20"/>
          <w:szCs w:val="20"/>
          <w:color w:val="auto"/>
        </w:rPr>
      </w:pPr>
    </w:p>
    <w:p>
      <w:pPr>
        <w:ind w:left="6240"/>
        <w:spacing w:after="0"/>
        <w:rPr>
          <w:sz w:val="20"/>
          <w:szCs w:val="20"/>
          <w:color w:val="auto"/>
        </w:rPr>
      </w:pPr>
      <w:r>
        <w:rPr>
          <w:rFonts w:ascii="Arial" w:cs="Arial" w:eastAsia="Arial" w:hAnsi="Arial"/>
          <w:sz w:val="14"/>
          <w:szCs w:val="14"/>
          <w:color w:val="auto"/>
        </w:rPr>
        <w:t>Steven B. Crockett</w:t>
      </w:r>
    </w:p>
    <w:p>
      <w:pPr>
        <w:spacing w:after="0" w:line="21" w:lineRule="exact"/>
        <w:rPr>
          <w:sz w:val="20"/>
          <w:szCs w:val="20"/>
          <w:color w:val="auto"/>
        </w:rPr>
      </w:pPr>
    </w:p>
    <w:p>
      <w:pPr>
        <w:ind w:left="6240"/>
        <w:spacing w:after="0"/>
        <w:rPr>
          <w:sz w:val="20"/>
          <w:szCs w:val="20"/>
          <w:color w:val="auto"/>
        </w:rPr>
      </w:pPr>
      <w:r>
        <w:rPr>
          <w:rFonts w:ascii="Arial" w:cs="Arial" w:eastAsia="Arial" w:hAnsi="Arial"/>
          <w:sz w:val="14"/>
          <w:szCs w:val="14"/>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274320</wp:posOffset>
            </wp:positionV>
            <wp:extent cx="7160260"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960"/>
          </w:cols>
          <w:pgMar w:left="300" w:top="125" w:right="63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3026410" cy="519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26410" cy="51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South Plains Financial, Inc. Reports Third Quarter 2023 Financial Results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LUBBOCK, Texas, October 24, 2023 (GLOBE NEWSWIRE) – South Plains Financial, Inc. (NASDAQ:SPFI) (“South Plains” or the “Company”), the parent company of City Bank (“City Bank” or the “Bank”), today reported its financial results for the quarter ended September 30, 2023.</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Third Quarter 2023 Highlights</w:t>
      </w:r>
    </w:p>
    <w:p>
      <w:pPr>
        <w:spacing w:after="0" w:line="187" w:lineRule="exact"/>
        <w:rPr>
          <w:sz w:val="20"/>
          <w:szCs w:val="20"/>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income for the third quarter of 2023 was $13.5 million, compared to $29.7 million for the second quarter of 2023 and $15.5 million for the third quarter of 2022.</w:t>
      </w:r>
    </w:p>
    <w:p>
      <w:pPr>
        <w:spacing w:after="0" w:line="20" w:lineRule="exact"/>
        <w:rPr>
          <w:rFonts w:ascii="Arial" w:cs="Arial" w:eastAsia="Arial" w:hAnsi="Arial"/>
          <w:sz w:val="14"/>
          <w:szCs w:val="14"/>
          <w:color w:val="auto"/>
        </w:rPr>
      </w:pPr>
    </w:p>
    <w:p>
      <w:pPr>
        <w:jc w:val="both"/>
        <w:ind w:left="520" w:hanging="256"/>
        <w:spacing w:after="0" w:line="256"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Diluted earnings per share for the third quarter of 2023 was $0.78, compared to $1.71 for the second quarter of 2023 and $0.86 for the third quarter of 2022. Excluding one-time gains net of charges related to the sale of a subsidiary ($22.9 million net of tax) and the loss from repositioning of the securities portfolio ($2.7 million net of tax), second quarter 2023 diluted earnings per share was $0.55.</w:t>
      </w:r>
    </w:p>
    <w:p>
      <w:pPr>
        <w:spacing w:after="0" w:line="1" w:lineRule="exact"/>
        <w:rPr>
          <w:rFonts w:ascii="Arial" w:cs="Arial" w:eastAsia="Arial" w:hAnsi="Arial"/>
          <w:sz w:val="14"/>
          <w:szCs w:val="14"/>
          <w:color w:val="auto"/>
        </w:rPr>
      </w:pPr>
    </w:p>
    <w:p>
      <w:pPr>
        <w:ind w:left="520" w:hanging="256"/>
        <w:spacing w:after="0" w:line="256"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Deposits grew $46.1 million, or 1.3%, to $3.62 billion during the third quarter of 2023, as compared to June 30, 2023; an estimated 16% of deposits at September 30, 2023 were uninsured or uncollateralized.</w:t>
      </w:r>
    </w:p>
    <w:p>
      <w:pPr>
        <w:ind w:left="520" w:hanging="256"/>
        <w:spacing w:after="0"/>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Average cost of deposits for the third quarter of 2023 was 207 basis points, compared to 169 basis points for the second quarter of 2023 and 52 basis points for the third quarter of 2022.</w:t>
      </w:r>
    </w:p>
    <w:p>
      <w:pPr>
        <w:spacing w:after="0" w:line="22" w:lineRule="exact"/>
        <w:rPr>
          <w:rFonts w:ascii="Arial" w:cs="Arial" w:eastAsia="Arial" w:hAnsi="Arial"/>
          <w:sz w:val="13"/>
          <w:szCs w:val="13"/>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interest margin, calculated on a tax-equivalent basis, was 3.52% for the third quarter of 2023, compared to 3.65% for the second quarter of 2023.</w:t>
      </w:r>
    </w:p>
    <w:p>
      <w:pPr>
        <w:spacing w:after="0" w:line="11" w:lineRule="exact"/>
        <w:rPr>
          <w:rFonts w:ascii="Arial" w:cs="Arial" w:eastAsia="Arial" w:hAnsi="Arial"/>
          <w:sz w:val="14"/>
          <w:szCs w:val="14"/>
          <w:color w:val="auto"/>
        </w:rPr>
      </w:pP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Loans held for investment grew $14.5 million, or 1.9% annualized, during the third quarter of 2023, compared to June 30, 2023.</w:t>
      </w:r>
    </w:p>
    <w:p>
      <w:pPr>
        <w:spacing w:after="0" w:line="11" w:lineRule="exact"/>
        <w:rPr>
          <w:rFonts w:ascii="Arial" w:cs="Arial" w:eastAsia="Arial" w:hAnsi="Arial"/>
          <w:sz w:val="14"/>
          <w:szCs w:val="14"/>
          <w:color w:val="auto"/>
        </w:rPr>
      </w:pPr>
    </w:p>
    <w:p>
      <w:pPr>
        <w:ind w:left="520" w:hanging="256"/>
        <w:spacing w:after="0" w:line="256"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provision for credit losses was negative $0.7 million in the third quarter of 2023, compared to $3.7 million in the second quarter of 2023 and negative $0.8 million in the third quarter of 2022.</w:t>
      </w: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Nonperforming assets to total assets were 0.12% at September 30, 2023, compared to 0.51% at June 30, 2023 and 0.20% at September 30, 2022.</w:t>
      </w:r>
    </w:p>
    <w:p>
      <w:pPr>
        <w:spacing w:after="0" w:line="11" w:lineRule="exact"/>
        <w:rPr>
          <w:rFonts w:ascii="Arial" w:cs="Arial" w:eastAsia="Arial" w:hAnsi="Arial"/>
          <w:sz w:val="14"/>
          <w:szCs w:val="14"/>
          <w:color w:val="auto"/>
        </w:rPr>
      </w:pPr>
    </w:p>
    <w:p>
      <w:pPr>
        <w:ind w:left="520" w:hanging="256"/>
        <w:spacing w:after="0" w:line="256"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Return on average assets for the third quarter of 2023 was 1.27% annualized, compared to 2.97% annualized for the second quarter of 2023 and 1.53% annualized for the third quarter of 2022.</w:t>
      </w:r>
    </w:p>
    <w:p>
      <w:pPr>
        <w:ind w:left="520" w:hanging="256"/>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Tangible book value (non-GAAP) per share was $21.07 as of September 30, 2023, compared to $21.82 as of June 30, 2023 and $18.61 as of September 30, 2022.</w:t>
      </w:r>
    </w:p>
    <w:p>
      <w:pPr>
        <w:spacing w:after="0" w:line="11" w:lineRule="exact"/>
        <w:rPr>
          <w:rFonts w:ascii="Arial" w:cs="Arial" w:eastAsia="Arial" w:hAnsi="Arial"/>
          <w:sz w:val="14"/>
          <w:szCs w:val="14"/>
          <w:color w:val="auto"/>
        </w:rPr>
      </w:pPr>
    </w:p>
    <w:p>
      <w:pPr>
        <w:ind w:left="520" w:hanging="256"/>
        <w:spacing w:after="0" w:line="256"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Liquidity available through borrowing capacity of $1.89 billion with the Federal Home Loan Bank of Dallas, the Federal Reserve Bank of Dallas Discount Window, and access to the Federal Reserve’s Bank Term Funding Program at September 30, 2023.</w:t>
      </w:r>
    </w:p>
    <w:p>
      <w:pPr>
        <w:ind w:left="520" w:hanging="256"/>
        <w:spacing w:after="0" w:line="273"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Capital ratios at September 30, 2023 were total risk-based capital ratio – 16.82%, Tier 1 risk-based capital ratio – 13.46%, Common Equity Tier 1 risk-based capital ratio – 12.19%, and Tier 1 leverage ratio - 11.13%, and significantly exceeded the minimum regulatory levels necessary to be deemed “well-capitalized” .</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Curtis Griffith, South Plains’ Chairman and Chief Executive Officer, commented, “I am very proud of our performance once again this quarter as we delivered net interest income growth despite continued pressure on our funding costs. We have benefited from the strong loan growth delivered during the first half of 2023 combined with a healthy rise in our loan portfolio’s yield, which increased an additional sixteen basis points to 6.10% in the third quarter. We also believe we have ample opportunities to reprice both our commercial loan and indirect auto portfolios over the next year which will continue to drive interest income growth even if our balance sheet only experiences moderate growth given the slowing economy. Importantly, we have not sacrificed credit quality as the credit metrics of our loan portfolio remain strong, evidenced by our nonperforming assets being at their lowest level since before our IPO in 2019. While we continue to deliver solid growth and strong credit metrics, our share price has remained below what we believe to be intrinsic value. As a result, we repurchased 355,000 shares for total proceeds of $9.3 million in the third quarter.”</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Quarter Ended September 30, 2023</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Interest Income</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Net interest income was $35.7 million for the third quarter of 2023, compared to $34.6 million for the second quarter of 2023 and $35.1 million for the third quarter of 2022. Net interest margin, calculated on a tax-equivalent basis, was 3.52% for the third quarter of 2023, compared to 3.65% for the second quarter of 2023 and 3.70% for the third quarter of 2022. The average yield on loans was 6.10% for the third quarter of 2023, compared to 5.94% for the second quarter of 2023 and 5.12% for the third quarter of 2022. The average cost of deposits was 207 basis points for the third quarter of 2023, which is 40 basis points higher than the second quarter of 2023 and 157 basis points higher than the third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189230</wp:posOffset>
            </wp:positionV>
            <wp:extent cx="7160260"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243" w:right="319" w:bottom="1440" w:gutter="0" w:footer="0" w:header="0"/>
        </w:sectPr>
      </w:pPr>
    </w:p>
    <w:bookmarkStart w:id="4" w:name="page5"/>
    <w:bookmarkEnd w:id="4"/>
    <w:p>
      <w:pPr>
        <w:jc w:val="both"/>
        <w:spacing w:after="0" w:line="286" w:lineRule="auto"/>
        <w:rPr>
          <w:sz w:val="20"/>
          <w:szCs w:val="20"/>
          <w:color w:val="auto"/>
        </w:rPr>
      </w:pPr>
      <w:r>
        <w:rPr>
          <w:rFonts w:ascii="Arial" w:cs="Arial" w:eastAsia="Arial" w:hAnsi="Arial"/>
          <w:sz w:val="13"/>
          <w:szCs w:val="13"/>
          <w:color w:val="auto"/>
        </w:rPr>
        <w:t>Interest income was $56.5 million for the third quarter of 2023, compared to $50.8 million for the second quarter of 2023 and $41.1 million for the third quarter of 2022. Interest income increased $5.7 million in the third quarter of 2023 from the second quarter of 2023, which was mainly comprised of an increase of $3.4 million in loan interest income and $2.3 million in interest income on other interest-earning assets. The growth in loan interest income was primarily due to an increase of $111.6 million in average loans outstanding and the rising short-term interest rate environment, as the yield on loans rose 16 basis points. The additional interest income on other interest-earning assets was predominately a result of increased liquidity maintained at the Federal Reserve Bank of Dallas and increased rates. Interest income increased $15.7 million in the third quarter of 2023 compared to the third quarter of 2022. This increase was primarily due to an increase of average loans of $334.5 million and higher market interest rates during the period, resulting in growth of $11.8 million in loan interest income.</w:t>
      </w:r>
    </w:p>
    <w:p>
      <w:pPr>
        <w:spacing w:after="0" w:line="136"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Interest expense was $20.8 million for the third quarter of 2023, compared to $16.2 million for the second quarter of 2023 and $6.0 million for the third quarter of 2022. Interest expense increased $4.6 million compared to the second quarter of 2023 and $14.8 million compared to the third quarter of 2022, primarily as a result of significantly rising short-term interest rates on interest-bearing liabilities, with the increase being mainly comprised of interest expense on deposits. Additionally, interest-bearing deposits have grown during both of the period comparisons. Average brokered deposits increased approximately $175 million during the third quarter 2023 from the second quarter 2023.</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Noninterest Income and Noninterest Expense</w:t>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Noninterest income was $12.3 million for the third quarter of 2023, compared to $47.1 million for the second quarter of 2023 and $20.9 million for the third quarter of 2022. The decrease from the second quarter of 2023 was primarily due to the $33.5 million gain on sale of Windmark Insurance Agency, Inc. (“Windmark”) in the second quarter of 2023. Additionally, bank card services and interchange revenue decreased $0.9 million for the third quarter of 2023 compared to the second quarter of 2023, after increasing $1.1 million during the second quarter. The increase in the second quarter was mainly as a result of incentives and rebates received during the period. The decrease in noninterest income for the third quarter of 2023 as compared to the third quarter of 2022 was primarily due to a reduction of $4.8 million in income from insurance activities due to the sale of Windmark and a decrease of $1.7 million in mortgage banking revenues as originations of mortgage loans held for sale declined $50.1 million as mortgage interest rates have risen which has slowed mortgage activity. Additionally, there was $2.1 million of income in legal settlements during the third quarter of 2022.</w:t>
      </w:r>
    </w:p>
    <w:p>
      <w:pPr>
        <w:spacing w:after="0" w:line="152"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Noninterest expense was $31.5 million for the third quarter of 2023, compared to $40.5 million for the second quarter of 2023 and $37.4 million for the third quarter of 2022. The $9.0 million decrease from the second quarter of 2023 was largely the result the second quarter having $4.5 million in personnel and transaction expenses as part of the Windmark sale plus related incentive compensation and a $3.4 million loss on the sale of securities. The decrease in noninterest expense for the third quarter of 2023 as compared to the third quarter of 2022 was primarily driven by a reduction of $2.9 million in Windmark expenses due to the sale, a reduction of $1.8 million in mortgage personnel costs due to the decline in mortgage loan originations and a decrease of $759 thousand in legal expenses incurred largely as a result of a vendor dispute, which was resolved and accounted for by the end of 2022.</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 Portfolio and Composition</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Loans held for investment were $2.99 billion as of September 30, 2023, compared to $2.98 billion as of June 30, 2023 and $2.69 billion as of September 30, 2022. The $14.5 million, or 1.9% annualized, increase during the third quarter of 2023 as compared to the second quarter of 2023 occurred primarily in commercial real estate loans, residential mortgage loans, seasonal agricultural loans, and energy loans, partially offset by $16.5 million in loan payoffs of nonperforming credits as detailed below. As of September 30, 2023, loans held for investment increased $303.2 million, or 11.3% year over year, from September 30, 2022, primarily attributable to strong organic loan growth.</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Deposits and Borrowings</w:t>
      </w:r>
    </w:p>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Deposits totaled $3.62 billion as of September 30, 2023, compared to $3.57 billion as of June 30, 2023 and $3.46 billion as of September 30, 2022. Deposits increased by $46.1 million, or 1.3%, in the third quarter of 2023 from June 30, 2023. As of September 30, 2023, deposits increased $160.1 million, or 4.6% year over year, from September 30, 2022. Noninterest-bearing deposits were $1.05 billion as of September 30, 2023, compared to $1.10 billion as of June 30, 2023 and $1.26 billion as of September 30, 2022. Noninterest-bearing deposits represented 28.9% of total deposits as of September 30, 2023. The quarterly growth in deposits was mainly the result of an increase of $71 million in brokered deposits, partially offset by a decrease of $14 million in public-fund deposits. The year-over-year increase in deposits is primarily a result of growth of $152 million in brokered deposits in the second and third quarters of 2023 given the overall focus on improving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191135</wp:posOffset>
            </wp:positionV>
            <wp:extent cx="7160260"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t>Asset Quality</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recorded a negative provision for credit losses in the third quarter of 2023 of $0.7 million, compared to $3.7 million in the second quarter of 2023 and a negative provision of $0.8 million in the third quarter of 2022. The negative provision during the third quarter of 2023 was largely attributable to a reduction of $1.3 million in specific reserves, partially offset by organic loan growth and net charge-off activity during the third quarter. The reduction in specific reserves was a result of the full repayment of a $13.3 million nonaccrual relationship in the third quarter. Classified loans declined $16.8 million during the third quarter of 2023 to $50.7 million from $67.4 million at June 30, 2023.</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The ratio of allowance for credit losses to loans held for investment was 1.41% as of September 30, 2023, compared to 1.45% as of June 30, 2023 and 1.47% as of September 30, 2022.</w:t>
      </w:r>
    </w:p>
    <w:p>
      <w:pPr>
        <w:spacing w:after="0" w:line="195"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The ratio of nonperforming assets to total assets as of September 30, 2023 was 0.12%, compared to 0.51% as of June 30, 2023 and 0.20% at September 30, 2022. Annualized net charge-offs (recoveries) were 0.05% for the third quarter of 2023, compared to 0.05% for the second quarter of 2023 and (0.10)% for the third quarter of 2022. The decrease in nonperforming assets was a result of the full repayment of the $13.3 million relationship noted above and full repayment of a $3.3 million nonperforming relationship during the third quarter.</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Book value per share decreased to $22.39 at September 30, 2023, compared to $23.13 at June 30, 2023. The decrease was primarily driven by a decrease in accumulated other comprehensive income (“AOCI”) and by $9.3 million in share repurchases, partially offset by an increase of $11.3 million of net income after dividends paid. The decrease in AOCI was attributed to the after-tax decline in fair value of our available for sale securities, net of fair value hedges, as a result of significant increases in long-term market interest rates during the period.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Conference Call</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 xml:space="preserve">South Plains will host a conference call to discuss its third quarter 2023 financial results today, October 24, 2023, at 5:00 p.m., Eastern Time. Investors and analysts interested in participating in the call are invited to dial 1-877-407-9716 (international callers please dial 1-201-493-6779) approximately 10 minutes prior to the start of the call. A live audio webcast of the conference call and conference materials will be available on the Company’s website at </w:t>
      </w:r>
      <w:r>
        <w:rPr>
          <w:rFonts w:ascii="Arial" w:cs="Arial" w:eastAsia="Arial" w:hAnsi="Arial"/>
          <w:sz w:val="14"/>
          <w:szCs w:val="14"/>
          <w:u w:val="single" w:color="auto"/>
          <w:color w:val="auto"/>
        </w:rPr>
        <w:t>https://www.spfi.bank/news-events/events</w:t>
      </w:r>
      <w:r>
        <w:rPr>
          <w:rFonts w:ascii="Arial" w:cs="Arial" w:eastAsia="Arial" w:hAnsi="Arial"/>
          <w:sz w:val="14"/>
          <w:szCs w:val="14"/>
          <w:color w:val="auto"/>
        </w:rPr>
        <w:t>.</w:t>
      </w:r>
    </w:p>
    <w:p>
      <w:pPr>
        <w:spacing w:after="0" w:line="14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A replay of the conference call will be available within two hours of the conclusion of the call and can be accessed on the investor section of the Company’s website as well as by dialing 1-844-512-2921 (international callers please dial 1-412-317-6671). The pin to access the telephone replay is 13741532. The replay will be available until November 7, 2023.</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South Plains Financial, Inc.</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Arial" w:cs="Arial" w:eastAsia="Arial" w:hAnsi="Arial"/>
          <w:sz w:val="14"/>
          <w:szCs w:val="14"/>
          <w:u w:val="single" w:color="auto"/>
          <w:color w:val="auto"/>
        </w:rPr>
        <w:t>https://www.spfi.bank</w:t>
      </w:r>
      <w:r>
        <w:rPr>
          <w:rFonts w:ascii="Arial" w:cs="Arial" w:eastAsia="Arial" w:hAnsi="Arial"/>
          <w:sz w:val="14"/>
          <w:szCs w:val="14"/>
          <w:color w:val="auto"/>
        </w:rPr>
        <w:t xml:space="preserve"> for more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Some of the financial measures included in this press release are not measures of financial performance recognized in accordance with generally accepted accounting principles in the United States (“GAAP”). These non-GAAP financial measures include Tangible Book Value Per Share, Tangible Common Equity to Tangible Assets, and Pre-Tax, Pre-Provision Income. 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w:t>
      </w:r>
    </w:p>
    <w:p>
      <w:pPr>
        <w:spacing w:after="0" w:line="14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Not all companies use the same calculation of these measures; therefore, this presentation may not be comparable to other similarly titled measures as presented by other companies.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non-GAAP financial measures to GAAP financial measures is provided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212090</wp:posOffset>
            </wp:positionV>
            <wp:extent cx="7160260"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Available Information</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The Company routinely posts important information for investors on its web site (under </w:t>
      </w:r>
      <w:r>
        <w:rPr>
          <w:rFonts w:ascii="Arial" w:cs="Arial" w:eastAsia="Arial" w:hAnsi="Arial"/>
          <w:sz w:val="14"/>
          <w:szCs w:val="14"/>
          <w:u w:val="single" w:color="auto"/>
          <w:color w:val="auto"/>
        </w:rPr>
        <w:t>www.spfi.bank</w:t>
      </w:r>
      <w:r>
        <w:rPr>
          <w:rFonts w:ascii="Arial" w:cs="Arial" w:eastAsia="Arial" w:hAnsi="Arial"/>
          <w:sz w:val="14"/>
          <w:szCs w:val="14"/>
          <w:color w:val="auto"/>
        </w:rPr>
        <w:t xml:space="preserve"> and, more specifically, under the News &amp; Events tab at </w:t>
      </w:r>
      <w:r>
        <w:rPr>
          <w:rFonts w:ascii="Arial" w:cs="Arial" w:eastAsia="Arial" w:hAnsi="Arial"/>
          <w:sz w:val="14"/>
          <w:szCs w:val="14"/>
          <w:u w:val="single" w:color="auto"/>
          <w:color w:val="auto"/>
        </w:rPr>
        <w:t>www.spfi.bank/news-events/press-releases</w:t>
      </w:r>
      <w:r>
        <w:rPr>
          <w:rFonts w:ascii="Arial" w:cs="Arial" w:eastAsia="Arial" w:hAnsi="Arial"/>
          <w:sz w:val="14"/>
          <w:szCs w:val="14"/>
          <w:color w:val="auto"/>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contained on, or that may be accessed through, the Company’s web site is not incorporated by reference into, and is not a part of, this document.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 Looking Statements</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This press release contains forward-looking statements within the meaning of the Private Securities Litigation Reform Act of 1995. These forward-looking statements reflect South Plains’ current views with respect to future events and South Plains’ financial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the impact on us and our customers of a decline in general economic conditions and any regulatory responses thereto; potential recession in the United States and our market areas; the impacts related to or resulting from recent bank failures and any continuation of the recent uncertainty in the banking industry, including the associated impact to the Company and other financial institutions of any regulatory changes or other mitigation efforts taken by government agencies in response thereto; increased competition for deposits and related changes in deposit customer behavior; changes in market interest rates; the persistence of the current inflationary environment in the United States and our market areas; the uncertain impacts of ongoing quantitative tightening and current and future monetary policies of the Board of Governors of the Federal Reserve System; the effects of declines in housing prices in the United States and our market areas; increases in unemployment rates in the United States and our market areas; declines in commercial real estate prices; uncertainty regarding United States fiscal debt and budget matters; cyber incidents or other failures, disruptions or security breaches; severe weather, natural disasters, acts of war or terrorism or other external events; regulatory considerations; competition and market expansion opportunities; changes in non-interest expenditures or in the anticipated benefits of such expenditures; and changes in applicable laws and regulations. Additional information regarding these risks and uncertainties to which South Plains’ business and future financial performance are subject is contained in South Plains’ most recent Annual Report on Form 10-K and Quarterly Reports on Form 10-Q on file with the SEC, including the sections entitled “Risk Factors” and “Management’s Discussion and Analysis of Financial Condition and Results of Operations” of such documents, and other documents South Plains files or furnishes with the SEC from time to time, which are available on the SEC’s website, www.sec.gov.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the Company can give no assurance that the results contemplated in the forward-looking statements will be realized and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applicable law. All forward-looking statements, express or implied, included in the press release are qualified in their entirety by this cautionary statement.</w:t>
      </w:r>
    </w:p>
    <w:p>
      <w:pPr>
        <w:spacing w:after="0" w:line="149" w:lineRule="exact"/>
        <w:rPr>
          <w:sz w:val="20"/>
          <w:szCs w:val="20"/>
          <w:color w:val="auto"/>
        </w:rPr>
      </w:pPr>
    </w:p>
    <w:p>
      <w:pPr>
        <w:spacing w:after="0"/>
        <w:tabs>
          <w:tab w:leader="none" w:pos="1680" w:val="left"/>
        </w:tabs>
        <w:rPr>
          <w:sz w:val="20"/>
          <w:szCs w:val="20"/>
          <w:color w:val="auto"/>
        </w:rPr>
      </w:pPr>
      <w:r>
        <w:rPr>
          <w:rFonts w:ascii="Arial" w:cs="Arial" w:eastAsia="Arial" w:hAnsi="Arial"/>
          <w:sz w:val="14"/>
          <w:szCs w:val="14"/>
          <w:color w:val="auto"/>
        </w:rPr>
        <w:t>Contact:</w:t>
      </w:r>
      <w:r>
        <w:rPr>
          <w:sz w:val="20"/>
          <w:szCs w:val="20"/>
          <w:color w:val="auto"/>
        </w:rPr>
        <w:tab/>
      </w:r>
      <w:r>
        <w:rPr>
          <w:rFonts w:ascii="Arial" w:cs="Arial" w:eastAsia="Arial" w:hAnsi="Arial"/>
          <w:sz w:val="14"/>
          <w:szCs w:val="14"/>
          <w:color w:val="auto"/>
        </w:rPr>
        <w:t>Mikella Newsom, Chief Risk Officer and Secretary</w:t>
      </w:r>
    </w:p>
    <w:p>
      <w:pPr>
        <w:spacing w:after="0" w:line="21" w:lineRule="exact"/>
        <w:rPr>
          <w:sz w:val="20"/>
          <w:szCs w:val="20"/>
          <w:color w:val="auto"/>
        </w:rPr>
      </w:pPr>
    </w:p>
    <w:p>
      <w:pPr>
        <w:ind w:left="1700" w:right="8400" w:firstLine="6"/>
        <w:spacing w:after="0" w:line="312" w:lineRule="auto"/>
        <w:tabs>
          <w:tab w:leader="none" w:pos="2047"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771-3347 </w:t>
      </w:r>
      <w:r>
        <w:rPr>
          <w:rFonts w:ascii="Arial" w:cs="Arial" w:eastAsia="Arial" w:hAnsi="Arial"/>
          <w:sz w:val="13"/>
          <w:szCs w:val="13"/>
          <w:u w:val="single" w:color="auto"/>
          <w:color w:val="auto"/>
        </w:rPr>
        <w:t>investors@city.bank</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212090</wp:posOffset>
            </wp:positionV>
            <wp:extent cx="716026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Financial Highlights - (Unaudited)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 except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80" w:type="dxa"/>
            <w:vAlign w:val="bottom"/>
            <w:gridSpan w:val="9"/>
          </w:tcPr>
          <w:p>
            <w:pPr>
              <w:jc w:val="center"/>
              <w:ind w:right="440"/>
              <w:spacing w:after="0"/>
              <w:rPr>
                <w:sz w:val="20"/>
                <w:szCs w:val="20"/>
                <w:color w:val="auto"/>
              </w:rPr>
            </w:pPr>
            <w:r>
              <w:rPr>
                <w:rFonts w:ascii="Arial" w:cs="Arial" w:eastAsia="Arial" w:hAnsi="Arial"/>
                <w:sz w:val="14"/>
                <w:szCs w:val="14"/>
                <w:b w:val="1"/>
                <w:bCs w:val="1"/>
                <w:color w:val="auto"/>
                <w:w w:val="92"/>
              </w:rPr>
              <w:t>As of and for the quarter ended</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2"/>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December 31,</w:t>
            </w:r>
          </w:p>
        </w:tc>
        <w:tc>
          <w:tcPr>
            <w:tcW w:w="8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r>
      <w:tr>
        <w:trPr>
          <w:trHeight w:val="188"/>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r>
      <w:tr>
        <w:trPr>
          <w:trHeight w:val="171"/>
        </w:trPr>
        <w:tc>
          <w:tcPr>
            <w:tcW w:w="4300" w:type="dxa"/>
            <w:vAlign w:val="bottom"/>
          </w:tcPr>
          <w:p>
            <w:pPr>
              <w:spacing w:after="0"/>
              <w:rPr>
                <w:sz w:val="20"/>
                <w:szCs w:val="20"/>
                <w:color w:val="auto"/>
              </w:rPr>
            </w:pPr>
            <w:r>
              <w:rPr>
                <w:rFonts w:ascii="Arial" w:cs="Arial" w:eastAsia="Arial" w:hAnsi="Arial"/>
                <w:sz w:val="14"/>
                <w:szCs w:val="14"/>
                <w:b w:val="1"/>
                <w:bCs w:val="1"/>
                <w:color w:val="auto"/>
              </w:rPr>
              <w:t>Selected Income Statement Data:</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3"/>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56,528</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50,821</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47,448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46,228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41,108</w:t>
            </w:r>
          </w:p>
        </w:tc>
      </w:tr>
      <w:tr>
        <w:trPr>
          <w:trHeight w:val="172"/>
        </w:trPr>
        <w:tc>
          <w:tcPr>
            <w:tcW w:w="4300" w:type="dxa"/>
            <w:vAlign w:val="bottom"/>
          </w:tcPr>
          <w:p>
            <w:pPr>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20,839</w:t>
            </w:r>
          </w:p>
        </w:tc>
        <w:tc>
          <w:tcPr>
            <w:tcW w:w="2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16,240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13,133</w:t>
            </w: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9,906</w:t>
            </w:r>
          </w:p>
        </w:tc>
        <w:tc>
          <w:tcPr>
            <w:tcW w:w="8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6,006</w:t>
            </w:r>
          </w:p>
        </w:tc>
      </w:tr>
      <w:tr>
        <w:trPr>
          <w:trHeight w:val="172"/>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Net interest income</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35,689</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34,581</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34,315</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36,322</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35,102</w:t>
            </w:r>
          </w:p>
        </w:tc>
      </w:tr>
      <w:tr>
        <w:trPr>
          <w:trHeight w:val="172"/>
        </w:trPr>
        <w:tc>
          <w:tcPr>
            <w:tcW w:w="4300" w:type="dxa"/>
            <w:vAlign w:val="bottom"/>
          </w:tcPr>
          <w:p>
            <w:pPr>
              <w:spacing w:after="0"/>
              <w:rPr>
                <w:sz w:val="20"/>
                <w:szCs w:val="20"/>
                <w:color w:val="auto"/>
              </w:rPr>
            </w:pPr>
            <w:r>
              <w:rPr>
                <w:rFonts w:ascii="Arial" w:cs="Arial" w:eastAsia="Arial" w:hAnsi="Arial"/>
                <w:sz w:val="14"/>
                <w:szCs w:val="14"/>
                <w:color w:val="auto"/>
              </w:rPr>
              <w:t>Provision for credit losses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(700)</w:t>
            </w:r>
          </w:p>
        </w:tc>
        <w:tc>
          <w:tcPr>
            <w:tcW w:w="2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3,700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248</w:t>
            </w:r>
          </w:p>
        </w:tc>
        <w:tc>
          <w:tcPr>
            <w:tcW w:w="8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(782)</w:t>
            </w:r>
          </w:p>
        </w:tc>
      </w:tr>
      <w:tr>
        <w:trPr>
          <w:trHeight w:val="172"/>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Noninterest income</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12,277</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47,112</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10,691</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12,676</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20,937</w:t>
            </w:r>
          </w:p>
        </w:tc>
      </w:tr>
      <w:tr>
        <w:trPr>
          <w:trHeight w:val="172"/>
        </w:trPr>
        <w:tc>
          <w:tcPr>
            <w:tcW w:w="4300" w:type="dxa"/>
            <w:vAlign w:val="bottom"/>
          </w:tcPr>
          <w:p>
            <w:pPr>
              <w:spacing w:after="0"/>
              <w:rPr>
                <w:sz w:val="20"/>
                <w:szCs w:val="20"/>
                <w:color w:val="auto"/>
              </w:rPr>
            </w:pPr>
            <w:r>
              <w:rPr>
                <w:rFonts w:ascii="Arial" w:cs="Arial" w:eastAsia="Arial" w:hAnsi="Arial"/>
                <w:sz w:val="14"/>
                <w:szCs w:val="14"/>
                <w:color w:val="auto"/>
              </w:rPr>
              <w:t>Noninterest expense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31,489</w:t>
            </w:r>
          </w:p>
        </w:tc>
        <w:tc>
          <w:tcPr>
            <w:tcW w:w="2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40,499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32,361</w:t>
            </w: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32,708</w:t>
            </w:r>
          </w:p>
        </w:tc>
        <w:tc>
          <w:tcPr>
            <w:tcW w:w="8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37,401</w:t>
            </w:r>
          </w:p>
        </w:tc>
      </w:tr>
      <w:tr>
        <w:trPr>
          <w:trHeight w:val="172"/>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3,683</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7,811</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2,391</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3,421</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3,962</w:t>
            </w:r>
          </w:p>
        </w:tc>
      </w:tr>
      <w:tr>
        <w:trPr>
          <w:trHeight w:val="172"/>
        </w:trPr>
        <w:tc>
          <w:tcPr>
            <w:tcW w:w="4300" w:type="dxa"/>
            <w:vAlign w:val="bottom"/>
          </w:tcPr>
          <w:p>
            <w:pPr>
              <w:spacing w:after="0"/>
              <w:rPr>
                <w:sz w:val="20"/>
                <w:szCs w:val="20"/>
                <w:color w:val="auto"/>
              </w:rPr>
            </w:pPr>
            <w:r>
              <w:rPr>
                <w:rFonts w:ascii="Arial" w:cs="Arial" w:eastAsia="Arial" w:hAnsi="Arial"/>
                <w:sz w:val="14"/>
                <w:szCs w:val="14"/>
                <w:color w:val="auto"/>
              </w:rPr>
              <w:t>Net income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13,494</w:t>
            </w:r>
          </w:p>
        </w:tc>
        <w:tc>
          <w:tcPr>
            <w:tcW w:w="2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29,683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9,244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12,621</w:t>
            </w:r>
          </w:p>
        </w:tc>
        <w:tc>
          <w:tcPr>
            <w:tcW w:w="8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15,458</w:t>
            </w:r>
          </w:p>
        </w:tc>
      </w:tr>
      <w:tr>
        <w:trPr>
          <w:trHeight w:val="172"/>
        </w:trPr>
        <w:tc>
          <w:tcPr>
            <w:tcW w:w="4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 Share Data (Common Stock):</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72"/>
        </w:trPr>
        <w:tc>
          <w:tcPr>
            <w:tcW w:w="4300" w:type="dxa"/>
            <w:vAlign w:val="bottom"/>
          </w:tcPr>
          <w:p>
            <w:pPr>
              <w:spacing w:after="0"/>
              <w:rPr>
                <w:sz w:val="20"/>
                <w:szCs w:val="20"/>
                <w:color w:val="auto"/>
              </w:rPr>
            </w:pPr>
            <w:r>
              <w:rPr>
                <w:rFonts w:ascii="Arial" w:cs="Arial" w:eastAsia="Arial" w:hAnsi="Arial"/>
                <w:sz w:val="14"/>
                <w:szCs w:val="14"/>
                <w:color w:val="auto"/>
              </w:rPr>
              <w:t>Net earnings, basic</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0.80</w:t>
            </w:r>
          </w:p>
        </w:tc>
        <w:tc>
          <w:tcPr>
            <w:tcW w:w="2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1.74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0.54</w:t>
            </w: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0.74</w:t>
            </w:r>
          </w:p>
        </w:tc>
        <w:tc>
          <w:tcPr>
            <w:tcW w:w="8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0.89</w:t>
            </w:r>
          </w:p>
        </w:tc>
      </w:tr>
      <w:tr>
        <w:trPr>
          <w:trHeight w:val="172"/>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Net earnings, diluted</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0.78</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1.71</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0.53</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0.71</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0.86</w:t>
            </w:r>
          </w:p>
        </w:tc>
      </w:tr>
      <w:tr>
        <w:trPr>
          <w:trHeight w:val="172"/>
        </w:trPr>
        <w:tc>
          <w:tcPr>
            <w:tcW w:w="4300" w:type="dxa"/>
            <w:vAlign w:val="bottom"/>
          </w:tcPr>
          <w:p>
            <w:pPr>
              <w:spacing w:after="0"/>
              <w:rPr>
                <w:sz w:val="20"/>
                <w:szCs w:val="20"/>
                <w:color w:val="auto"/>
              </w:rPr>
            </w:pPr>
            <w:r>
              <w:rPr>
                <w:rFonts w:ascii="Arial" w:cs="Arial" w:eastAsia="Arial" w:hAnsi="Arial"/>
                <w:sz w:val="14"/>
                <w:szCs w:val="14"/>
                <w:color w:val="auto"/>
              </w:rPr>
              <w:t>Cash dividends declared and paid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0.13</w:t>
            </w:r>
          </w:p>
        </w:tc>
        <w:tc>
          <w:tcPr>
            <w:tcW w:w="2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0.13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0.12</w:t>
            </w:r>
          </w:p>
        </w:tc>
        <w:tc>
          <w:tcPr>
            <w:tcW w:w="8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0.12</w:t>
            </w:r>
          </w:p>
        </w:tc>
      </w:tr>
      <w:tr>
        <w:trPr>
          <w:trHeight w:val="172"/>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Book value</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22.39</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23.13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21.57</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20.97</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20.03</w:t>
            </w:r>
          </w:p>
        </w:tc>
      </w:tr>
      <w:tr>
        <w:trPr>
          <w:trHeight w:val="172"/>
        </w:trPr>
        <w:tc>
          <w:tcPr>
            <w:tcW w:w="4300" w:type="dxa"/>
            <w:vAlign w:val="bottom"/>
          </w:tcPr>
          <w:p>
            <w:pPr>
              <w:spacing w:after="0"/>
              <w:rPr>
                <w:sz w:val="20"/>
                <w:szCs w:val="20"/>
                <w:color w:val="auto"/>
              </w:rPr>
            </w:pPr>
            <w:r>
              <w:rPr>
                <w:rFonts w:ascii="Arial" w:cs="Arial" w:eastAsia="Arial" w:hAnsi="Arial"/>
                <w:sz w:val="14"/>
                <w:szCs w:val="14"/>
                <w:color w:val="auto"/>
              </w:rPr>
              <w:t>Tangible book value (non-GAAP)</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21.07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21.82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19.57</w:t>
            </w:r>
          </w:p>
        </w:tc>
        <w:tc>
          <w:tcPr>
            <w:tcW w:w="8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18.61</w:t>
            </w:r>
          </w:p>
        </w:tc>
      </w:tr>
      <w:tr>
        <w:trPr>
          <w:trHeight w:val="172"/>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outstanding, basic</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16,842,594</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17,048,432</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17,046,713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17,007,914</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17,286,531</w:t>
            </w:r>
          </w:p>
        </w:tc>
      </w:tr>
      <w:tr>
        <w:trPr>
          <w:trHeight w:val="172"/>
        </w:trPr>
        <w:tc>
          <w:tcPr>
            <w:tcW w:w="4300" w:type="dxa"/>
            <w:vAlign w:val="bottom"/>
          </w:tcPr>
          <w:p>
            <w:pPr>
              <w:spacing w:after="0"/>
              <w:rPr>
                <w:sz w:val="20"/>
                <w:szCs w:val="20"/>
                <w:color w:val="auto"/>
              </w:rPr>
            </w:pPr>
            <w:r>
              <w:rPr>
                <w:rFonts w:ascii="Arial" w:cs="Arial" w:eastAsia="Arial" w:hAnsi="Arial"/>
                <w:sz w:val="14"/>
                <w:szCs w:val="14"/>
                <w:color w:val="auto"/>
              </w:rPr>
              <w:t>Weighted average shares outstanding, dilutive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17,354,182</w:t>
            </w:r>
          </w:p>
        </w:tc>
        <w:tc>
          <w:tcPr>
            <w:tcW w:w="2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17,386,515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17,560,756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17,751,674</w:t>
            </w:r>
          </w:p>
        </w:tc>
        <w:tc>
          <w:tcPr>
            <w:tcW w:w="8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17,901,899</w:t>
            </w:r>
          </w:p>
        </w:tc>
      </w:tr>
      <w:tr>
        <w:trPr>
          <w:trHeight w:val="172"/>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Shares outstanding at end of period</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16,600,442</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16,952,072</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17,062,572</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17,027,197</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17,064,640</w:t>
            </w:r>
          </w:p>
        </w:tc>
      </w:tr>
      <w:tr>
        <w:trPr>
          <w:trHeight w:val="172"/>
        </w:trPr>
        <w:tc>
          <w:tcPr>
            <w:tcW w:w="4300" w:type="dxa"/>
            <w:vAlign w:val="bottom"/>
          </w:tcPr>
          <w:p>
            <w:pPr>
              <w:spacing w:after="0"/>
              <w:rPr>
                <w:sz w:val="20"/>
                <w:szCs w:val="20"/>
                <w:color w:val="auto"/>
              </w:rPr>
            </w:pPr>
            <w:r>
              <w:rPr>
                <w:rFonts w:ascii="Arial" w:cs="Arial" w:eastAsia="Arial" w:hAnsi="Arial"/>
                <w:sz w:val="14"/>
                <w:szCs w:val="14"/>
                <w:b w:val="1"/>
                <w:bCs w:val="1"/>
                <w:color w:val="auto"/>
              </w:rPr>
              <w:t>Selected Period End Balance Sheet Data:</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2"/>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352,424</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295,581</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328,002</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234,883</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329,962</w:t>
            </w:r>
          </w:p>
        </w:tc>
      </w:tr>
      <w:tr>
        <w:trPr>
          <w:trHeight w:val="172"/>
        </w:trPr>
        <w:tc>
          <w:tcPr>
            <w:tcW w:w="4300" w:type="dxa"/>
            <w:vAlign w:val="bottom"/>
          </w:tcPr>
          <w:p>
            <w:pPr>
              <w:spacing w:after="0"/>
              <w:rPr>
                <w:sz w:val="20"/>
                <w:szCs w:val="20"/>
                <w:color w:val="auto"/>
              </w:rPr>
            </w:pPr>
            <w:r>
              <w:rPr>
                <w:rFonts w:ascii="Arial" w:cs="Arial" w:eastAsia="Arial" w:hAnsi="Arial"/>
                <w:sz w:val="14"/>
                <w:szCs w:val="14"/>
                <w:color w:val="auto"/>
              </w:rPr>
              <w:t>Investment securities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584,969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628,093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698,579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701,711</w:t>
            </w:r>
          </w:p>
        </w:tc>
        <w:tc>
          <w:tcPr>
            <w:tcW w:w="8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711,412</w:t>
            </w:r>
          </w:p>
        </w:tc>
      </w:tr>
      <w:tr>
        <w:trPr>
          <w:trHeight w:val="172"/>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Total loans held for investment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2,993,563</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2,979,063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2,788,640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2,748,081</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2,690,366</w:t>
            </w:r>
          </w:p>
        </w:tc>
      </w:tr>
      <w:tr>
        <w:trPr>
          <w:trHeight w:val="172"/>
        </w:trPr>
        <w:tc>
          <w:tcPr>
            <w:tcW w:w="4300" w:type="dxa"/>
            <w:vAlign w:val="bottom"/>
          </w:tcPr>
          <w:p>
            <w:pPr>
              <w:spacing w:after="0"/>
              <w:rPr>
                <w:sz w:val="20"/>
                <w:szCs w:val="20"/>
                <w:color w:val="auto"/>
              </w:rPr>
            </w:pPr>
            <w:r>
              <w:rPr>
                <w:rFonts w:ascii="Arial" w:cs="Arial" w:eastAsia="Arial" w:hAnsi="Arial"/>
                <w:sz w:val="14"/>
                <w:szCs w:val="14"/>
                <w:color w:val="auto"/>
              </w:rPr>
              <w:t>Allowance for credit losses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42,075</w:t>
            </w:r>
          </w:p>
        </w:tc>
        <w:tc>
          <w:tcPr>
            <w:tcW w:w="2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43,137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39,560</w:t>
            </w: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39,288</w:t>
            </w:r>
          </w:p>
        </w:tc>
        <w:tc>
          <w:tcPr>
            <w:tcW w:w="8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39,657</w:t>
            </w:r>
          </w:p>
        </w:tc>
      </w:tr>
      <w:tr>
        <w:trPr>
          <w:trHeight w:val="172"/>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4,186,440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4,150,129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4,058,049</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3,944,063</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3,992,690</w:t>
            </w:r>
          </w:p>
        </w:tc>
      </w:tr>
      <w:tr>
        <w:trPr>
          <w:trHeight w:val="172"/>
        </w:trPr>
        <w:tc>
          <w:tcPr>
            <w:tcW w:w="4300" w:type="dxa"/>
            <w:vAlign w:val="bottom"/>
          </w:tcPr>
          <w:p>
            <w:pPr>
              <w:spacing w:after="0"/>
              <w:rPr>
                <w:sz w:val="20"/>
                <w:szCs w:val="20"/>
                <w:color w:val="auto"/>
              </w:rPr>
            </w:pPr>
            <w:r>
              <w:rPr>
                <w:rFonts w:ascii="Arial" w:cs="Arial" w:eastAsia="Arial" w:hAnsi="Arial"/>
                <w:sz w:val="14"/>
                <w:szCs w:val="14"/>
                <w:color w:val="auto"/>
              </w:rPr>
              <w:t>Interest-bearing deposits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2,574,361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2,473,755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2,397,115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2,255,942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2,198,464</w:t>
            </w:r>
          </w:p>
        </w:tc>
      </w:tr>
      <w:tr>
        <w:trPr>
          <w:trHeight w:val="172"/>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Noninterest-bearing deposits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1,046,253</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1,100,767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1,110,939</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1,150,488</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1,262,072</w:t>
            </w:r>
          </w:p>
        </w:tc>
      </w:tr>
      <w:tr>
        <w:trPr>
          <w:trHeight w:val="172"/>
        </w:trPr>
        <w:tc>
          <w:tcPr>
            <w:tcW w:w="4300" w:type="dxa"/>
            <w:vAlign w:val="bottom"/>
          </w:tcPr>
          <w:p>
            <w:pPr>
              <w:spacing w:after="0"/>
              <w:rPr>
                <w:sz w:val="20"/>
                <w:szCs w:val="20"/>
                <w:color w:val="auto"/>
              </w:rPr>
            </w:pPr>
            <w:r>
              <w:rPr>
                <w:rFonts w:ascii="Arial" w:cs="Arial" w:eastAsia="Arial" w:hAnsi="Arial"/>
                <w:sz w:val="14"/>
                <w:szCs w:val="14"/>
                <w:color w:val="auto"/>
              </w:rPr>
              <w:t>Total deposits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3,620,614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3,574,522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3,508,054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3,406,430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3,460,536</w:t>
            </w:r>
          </w:p>
        </w:tc>
      </w:tr>
      <w:tr>
        <w:trPr>
          <w:trHeight w:val="172"/>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Borrowings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122,493</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122,447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122,400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122,354</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122,307</w:t>
            </w:r>
          </w:p>
        </w:tc>
      </w:tr>
      <w:tr>
        <w:trPr>
          <w:trHeight w:val="172"/>
        </w:trPr>
        <w:tc>
          <w:tcPr>
            <w:tcW w:w="430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371,716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392,029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367,964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357,014</w:t>
            </w:r>
          </w:p>
        </w:tc>
        <w:tc>
          <w:tcPr>
            <w:tcW w:w="8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341,799</w:t>
            </w:r>
          </w:p>
        </w:tc>
      </w:tr>
      <w:tr>
        <w:trPr>
          <w:trHeight w:val="172"/>
        </w:trPr>
        <w:tc>
          <w:tcPr>
            <w:tcW w:w="4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Summary Performance Ratios: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72"/>
        </w:trPr>
        <w:tc>
          <w:tcPr>
            <w:tcW w:w="4300" w:type="dxa"/>
            <w:vAlign w:val="bottom"/>
          </w:tcPr>
          <w:p>
            <w:pPr>
              <w:spacing w:after="0"/>
              <w:rPr>
                <w:sz w:val="20"/>
                <w:szCs w:val="20"/>
                <w:color w:val="auto"/>
              </w:rPr>
            </w:pPr>
            <w:r>
              <w:rPr>
                <w:rFonts w:ascii="Arial" w:cs="Arial" w:eastAsia="Arial" w:hAnsi="Arial"/>
                <w:sz w:val="14"/>
                <w:szCs w:val="14"/>
                <w:color w:val="auto"/>
              </w:rPr>
              <w:t>Return on average assets (annualized)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1.27%</w:t>
            </w:r>
          </w:p>
        </w:tc>
        <w:tc>
          <w:tcPr>
            <w:tcW w:w="2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2.97%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0.95%</w:t>
            </w: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1.53%</w:t>
            </w:r>
          </w:p>
        </w:tc>
      </w:tr>
      <w:tr>
        <w:trPr>
          <w:trHeight w:val="172"/>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Return on average equity (annualized)</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14.01%</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31.33%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10.34%</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14.33%</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17.37%</w:t>
            </w:r>
          </w:p>
        </w:tc>
      </w:tr>
      <w:tr>
        <w:trPr>
          <w:trHeight w:val="172"/>
        </w:trPr>
        <w:tc>
          <w:tcPr>
            <w:tcW w:w="4300" w:type="dxa"/>
            <w:vAlign w:val="bottom"/>
          </w:tcPr>
          <w:p>
            <w:pPr>
              <w:spacing w:after="0" w:line="173" w:lineRule="exact"/>
              <w:rPr>
                <w:sz w:val="20"/>
                <w:szCs w:val="20"/>
                <w:color w:val="auto"/>
              </w:rPr>
            </w:pPr>
            <w:r>
              <w:rPr>
                <w:rFonts w:ascii="Arial" w:cs="Arial" w:eastAsia="Arial" w:hAnsi="Arial"/>
                <w:sz w:val="12"/>
                <w:szCs w:val="12"/>
                <w:color w:val="auto"/>
              </w:rPr>
              <w:t xml:space="preserve">Net interest margin </w:t>
            </w:r>
            <w:r>
              <w:rPr>
                <w:rFonts w:ascii="Arial" w:cs="Arial" w:eastAsia="Arial" w:hAnsi="Arial"/>
                <w:sz w:val="19"/>
                <w:szCs w:val="19"/>
                <w:color w:val="auto"/>
                <w:vertAlign w:val="superscript"/>
              </w:rPr>
              <w:t>(1)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3.52%</w:t>
            </w:r>
          </w:p>
        </w:tc>
        <w:tc>
          <w:tcPr>
            <w:tcW w:w="2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3.65%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3.88%</w:t>
            </w:r>
          </w:p>
        </w:tc>
        <w:tc>
          <w:tcPr>
            <w:tcW w:w="8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3.70%</w:t>
            </w:r>
          </w:p>
        </w:tc>
      </w:tr>
      <w:tr>
        <w:trPr>
          <w:trHeight w:val="172"/>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Yield on loans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6.10%</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5.78%</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5.59%</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5.12%</w:t>
            </w:r>
          </w:p>
        </w:tc>
      </w:tr>
      <w:tr>
        <w:trPr>
          <w:trHeight w:val="172"/>
        </w:trPr>
        <w:tc>
          <w:tcPr>
            <w:tcW w:w="4300" w:type="dxa"/>
            <w:vAlign w:val="bottom"/>
          </w:tcPr>
          <w:p>
            <w:pPr>
              <w:spacing w:after="0"/>
              <w:rPr>
                <w:sz w:val="20"/>
                <w:szCs w:val="20"/>
                <w:color w:val="auto"/>
              </w:rPr>
            </w:pPr>
            <w:r>
              <w:rPr>
                <w:rFonts w:ascii="Arial" w:cs="Arial" w:eastAsia="Arial" w:hAnsi="Arial"/>
                <w:sz w:val="14"/>
                <w:szCs w:val="14"/>
                <w:color w:val="auto"/>
              </w:rPr>
              <w:t>Cost of interest-bearing deposits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2.93%</w:t>
            </w:r>
          </w:p>
        </w:tc>
        <w:tc>
          <w:tcPr>
            <w:tcW w:w="2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2.45%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0.82%</w:t>
            </w:r>
          </w:p>
        </w:tc>
      </w:tr>
      <w:tr>
        <w:trPr>
          <w:trHeight w:val="172"/>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Efficiency ratio</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65.34%</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49.39%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71.42%</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66.35%</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66.38%</w:t>
            </w:r>
          </w:p>
        </w:tc>
      </w:tr>
      <w:tr>
        <w:trPr>
          <w:trHeight w:val="172"/>
        </w:trPr>
        <w:tc>
          <w:tcPr>
            <w:tcW w:w="4300" w:type="dxa"/>
            <w:vAlign w:val="bottom"/>
          </w:tcPr>
          <w:p>
            <w:pPr>
              <w:spacing w:after="0"/>
              <w:rPr>
                <w:sz w:val="20"/>
                <w:szCs w:val="20"/>
                <w:color w:val="auto"/>
              </w:rPr>
            </w:pPr>
            <w:r>
              <w:rPr>
                <w:rFonts w:ascii="Arial" w:cs="Arial" w:eastAsia="Arial" w:hAnsi="Arial"/>
                <w:sz w:val="14"/>
                <w:szCs w:val="14"/>
                <w:b w:val="1"/>
                <w:bCs w:val="1"/>
                <w:color w:val="auto"/>
              </w:rPr>
              <w:t>Summary Credit Quality Data:</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2"/>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Nonperforming loans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4,783</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21,039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7,579</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7,790</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7,834</w:t>
            </w:r>
          </w:p>
        </w:tc>
      </w:tr>
      <w:tr>
        <w:trPr>
          <w:trHeight w:val="172"/>
        </w:trPr>
        <w:tc>
          <w:tcPr>
            <w:tcW w:w="4300" w:type="dxa"/>
            <w:vAlign w:val="bottom"/>
          </w:tcPr>
          <w:p>
            <w:pPr>
              <w:spacing w:after="0"/>
              <w:rPr>
                <w:sz w:val="20"/>
                <w:szCs w:val="20"/>
                <w:color w:val="auto"/>
              </w:rPr>
            </w:pPr>
            <w:r>
              <w:rPr>
                <w:rFonts w:ascii="Arial" w:cs="Arial" w:eastAsia="Arial" w:hAnsi="Arial"/>
                <w:sz w:val="14"/>
                <w:szCs w:val="14"/>
                <w:color w:val="auto"/>
              </w:rPr>
              <w:t>Nonperforming loans to total loans held for investment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0.16%</w:t>
            </w:r>
          </w:p>
        </w:tc>
        <w:tc>
          <w:tcPr>
            <w:tcW w:w="2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0.71%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0.27%</w:t>
            </w: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0.28%</w:t>
            </w:r>
          </w:p>
        </w:tc>
        <w:tc>
          <w:tcPr>
            <w:tcW w:w="8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0.29%</w:t>
            </w:r>
          </w:p>
        </w:tc>
      </w:tr>
      <w:tr>
        <w:trPr>
          <w:trHeight w:val="172"/>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Other real estate owned</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242</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169</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37</w:t>
            </w:r>
          </w:p>
        </w:tc>
      </w:tr>
      <w:tr>
        <w:trPr>
          <w:trHeight w:val="172"/>
        </w:trPr>
        <w:tc>
          <w:tcPr>
            <w:tcW w:w="4300" w:type="dxa"/>
            <w:vAlign w:val="bottom"/>
          </w:tcPr>
          <w:p>
            <w:pPr>
              <w:spacing w:after="0"/>
              <w:rPr>
                <w:sz w:val="20"/>
                <w:szCs w:val="20"/>
                <w:color w:val="auto"/>
              </w:rPr>
            </w:pPr>
            <w:r>
              <w:rPr>
                <w:rFonts w:ascii="Arial" w:cs="Arial" w:eastAsia="Arial" w:hAnsi="Arial"/>
                <w:sz w:val="14"/>
                <w:szCs w:val="14"/>
                <w:color w:val="auto"/>
              </w:rPr>
              <w:t>Nonperforming assets to total assets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0.12%</w:t>
            </w:r>
          </w:p>
        </w:tc>
        <w:tc>
          <w:tcPr>
            <w:tcW w:w="2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0.51%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0.19%</w:t>
            </w: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0.20%</w:t>
            </w:r>
          </w:p>
        </w:tc>
        <w:tc>
          <w:tcPr>
            <w:tcW w:w="8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0.20%</w:t>
            </w:r>
          </w:p>
        </w:tc>
      </w:tr>
      <w:tr>
        <w:trPr>
          <w:trHeight w:val="172"/>
        </w:trPr>
        <w:tc>
          <w:tcPr>
            <w:tcW w:w="4300" w:type="dxa"/>
            <w:vAlign w:val="bottom"/>
            <w:shd w:val="clear" w:color="auto" w:fill="CCEEFF"/>
          </w:tcPr>
          <w:p>
            <w:pPr>
              <w:spacing w:after="0"/>
              <w:rPr>
                <w:sz w:val="20"/>
                <w:szCs w:val="20"/>
                <w:color w:val="auto"/>
              </w:rPr>
            </w:pPr>
            <w:r>
              <w:rPr>
                <w:rFonts w:ascii="Arial" w:cs="Arial" w:eastAsia="Arial" w:hAnsi="Arial"/>
                <w:sz w:val="14"/>
                <w:szCs w:val="14"/>
                <w:color w:val="auto"/>
              </w:rPr>
              <w:t>Allowance for credit losses to total loans held for investment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1.41%</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1.45%</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1.43%</w:t>
            </w:r>
          </w:p>
        </w:tc>
        <w:tc>
          <w:tcPr>
            <w:tcW w:w="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1.47%</w:t>
            </w:r>
          </w:p>
        </w:tc>
      </w:tr>
      <w:tr>
        <w:trPr>
          <w:trHeight w:val="182"/>
        </w:trPr>
        <w:tc>
          <w:tcPr>
            <w:tcW w:w="4300" w:type="dxa"/>
            <w:vAlign w:val="bottom"/>
          </w:tcPr>
          <w:p>
            <w:pPr>
              <w:spacing w:after="0"/>
              <w:rPr>
                <w:sz w:val="20"/>
                <w:szCs w:val="20"/>
                <w:color w:val="auto"/>
              </w:rPr>
            </w:pPr>
            <w:r>
              <w:rPr>
                <w:rFonts w:ascii="Arial" w:cs="Arial" w:eastAsia="Arial" w:hAnsi="Arial"/>
                <w:sz w:val="14"/>
                <w:szCs w:val="14"/>
                <w:color w:val="auto"/>
                <w:w w:val="97"/>
              </w:rPr>
              <w:t>Net charge-offs (recoveries) to average loans outstanding (annualized)</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0.05%</w:t>
            </w:r>
          </w:p>
        </w:tc>
        <w:tc>
          <w:tcPr>
            <w:tcW w:w="20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0.05%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0.09%</w:t>
            </w:r>
          </w:p>
        </w:tc>
        <w:tc>
          <w:tcPr>
            <w:tcW w:w="8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(0.10)%</w:t>
            </w:r>
          </w:p>
        </w:tc>
      </w:tr>
      <w:tr>
        <w:trPr>
          <w:trHeight w:val="304"/>
        </w:trPr>
        <w:tc>
          <w:tcPr>
            <w:tcW w:w="4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5" w:right="31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As of and for the quarter ended</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6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r>
      <w:tr>
        <w:trPr>
          <w:trHeight w:val="188"/>
        </w:trPr>
        <w:tc>
          <w:tcPr>
            <w:tcW w:w="4620" w:type="dxa"/>
            <w:vAlign w:val="bottom"/>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r>
      <w:tr>
        <w:trPr>
          <w:trHeight w:val="171"/>
        </w:trPr>
        <w:tc>
          <w:tcPr>
            <w:tcW w:w="4620" w:type="dxa"/>
            <w:vAlign w:val="bottom"/>
          </w:tcPr>
          <w:p>
            <w:pPr>
              <w:spacing w:after="0"/>
              <w:rPr>
                <w:sz w:val="20"/>
                <w:szCs w:val="20"/>
                <w:color w:val="auto"/>
              </w:rPr>
            </w:pPr>
            <w:r>
              <w:rPr>
                <w:rFonts w:ascii="Arial" w:cs="Arial" w:eastAsia="Arial" w:hAnsi="Arial"/>
                <w:sz w:val="14"/>
                <w:szCs w:val="14"/>
                <w:b w:val="1"/>
                <w:bCs w:val="1"/>
                <w:color w:val="auto"/>
              </w:rPr>
              <w:t>Capital Ratios: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Total stockholders’ equity to total assets</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8.88%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9.45%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9.07%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9.05%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8.56%</w:t>
            </w:r>
          </w:p>
        </w:tc>
      </w:tr>
      <w:tr>
        <w:trPr>
          <w:trHeight w:val="172"/>
        </w:trPr>
        <w:tc>
          <w:tcPr>
            <w:tcW w:w="4620" w:type="dxa"/>
            <w:vAlign w:val="bottom"/>
          </w:tcPr>
          <w:p>
            <w:pPr>
              <w:spacing w:after="0"/>
              <w:rPr>
                <w:sz w:val="20"/>
                <w:szCs w:val="20"/>
                <w:color w:val="auto"/>
              </w:rPr>
            </w:pPr>
            <w:r>
              <w:rPr>
                <w:rFonts w:ascii="Arial" w:cs="Arial" w:eastAsia="Arial" w:hAnsi="Arial"/>
                <w:sz w:val="14"/>
                <w:szCs w:val="14"/>
                <w:color w:val="auto"/>
              </w:rPr>
              <w:t>Tangible common equity to tangible assets (non-GAAP)</w:t>
            </w: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8.40%</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8.96%</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8.54%</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8.50%</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8.00%</w:t>
            </w:r>
          </w:p>
        </w:tc>
      </w:tr>
      <w:tr>
        <w:trPr>
          <w:trHeight w:val="172"/>
        </w:trPr>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Common equity tier 1 to risk-weighted assets</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11.92%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11.81%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11.67%</w:t>
            </w:r>
          </w:p>
        </w:tc>
      </w:tr>
      <w:tr>
        <w:trPr>
          <w:trHeight w:val="172"/>
        </w:trPr>
        <w:tc>
          <w:tcPr>
            <w:tcW w:w="4620" w:type="dxa"/>
            <w:vAlign w:val="bottom"/>
          </w:tcPr>
          <w:p>
            <w:pPr>
              <w:spacing w:after="0"/>
              <w:rPr>
                <w:sz w:val="20"/>
                <w:szCs w:val="20"/>
                <w:color w:val="auto"/>
              </w:rPr>
            </w:pPr>
            <w:r>
              <w:rPr>
                <w:rFonts w:ascii="Arial" w:cs="Arial" w:eastAsia="Arial" w:hAnsi="Arial"/>
                <w:sz w:val="14"/>
                <w:szCs w:val="14"/>
                <w:color w:val="auto"/>
              </w:rPr>
              <w:t>Tier 1 capital to average assets</w:t>
            </w: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11.13%</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11.67%</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11.22%</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11.03%</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10.95%</w:t>
            </w:r>
          </w:p>
        </w:tc>
      </w:tr>
      <w:tr>
        <w:trPr>
          <w:trHeight w:val="172"/>
        </w:trPr>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Total capital to risk-weighted assets</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16.82%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16.75%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16.70%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16.58%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16.46%</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(1)  Net interest margin is calculated as the annual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212090</wp:posOffset>
            </wp:positionV>
            <wp:extent cx="7160260"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Balances and Yields - (Unaudited)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September 30, 2023</w:t>
            </w:r>
          </w:p>
        </w:tc>
        <w:tc>
          <w:tcPr>
            <w:tcW w:w="1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 2022</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Interest</w:t>
            </w: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Yield/Rate</w:t>
            </w:r>
          </w:p>
        </w:tc>
        <w:tc>
          <w:tcPr>
            <w:tcW w:w="20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Interest</w:t>
            </w: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Yield/Rate</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Loans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3,005,699</w:t>
            </w:r>
          </w:p>
        </w:tc>
        <w:tc>
          <w:tcPr>
            <w:tcW w:w="1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46,250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6.10%</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2,671,183</w:t>
            </w: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34,464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Debt securities - taxable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561,068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5,422</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3.83%</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617,722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4,166</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Debt securities - nontaxable</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159,577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2.62%</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215,508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Other interest-bearing 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325,201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4,031</w:t>
            </w:r>
          </w:p>
        </w:tc>
        <w:tc>
          <w:tcPr>
            <w:tcW w:w="20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4.92%</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293,636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1,351</w:t>
            </w:r>
          </w:p>
        </w:tc>
        <w:tc>
          <w:tcPr>
            <w:tcW w:w="22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Total interest-earning assets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4,051,545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56,757</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5.56%</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3,798,049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41,409</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Noninterest-earning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177,216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208,135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4,228,761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4,006,184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&amp; stockholders’ equity</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NOW, Savings, MMDA’s</w:t>
            </w: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2,223,014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16,061</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2.87%</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1,873,786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3,514</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Time deposits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344,395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2,904</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3.35%</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330,133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Short-term borrowings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Notes payable &amp; other long-term borrowings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Subordinated debt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76,077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1,012</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5.28%</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75,914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1,012</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w w:val="96"/>
              </w:rPr>
              <w:t>Junior subordinated deferrable interest debentures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46,393</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862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7.37%</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46,393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interest-bearing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2,689,882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20,839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3.07%</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2,326,230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6,006</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Demand deposits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1,071,175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1,248,804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85,713</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78,139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381,991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353,011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Total liabilities &amp; stockholders’ equity</w:t>
            </w: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4,228,761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4,006,184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Net interest income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35,918</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35,403</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3060" w:type="dxa"/>
            <w:vAlign w:val="bottom"/>
            <w:shd w:val="clear" w:color="auto" w:fill="CCEEFF"/>
          </w:tcPr>
          <w:p>
            <w:pPr>
              <w:spacing w:after="0" w:line="155" w:lineRule="exact"/>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7"/>
                <w:szCs w:val="17"/>
                <w:color w:val="auto"/>
                <w:vertAlign w:val="superscript"/>
              </w:rPr>
              <w:t>(2)</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3.52%</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60" w:hanging="254"/>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Average loan balances include nonaccrual loans and loans held for sale.</w:t>
      </w:r>
    </w:p>
    <w:p>
      <w:pPr>
        <w:spacing w:after="0" w:line="20" w:lineRule="exact"/>
        <w:rPr>
          <w:rFonts w:ascii="Arial" w:cs="Arial" w:eastAsia="Arial" w:hAnsi="Arial"/>
          <w:sz w:val="14"/>
          <w:szCs w:val="14"/>
          <w:color w:val="auto"/>
        </w:rPr>
      </w:pPr>
    </w:p>
    <w:p>
      <w:pPr>
        <w:ind w:left="260" w:hanging="254"/>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interest margin is calculated as the annualized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205740</wp:posOffset>
            </wp:positionV>
            <wp:extent cx="7160260"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Balances and Yields - (Unaudited)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For the Nine Months Ended</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September 30, 2023</w:t>
            </w:r>
          </w:p>
        </w:tc>
        <w:tc>
          <w:tcPr>
            <w:tcW w:w="1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 2022</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Interest</w:t>
            </w: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Yield/Rate</w:t>
            </w:r>
          </w:p>
        </w:tc>
        <w:tc>
          <w:tcPr>
            <w:tcW w:w="20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Interest</w:t>
            </w: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Yield/Rate</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Loans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2,892,887</w:t>
            </w:r>
          </w:p>
        </w:tc>
        <w:tc>
          <w:tcPr>
            <w:tcW w:w="1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128,724</w:t>
            </w: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5.95%</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2,567,683</w:t>
            </w: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99,262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Debt securities - taxable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574,159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16,027</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3.73%</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592,069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10,058</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Debt securities - nontaxable</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194,492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3,870</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2.66%</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216,951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4,315</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Other interest-bearing 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212,384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7,010</w:t>
            </w:r>
          </w:p>
        </w:tc>
        <w:tc>
          <w:tcPr>
            <w:tcW w:w="20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4.41%</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363,659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2,213</w:t>
            </w:r>
          </w:p>
        </w:tc>
        <w:tc>
          <w:tcPr>
            <w:tcW w:w="22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0.81%</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Total interest-earning assets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3,873,922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155,631</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5.37%</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3,740,362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115,848</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Noninterest-earning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236,296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4,057,071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3,976,658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&amp; stockholders’ equity</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NOW, Savings, MMDA’s</w:t>
            </w: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2,090,250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38,529</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2.46%</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1,905,000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5,782</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Time deposits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309,250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6,239</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2.70%</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334,686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2,962</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Short-term borrowings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5</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6.02%</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Notes payable &amp; other long-term borrowings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Subordinated debt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76,031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3,037</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5.34%</w:t>
            </w:r>
          </w:p>
        </w:tc>
        <w:tc>
          <w:tcPr>
            <w:tcW w:w="20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75,852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3,037</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w w:val="96"/>
              </w:rPr>
              <w:t>Junior subordinated deferrable interest debentures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46,393</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2,402</w:t>
            </w: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6.92%</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46,393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interest-bearing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2,522,035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50,212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2.66%</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2,361,935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12,786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Demand deposits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1,085,345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1,174,783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74,865</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64,639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374,826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375,301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Total liabilities &amp; stockholders’ equity</w:t>
            </w: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4,057,071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3,976,658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Net interest income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105,419</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103,062</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3060" w:type="dxa"/>
            <w:vAlign w:val="bottom"/>
            <w:shd w:val="clear" w:color="auto" w:fill="CCEEFF"/>
          </w:tcPr>
          <w:p>
            <w:pPr>
              <w:spacing w:after="0" w:line="155" w:lineRule="exact"/>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7"/>
                <w:szCs w:val="17"/>
                <w:color w:val="auto"/>
                <w:vertAlign w:val="superscript"/>
              </w:rPr>
              <w:t>(2)</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3.64%</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60" w:hanging="254"/>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Average loan balances include nonaccrual loans and loans held for sale.</w:t>
      </w:r>
    </w:p>
    <w:p>
      <w:pPr>
        <w:spacing w:after="0" w:line="20" w:lineRule="exact"/>
        <w:rPr>
          <w:rFonts w:ascii="Arial" w:cs="Arial" w:eastAsia="Arial" w:hAnsi="Arial"/>
          <w:sz w:val="14"/>
          <w:szCs w:val="14"/>
          <w:color w:val="auto"/>
        </w:rPr>
      </w:pPr>
    </w:p>
    <w:p>
      <w:pPr>
        <w:ind w:left="260" w:hanging="254"/>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interest margin is calculated as the annualized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205740</wp:posOffset>
            </wp:positionV>
            <wp:extent cx="7160260"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360"/>
              <w:spacing w:after="0" w:line="157"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3"/>
                <w:szCs w:val="13"/>
                <w:color w:val="auto"/>
              </w:rPr>
            </w:pPr>
          </w:p>
        </w:tc>
        <w:tc>
          <w:tcPr>
            <w:tcW w:w="1020" w:type="dxa"/>
            <w:vAlign w:val="bottom"/>
          </w:tcPr>
          <w:p>
            <w:pPr>
              <w:jc w:val="right"/>
              <w:ind w:right="68"/>
              <w:spacing w:after="0" w:line="157" w:lineRule="exact"/>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Cash and due from banks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44,583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61,613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Interest-bearing deposits in banks</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307,841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173,270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Securities available for sale</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584,969</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701,711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Loans held for sale</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20,273</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30,403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Loans held for investment</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2,993,563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2,748,081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Less: Allowance for credit losses</w:t>
            </w: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(42,075)</w:t>
            </w: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(39,288)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Net loans held for investment</w:t>
            </w:r>
          </w:p>
        </w:tc>
        <w:tc>
          <w:tcPr>
            <w:tcW w:w="29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2,951,488</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2,708,793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Premises and equipment, net</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56,391</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56,337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19,315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19,508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Intangible assets</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4,349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Mortgage servicing assets</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27,749</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27,474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Other assets</w:t>
            </w: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171,210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160,605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assets</w:t>
            </w:r>
          </w:p>
        </w:tc>
        <w:tc>
          <w:tcPr>
            <w:tcW w:w="2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4,186,440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3,944,063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7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Noninterest-bearing deposits</w:t>
            </w:r>
          </w:p>
        </w:tc>
        <w:tc>
          <w:tcPr>
            <w:tcW w:w="3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1,046,253</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1,150,488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Interest-bearing deposits</w:t>
            </w:r>
          </w:p>
        </w:tc>
        <w:tc>
          <w:tcPr>
            <w:tcW w:w="2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2,574,361</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2,255,942</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Total deposits</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3,620,614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3,406,430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Subordinated debt</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76,100</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75,961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Junior subordinated deferrable interest debentures</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46,393</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46,393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2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71,617</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58,265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Total liabilities</w:t>
            </w:r>
          </w:p>
        </w:tc>
        <w:tc>
          <w:tcPr>
            <w:tcW w:w="29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3,814,724</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3,587,049</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Common stock</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16,600</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17,027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2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102,633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112,834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Arial" w:cs="Arial" w:eastAsia="Arial" w:hAnsi="Arial"/>
                <w:sz w:val="14"/>
                <w:szCs w:val="14"/>
                <w:color w:val="auto"/>
              </w:rPr>
              <w:t>Retained earnings</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337,076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292,261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income (loss)</w:t>
            </w:r>
          </w:p>
        </w:tc>
        <w:tc>
          <w:tcPr>
            <w:tcW w:w="2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(84,593)</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(65,108)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Total stockholders’ equity</w:t>
            </w:r>
          </w:p>
        </w:tc>
        <w:tc>
          <w:tcPr>
            <w:tcW w:w="29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371,716</w:t>
            </w: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357,014</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liabilities and stockholders’ equity</w:t>
            </w:r>
          </w:p>
        </w:tc>
        <w:tc>
          <w:tcPr>
            <w:tcW w:w="2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4,186,440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3,944,063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Income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360"/>
              <w:spacing w:after="0" w:line="157"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8"/>
              <w:spacing w:after="0" w:line="157" w:lineRule="exact"/>
              <w:rPr>
                <w:sz w:val="20"/>
                <w:szCs w:val="20"/>
                <w:color w:val="auto"/>
              </w:rPr>
            </w:pPr>
            <w:r>
              <w:rPr>
                <w:rFonts w:ascii="Arial" w:cs="Arial" w:eastAsia="Arial" w:hAnsi="Arial"/>
                <w:sz w:val="14"/>
                <w:szCs w:val="14"/>
                <w:b w:val="1"/>
                <w:bCs w:val="1"/>
                <w:color w:val="auto"/>
                <w:w w:val="93"/>
              </w:rPr>
              <w:t>September 30,</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right"/>
              <w:ind w:right="340"/>
              <w:spacing w:after="0" w:line="157"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8"/>
              <w:spacing w:after="0" w:line="157"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Interest income:</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Loans, including fees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46,242</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34,463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128,703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99,260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10,286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6,645</w:t>
            </w: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26,094</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15,680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Total interest income</w:t>
            </w: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56,528</w:t>
            </w:r>
          </w:p>
        </w:tc>
        <w:tc>
          <w:tcPr>
            <w:tcW w:w="2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41,108</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154,797</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114,940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Deposits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18,965</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4,537</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44,768</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8,744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Subordinated debt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3,037</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3,037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Junior subordinated deferrable interest debentures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457</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2,402</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interest expense</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20,839</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6,006</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50,212</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12,786</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Net interest income</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35,689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35,102</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104,585</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102,154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Provision for credit losses</w:t>
            </w: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(782)</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4,010</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(2,867)</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Net interest income after provision for credit losses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36,389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35,884</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100,575</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105,021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Noninterest income: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Service charges on deposits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1,840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1,764</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5,286</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5,149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Income from insurance activities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4,856</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1,478</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Mortgage banking activities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4,602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6,287</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12,146</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28,593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Bank card services and interchange fees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3,157</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3,156</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10,156</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Gain on sale of subsidiary</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33,778</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4,874</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7,236</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11,868</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Total noninterest income</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12,277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20,937</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70,080</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63,469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Noninterest expense: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Salaries and employee benefits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18,709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22,927</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61,400</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67,620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Net occupancy expense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4,111</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4,132</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12,246</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11,902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Professional services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1,560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2,523</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4,924</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7,795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Marketing and development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913</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2,573</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2,391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6,256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6,906</w:t>
            </w:r>
          </w:p>
        </w:tc>
        <w:tc>
          <w:tcPr>
            <w:tcW w:w="10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23,206</w:t>
            </w: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21,673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noninterest expense</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31,489</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37,401</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104,349</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111,381</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b w:val="1"/>
                <w:bCs w:val="1"/>
                <w:color w:val="auto"/>
              </w:rPr>
              <w:t>Income before income taxes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17,177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19,420</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66,306</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57,109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3,962</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13,885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11,490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13,494</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15,458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52,421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45,619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 Composition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7"/>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3"/>
                <w:szCs w:val="13"/>
                <w:color w:val="auto"/>
              </w:rPr>
            </w:pPr>
          </w:p>
        </w:tc>
        <w:tc>
          <w:tcPr>
            <w:tcW w:w="1020" w:type="dxa"/>
            <w:vAlign w:val="bottom"/>
          </w:tcPr>
          <w:p>
            <w:pPr>
              <w:jc w:val="center"/>
              <w:ind w:right="28"/>
              <w:spacing w:after="0" w:line="157"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2023</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343"/>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Loans:</w:t>
            </w: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Commercial Real Estate</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1,046,262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919,358</w:t>
            </w: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Commercial - Specialized</w:t>
            </w: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366,405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327,513</w:t>
            </w: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Commercial - General</w:t>
            </w:r>
          </w:p>
        </w:tc>
        <w:tc>
          <w:tcPr>
            <w:tcW w:w="3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514,567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484,783</w:t>
            </w: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Consumer:</w:t>
            </w: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1-4 Family Residential</w:t>
            </w:r>
          </w:p>
        </w:tc>
        <w:tc>
          <w:tcPr>
            <w:tcW w:w="3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534,511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460,124</w:t>
            </w:r>
          </w:p>
        </w:tc>
      </w:tr>
      <w:tr>
        <w:trPr>
          <w:trHeight w:val="172"/>
        </w:trPr>
        <w:tc>
          <w:tcPr>
            <w:tcW w:w="20" w:type="dxa"/>
            <w:vAlign w:val="bottom"/>
          </w:tcPr>
          <w:p>
            <w:pPr>
              <w:spacing w:after="0"/>
              <w:rPr>
                <w:sz w:val="14"/>
                <w:szCs w:val="14"/>
                <w:color w:val="auto"/>
              </w:rPr>
            </w:pPr>
          </w:p>
        </w:tc>
        <w:tc>
          <w:tcPr>
            <w:tcW w:w="5340" w:type="dxa"/>
            <w:vAlign w:val="bottom"/>
          </w:tcPr>
          <w:p>
            <w:pPr>
              <w:ind w:left="120"/>
              <w:spacing w:after="0"/>
              <w:rPr>
                <w:sz w:val="20"/>
                <w:szCs w:val="20"/>
                <w:color w:val="auto"/>
              </w:rPr>
            </w:pPr>
            <w:r>
              <w:rPr>
                <w:rFonts w:ascii="Arial" w:cs="Arial" w:eastAsia="Arial" w:hAnsi="Arial"/>
                <w:sz w:val="14"/>
                <w:szCs w:val="14"/>
                <w:color w:val="auto"/>
              </w:rPr>
              <w:t>Auto Loans</w:t>
            </w: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316,024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321,476</w:t>
            </w: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Consumer</w:t>
            </w:r>
          </w:p>
        </w:tc>
        <w:tc>
          <w:tcPr>
            <w:tcW w:w="3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77,325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81,308</w:t>
            </w: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Construction</w:t>
            </w: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138,469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153,519</w:t>
            </w:r>
          </w:p>
        </w:tc>
      </w:tr>
      <w:tr>
        <w:trPr>
          <w:trHeight w:val="212"/>
        </w:trPr>
        <w:tc>
          <w:tcPr>
            <w:tcW w:w="2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loans held for investment</w:t>
            </w:r>
          </w:p>
        </w:tc>
        <w:tc>
          <w:tcPr>
            <w:tcW w:w="3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2,993,563</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2,748,081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313"/>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South Plains Financial, Inc.</w:t>
            </w: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Deposit Composition</w:t>
            </w: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(Unaudited)</w:t>
            </w: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3"/>
                <w:szCs w:val="13"/>
                <w:color w:val="auto"/>
              </w:rPr>
            </w:pPr>
          </w:p>
        </w:tc>
        <w:tc>
          <w:tcPr>
            <w:tcW w:w="1020" w:type="dxa"/>
            <w:vAlign w:val="bottom"/>
          </w:tcPr>
          <w:p>
            <w:pPr>
              <w:jc w:val="center"/>
              <w:ind w:right="28"/>
              <w:spacing w:after="0" w:line="157"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3"/>
                <w:szCs w:val="13"/>
                <w:color w:val="auto"/>
              </w:rPr>
            </w:pPr>
          </w:p>
        </w:tc>
      </w:tr>
      <w:tr>
        <w:trPr>
          <w:trHeight w:val="188"/>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2023</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343"/>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Deposits:</w:t>
            </w: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Noninterest-bearing deposits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1,046,253</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1,150,488</w:t>
            </w: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NOW &amp; other transaction accounts</w:t>
            </w: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499,344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350,910</w:t>
            </w: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MMDA &amp; other savings</w:t>
            </w:r>
          </w:p>
        </w:tc>
        <w:tc>
          <w:tcPr>
            <w:tcW w:w="3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1,724,457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1,618,833</w:t>
            </w: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Time deposits</w:t>
            </w: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350,560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286,199</w:t>
            </w:r>
          </w:p>
        </w:tc>
      </w:tr>
      <w:tr>
        <w:trPr>
          <w:trHeight w:val="212"/>
        </w:trPr>
        <w:tc>
          <w:tcPr>
            <w:tcW w:w="2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deposits</w:t>
            </w:r>
          </w:p>
        </w:tc>
        <w:tc>
          <w:tcPr>
            <w:tcW w:w="3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3,620,614</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3,406,430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97"/>
        </w:trPr>
        <w:tc>
          <w:tcPr>
            <w:tcW w:w="20" w:type="dxa"/>
            <w:vAlign w:val="bottom"/>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South Plains Financial, Inc.</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Reconciliation of Non-GAAP Financial Measures (Unaudited)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2"/>
              </w:rPr>
              <w:t>For the quarter ended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September 30,</w:t>
            </w:r>
          </w:p>
        </w:tc>
        <w:tc>
          <w:tcPr>
            <w:tcW w:w="22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Pre-tax, pre-provision income</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13,494</w:t>
            </w:r>
          </w:p>
        </w:tc>
        <w:tc>
          <w:tcPr>
            <w:tcW w:w="220" w:type="dxa"/>
            <w:vAlign w:val="bottom"/>
            <w:tcBorders>
              <w:lef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29,683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9,244</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12,621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15,458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Income tax expense</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3,683</w:t>
            </w:r>
          </w:p>
        </w:tc>
        <w:tc>
          <w:tcPr>
            <w:tcW w:w="2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7,811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2,391</w:t>
            </w:r>
          </w:p>
        </w:tc>
        <w:tc>
          <w:tcPr>
            <w:tcW w:w="12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3,421</w:t>
            </w:r>
          </w:p>
        </w:tc>
        <w:tc>
          <w:tcPr>
            <w:tcW w:w="8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3,962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Provision for credit losses</w:t>
            </w:r>
          </w:p>
        </w:tc>
        <w:tc>
          <w:tcPr>
            <w:tcW w:w="9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(700)</w:t>
            </w:r>
          </w:p>
        </w:tc>
        <w:tc>
          <w:tcPr>
            <w:tcW w:w="220" w:type="dxa"/>
            <w:vAlign w:val="bottom"/>
            <w:tcBorders>
              <w:left w:val="single" w:sz="8" w:color="CCEEFF"/>
            </w:tcBorders>
            <w:shd w:val="clear" w:color="auto" w:fill="CCEEFF"/>
          </w:tcPr>
          <w:p>
            <w:pPr>
              <w:spacing w:after="0"/>
              <w:rPr>
                <w:sz w:val="15"/>
                <w:szCs w:val="15"/>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3,700</w:t>
            </w:r>
          </w:p>
        </w:tc>
        <w:tc>
          <w:tcPr>
            <w:tcW w:w="1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1,010</w:t>
            </w:r>
          </w:p>
        </w:tc>
        <w:tc>
          <w:tcPr>
            <w:tcW w:w="120" w:type="dxa"/>
            <w:vAlign w:val="bottom"/>
            <w:tcBorders>
              <w:left w:val="single" w:sz="8" w:color="CCEEFF"/>
            </w:tcBorders>
            <w:shd w:val="clear" w:color="auto" w:fill="CCEEFF"/>
          </w:tcPr>
          <w:p>
            <w:pPr>
              <w:spacing w:after="0"/>
              <w:rPr>
                <w:sz w:val="15"/>
                <w:szCs w:val="15"/>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248</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Pre-tax, pre-provision income</w:t>
            </w:r>
          </w:p>
        </w:tc>
        <w:tc>
          <w:tcPr>
            <w:tcW w:w="9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16,477</w:t>
            </w:r>
          </w:p>
        </w:tc>
        <w:tc>
          <w:tcPr>
            <w:tcW w:w="220" w:type="dxa"/>
            <w:vAlign w:val="bottom"/>
            <w:tcBorders>
              <w:lef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41,194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12,645</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16,290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Efficiency Ratio</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Noninterest expense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31,489</w:t>
            </w:r>
          </w:p>
        </w:tc>
        <w:tc>
          <w:tcPr>
            <w:tcW w:w="18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40,499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32,361</w:t>
            </w:r>
          </w:p>
        </w:tc>
        <w:tc>
          <w:tcPr>
            <w:tcW w:w="18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32,708</w:t>
            </w: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right"/>
              <w:ind w:right="9"/>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37,401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Net interest income</w:t>
            </w: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35,689</w:t>
            </w:r>
          </w:p>
        </w:tc>
        <w:tc>
          <w:tcPr>
            <w:tcW w:w="18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34,581</w:t>
            </w: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34,315</w:t>
            </w:r>
          </w:p>
        </w:tc>
        <w:tc>
          <w:tcPr>
            <w:tcW w:w="18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36,322</w:t>
            </w: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35,102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Tax equivalent yield adjustment</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229</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303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Noninterest income</w:t>
            </w: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12,277</w:t>
            </w:r>
          </w:p>
        </w:tc>
        <w:tc>
          <w:tcPr>
            <w:tcW w:w="18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47,112</w:t>
            </w: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10,691</w:t>
            </w:r>
          </w:p>
        </w:tc>
        <w:tc>
          <w:tcPr>
            <w:tcW w:w="18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12,676</w:t>
            </w: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20,937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Total income</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48,195</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81,996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45,308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49,297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56,340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1040" w:type="dxa"/>
            <w:vAlign w:val="bottom"/>
            <w:tcBorders>
              <w:right w:val="single" w:sz="8" w:color="CCEEFF"/>
            </w:tcBorders>
            <w:gridSpan w:val="2"/>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Efficiency ratio</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65.34%</w:t>
            </w:r>
          </w:p>
        </w:tc>
        <w:tc>
          <w:tcPr>
            <w:tcW w:w="22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49.39%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71.42%</w:t>
            </w:r>
          </w:p>
        </w:tc>
        <w:tc>
          <w:tcPr>
            <w:tcW w:w="12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66.35%</w:t>
            </w:r>
          </w:p>
        </w:tc>
        <w:tc>
          <w:tcPr>
            <w:tcW w:w="8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66.38%</w:t>
            </w: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1040" w:type="dxa"/>
            <w:vAlign w:val="bottom"/>
            <w:tcBorders>
              <w:right w:val="single" w:sz="8" w:color="CCEEFF"/>
            </w:tcBorders>
            <w:gridSpan w:val="2"/>
            <w:shd w:val="clear" w:color="auto" w:fill="CCEEFF"/>
          </w:tcPr>
          <w:p>
            <w:pPr>
              <w:spacing w:after="0"/>
              <w:rPr>
                <w:sz w:val="13"/>
                <w:szCs w:val="13"/>
                <w:color w:val="auto"/>
              </w:rPr>
            </w:pPr>
          </w:p>
        </w:tc>
        <w:tc>
          <w:tcPr>
            <w:tcW w:w="300" w:type="dxa"/>
            <w:vAlign w:val="bottom"/>
            <w:gridSpan w:val="2"/>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Noninterest expense</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31,489</w:t>
            </w: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40,499</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32,361</w:t>
            </w:r>
          </w:p>
        </w:tc>
        <w:tc>
          <w:tcPr>
            <w:tcW w:w="180" w:type="dxa"/>
            <w:vAlign w:val="bottom"/>
          </w:tcPr>
          <w:p>
            <w:pPr>
              <w:spacing w:after="0"/>
              <w:rPr>
                <w:sz w:val="14"/>
                <w:szCs w:val="14"/>
                <w:color w:val="auto"/>
              </w:rPr>
            </w:pP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32,708</w:t>
            </w:r>
          </w:p>
        </w:tc>
        <w:tc>
          <w:tcPr>
            <w:tcW w:w="220" w:type="dxa"/>
            <w:vAlign w:val="bottom"/>
          </w:tcPr>
          <w:p>
            <w:pPr>
              <w:spacing w:after="0"/>
              <w:rPr>
                <w:sz w:val="14"/>
                <w:szCs w:val="14"/>
                <w:color w:val="auto"/>
              </w:rPr>
            </w:pPr>
          </w:p>
        </w:tc>
        <w:tc>
          <w:tcPr>
            <w:tcW w:w="8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37,401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Less: Windmark transaction and related expenses</w:t>
            </w: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left w:val="single" w:sz="8" w:color="CCEEFF"/>
            </w:tcBorders>
            <w:shd w:val="clear" w:color="auto" w:fill="CCEEFF"/>
          </w:tcPr>
          <w:p>
            <w:pPr>
              <w:spacing w:after="0"/>
              <w:rPr>
                <w:sz w:val="14"/>
                <w:szCs w:val="14"/>
                <w:color w:val="auto"/>
              </w:rPr>
            </w:pPr>
          </w:p>
        </w:tc>
        <w:tc>
          <w:tcPr>
            <w:tcW w:w="10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(4,532)</w:t>
            </w: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Less: net loss on sale of securities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(3,409)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Adjusted noninterest expense</w:t>
            </w: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31,489</w:t>
            </w:r>
          </w:p>
        </w:tc>
        <w:tc>
          <w:tcPr>
            <w:tcW w:w="180" w:type="dxa"/>
            <w:vAlign w:val="bottom"/>
            <w:shd w:val="clear" w:color="auto" w:fill="CCEEFF"/>
          </w:tcPr>
          <w:p>
            <w:pPr>
              <w:spacing w:after="0"/>
              <w:rPr>
                <w:sz w:val="14"/>
                <w:szCs w:val="14"/>
                <w:color w:val="auto"/>
              </w:rPr>
            </w:pPr>
          </w:p>
        </w:tc>
        <w:tc>
          <w:tcPr>
            <w:tcW w:w="220" w:type="dxa"/>
            <w:vAlign w:val="bottom"/>
            <w:tcBorders>
              <w:top w:val="single" w:sz="8" w:color="auto"/>
              <w:left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32,558</w:t>
            </w:r>
          </w:p>
        </w:tc>
        <w:tc>
          <w:tcPr>
            <w:tcW w:w="14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32,361</w:t>
            </w:r>
          </w:p>
        </w:tc>
        <w:tc>
          <w:tcPr>
            <w:tcW w:w="180" w:type="dxa"/>
            <w:vAlign w:val="bottom"/>
            <w:shd w:val="clear" w:color="auto" w:fill="CCEEFF"/>
          </w:tcPr>
          <w:p>
            <w:pPr>
              <w:spacing w:after="0"/>
              <w:rPr>
                <w:sz w:val="14"/>
                <w:szCs w:val="14"/>
                <w:color w:val="auto"/>
              </w:rPr>
            </w:pPr>
          </w:p>
        </w:tc>
        <w:tc>
          <w:tcPr>
            <w:tcW w:w="120" w:type="dxa"/>
            <w:vAlign w:val="bottom"/>
            <w:tcBorders>
              <w:top w:val="single" w:sz="8" w:color="auto"/>
              <w:left w:val="single" w:sz="8" w:color="CCEEFF"/>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32,708</w:t>
            </w: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37,401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Total income</w:t>
            </w: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48,195</w:t>
            </w:r>
          </w:p>
        </w:tc>
        <w:tc>
          <w:tcPr>
            <w:tcW w:w="18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81,996</w:t>
            </w: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45,308</w:t>
            </w:r>
          </w:p>
        </w:tc>
        <w:tc>
          <w:tcPr>
            <w:tcW w:w="18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49,297</w:t>
            </w: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56,340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Less: gain on sale of Windmark</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(33,488)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Adjusted total income</w:t>
            </w: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47,905</w:t>
            </w:r>
          </w:p>
        </w:tc>
        <w:tc>
          <w:tcPr>
            <w:tcW w:w="180" w:type="dxa"/>
            <w:vAlign w:val="bottom"/>
            <w:shd w:val="clear" w:color="auto" w:fill="CCEEFF"/>
          </w:tcPr>
          <w:p>
            <w:pPr>
              <w:spacing w:after="0"/>
              <w:rPr>
                <w:sz w:val="14"/>
                <w:szCs w:val="14"/>
                <w:color w:val="auto"/>
              </w:rPr>
            </w:pPr>
          </w:p>
        </w:tc>
        <w:tc>
          <w:tcPr>
            <w:tcW w:w="220" w:type="dxa"/>
            <w:vAlign w:val="bottom"/>
            <w:tcBorders>
              <w:top w:val="single" w:sz="8" w:color="auto"/>
              <w:left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48,508</w:t>
            </w:r>
          </w:p>
        </w:tc>
        <w:tc>
          <w:tcPr>
            <w:tcW w:w="14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45,308</w:t>
            </w:r>
          </w:p>
        </w:tc>
        <w:tc>
          <w:tcPr>
            <w:tcW w:w="180" w:type="dxa"/>
            <w:vAlign w:val="bottom"/>
            <w:shd w:val="clear" w:color="auto" w:fill="CCEEFF"/>
          </w:tcPr>
          <w:p>
            <w:pPr>
              <w:spacing w:after="0"/>
              <w:rPr>
                <w:sz w:val="14"/>
                <w:szCs w:val="14"/>
                <w:color w:val="auto"/>
              </w:rPr>
            </w:pPr>
          </w:p>
        </w:tc>
        <w:tc>
          <w:tcPr>
            <w:tcW w:w="120" w:type="dxa"/>
            <w:vAlign w:val="bottom"/>
            <w:tcBorders>
              <w:top w:val="single" w:sz="8" w:color="auto"/>
              <w:left w:val="single" w:sz="8" w:color="CCEEFF"/>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49,297</w:t>
            </w: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56,340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Adjusted efficiency ratio</w:t>
            </w: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65.73%</w:t>
            </w:r>
          </w:p>
        </w:tc>
        <w:tc>
          <w:tcPr>
            <w:tcW w:w="220" w:type="dxa"/>
            <w:vAlign w:val="bottom"/>
            <w:tcBorders>
              <w:left w:val="single" w:sz="8" w:color="CCEEFF"/>
            </w:tcBorders>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67.12%</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71.42%</w:t>
            </w:r>
          </w:p>
        </w:tc>
        <w:tc>
          <w:tcPr>
            <w:tcW w:w="120" w:type="dxa"/>
            <w:vAlign w:val="bottom"/>
            <w:tcBorders>
              <w:lef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66.35%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66.38%</w:t>
            </w: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72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right"/>
              <w:ind w:right="360"/>
              <w:spacing w:after="0" w:line="157" w:lineRule="exact"/>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3"/>
                <w:szCs w:val="13"/>
                <w:color w:val="auto"/>
              </w:rPr>
            </w:pPr>
          </w:p>
        </w:tc>
        <w:tc>
          <w:tcPr>
            <w:tcW w:w="1040" w:type="dxa"/>
            <w:vAlign w:val="bottom"/>
            <w:gridSpan w:val="2"/>
          </w:tcPr>
          <w:p>
            <w:pPr>
              <w:jc w:val="right"/>
              <w:ind w:right="440"/>
              <w:spacing w:after="0" w:line="157"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440"/>
              <w:spacing w:after="0" w:line="157" w:lineRule="exact"/>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3"/>
                <w:szCs w:val="13"/>
                <w:color w:val="auto"/>
              </w:rPr>
            </w:pPr>
          </w:p>
        </w:tc>
        <w:tc>
          <w:tcPr>
            <w:tcW w:w="1260" w:type="dxa"/>
            <w:vAlign w:val="bottom"/>
            <w:gridSpan w:val="2"/>
          </w:tcPr>
          <w:p>
            <w:pPr>
              <w:jc w:val="right"/>
              <w:ind w:right="400"/>
              <w:spacing w:after="0" w:line="157"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3"/>
                <w:szCs w:val="13"/>
                <w:color w:val="auto"/>
              </w:rPr>
            </w:pPr>
          </w:p>
        </w:tc>
        <w:tc>
          <w:tcPr>
            <w:tcW w:w="1040" w:type="dxa"/>
            <w:vAlign w:val="bottom"/>
          </w:tcPr>
          <w:p>
            <w:pPr>
              <w:jc w:val="right"/>
              <w:ind w:right="68"/>
              <w:spacing w:after="0" w:line="157"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2023</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Tangible common equity</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Total common stockholders’ equity</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371,716</w:t>
            </w:r>
          </w:p>
        </w:tc>
        <w:tc>
          <w:tcPr>
            <w:tcW w:w="18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392,029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$ 367,964</w:t>
            </w:r>
          </w:p>
        </w:tc>
        <w:tc>
          <w:tcPr>
            <w:tcW w:w="18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$ 357,014</w:t>
            </w: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right"/>
              <w:ind w:right="9"/>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$ 341,799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Less: goodwill and other intangibles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(21,936)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(22,149)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(23,496)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(23,857)</w:t>
            </w:r>
          </w:p>
        </w:tc>
        <w:tc>
          <w:tcPr>
            <w:tcW w:w="8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(24,228)</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tcBorders>
              <w:top w:val="single" w:sz="8" w:color="auto"/>
              <w:left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top w:val="single" w:sz="8" w:color="auto"/>
              <w:left w:val="single" w:sz="8" w:color="CCEEFF"/>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b w:val="1"/>
                <w:bCs w:val="1"/>
                <w:color w:val="auto"/>
              </w:rPr>
              <w:t>Tangible common equity</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349,780</w:t>
            </w: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369,880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$ 344,468</w:t>
            </w:r>
          </w:p>
        </w:tc>
        <w:tc>
          <w:tcPr>
            <w:tcW w:w="180" w:type="dxa"/>
            <w:vAlign w:val="bottom"/>
          </w:tcPr>
          <w:p>
            <w:pPr>
              <w:spacing w:after="0"/>
              <w:rPr>
                <w:sz w:val="14"/>
                <w:szCs w:val="14"/>
                <w:color w:val="auto"/>
              </w:rPr>
            </w:pP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$ 333,157</w:t>
            </w:r>
          </w:p>
        </w:tc>
        <w:tc>
          <w:tcPr>
            <w:tcW w:w="220" w:type="dxa"/>
            <w:vAlign w:val="bottom"/>
          </w:tcPr>
          <w:p>
            <w:pPr>
              <w:spacing w:after="0"/>
              <w:rPr>
                <w:sz w:val="14"/>
                <w:szCs w:val="14"/>
                <w:color w:val="auto"/>
              </w:rPr>
            </w:pPr>
          </w:p>
        </w:tc>
        <w:tc>
          <w:tcPr>
            <w:tcW w:w="8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$ 317,571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b w:val="1"/>
                <w:bCs w:val="1"/>
                <w:color w:val="auto"/>
              </w:rPr>
              <w:t>Tangible assets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4,186,440</w:t>
            </w:r>
          </w:p>
        </w:tc>
        <w:tc>
          <w:tcPr>
            <w:tcW w:w="18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4,150,129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$ 4,058,049</w:t>
            </w:r>
          </w:p>
        </w:tc>
        <w:tc>
          <w:tcPr>
            <w:tcW w:w="18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$ 3,944,063</w:t>
            </w: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ind w:right="9"/>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$ 3,992,690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Less: goodwill and other intangibles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(21,936)</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(22,149)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(23,496)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(23,857)</w:t>
            </w:r>
          </w:p>
        </w:tc>
        <w:tc>
          <w:tcPr>
            <w:tcW w:w="8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(24,228)</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tcBorders>
              <w:top w:val="single" w:sz="8" w:color="auto"/>
              <w:left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top w:val="single" w:sz="8" w:color="auto"/>
              <w:left w:val="single" w:sz="8" w:color="CCEEFF"/>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b w:val="1"/>
                <w:bCs w:val="1"/>
                <w:color w:val="auto"/>
              </w:rPr>
              <w:t>Tangible assets</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4,164,504</w:t>
            </w: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4,127,980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$ 4,034,553</w:t>
            </w:r>
          </w:p>
        </w:tc>
        <w:tc>
          <w:tcPr>
            <w:tcW w:w="180" w:type="dxa"/>
            <w:vAlign w:val="bottom"/>
          </w:tcPr>
          <w:p>
            <w:pPr>
              <w:spacing w:after="0"/>
              <w:rPr>
                <w:sz w:val="14"/>
                <w:szCs w:val="14"/>
                <w:color w:val="auto"/>
              </w:rPr>
            </w:pP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$ 3,920,206</w:t>
            </w:r>
          </w:p>
        </w:tc>
        <w:tc>
          <w:tcPr>
            <w:tcW w:w="220" w:type="dxa"/>
            <w:vAlign w:val="bottom"/>
          </w:tcPr>
          <w:p>
            <w:pPr>
              <w:spacing w:after="0"/>
              <w:rPr>
                <w:sz w:val="14"/>
                <w:szCs w:val="14"/>
                <w:color w:val="auto"/>
              </w:rPr>
            </w:pPr>
          </w:p>
        </w:tc>
        <w:tc>
          <w:tcPr>
            <w:tcW w:w="8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$ 3,968,462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1040" w:type="dxa"/>
            <w:vAlign w:val="bottom"/>
            <w:tcBorders>
              <w:right w:val="single" w:sz="8" w:color="CCEEFF"/>
            </w:tcBorders>
            <w:gridSpan w:val="2"/>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Shares outstanding</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16,600,442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16,952,072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17,062,572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17,027,197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17,064,640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9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1040" w:type="dxa"/>
            <w:vAlign w:val="bottom"/>
            <w:tcBorders>
              <w:right w:val="single" w:sz="8" w:color="CCEEFF"/>
            </w:tcBorders>
            <w:gridSpan w:val="2"/>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1260" w:type="dxa"/>
            <w:vAlign w:val="bottom"/>
            <w:tcBorders>
              <w:right w:val="single" w:sz="8" w:color="CCEEFF"/>
            </w:tcBorders>
            <w:gridSpan w:val="2"/>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Total stockholders’ equity to total assets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8.88%</w:t>
            </w:r>
          </w:p>
        </w:tc>
        <w:tc>
          <w:tcPr>
            <w:tcW w:w="22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9.45%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9.07%</w:t>
            </w:r>
          </w:p>
        </w:tc>
        <w:tc>
          <w:tcPr>
            <w:tcW w:w="12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9.05%</w:t>
            </w:r>
          </w:p>
        </w:tc>
        <w:tc>
          <w:tcPr>
            <w:tcW w:w="8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Tangible common equity to tangible assets</w:t>
            </w:r>
          </w:p>
        </w:tc>
        <w:tc>
          <w:tcPr>
            <w:tcW w:w="9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8.40%</w:t>
            </w:r>
          </w:p>
        </w:tc>
        <w:tc>
          <w:tcPr>
            <w:tcW w:w="220" w:type="dxa"/>
            <w:vAlign w:val="bottom"/>
            <w:tcBorders>
              <w:left w:val="single" w:sz="8" w:color="CCEEFF"/>
            </w:tcBorders>
            <w:shd w:val="clear" w:color="auto" w:fill="CCEEFF"/>
          </w:tcPr>
          <w:p>
            <w:pPr>
              <w:spacing w:after="0"/>
              <w:rPr>
                <w:sz w:val="14"/>
                <w:szCs w:val="14"/>
                <w:color w:val="auto"/>
              </w:rPr>
            </w:pPr>
          </w:p>
        </w:tc>
        <w:tc>
          <w:tcPr>
            <w:tcW w:w="10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8.96%</w:t>
            </w:r>
          </w:p>
        </w:tc>
        <w:tc>
          <w:tcPr>
            <w:tcW w:w="1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8.54%</w:t>
            </w:r>
          </w:p>
        </w:tc>
        <w:tc>
          <w:tcPr>
            <w:tcW w:w="120" w:type="dxa"/>
            <w:vAlign w:val="bottom"/>
            <w:tcBorders>
              <w:left w:val="single" w:sz="8" w:color="CCEEFF"/>
            </w:tcBorders>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8.50%</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Arial" w:cs="Arial" w:eastAsia="Arial" w:hAnsi="Arial"/>
                <w:sz w:val="14"/>
                <w:szCs w:val="14"/>
                <w:color w:val="auto"/>
              </w:rPr>
              <w:t>Book value per share</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22.39</w:t>
            </w: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23.13</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21.57</w:t>
            </w:r>
          </w:p>
        </w:tc>
        <w:tc>
          <w:tcPr>
            <w:tcW w:w="180" w:type="dxa"/>
            <w:vAlign w:val="bottom"/>
          </w:tcPr>
          <w:p>
            <w:pPr>
              <w:spacing w:after="0"/>
              <w:rPr>
                <w:sz w:val="14"/>
                <w:szCs w:val="14"/>
                <w:color w:val="auto"/>
              </w:rPr>
            </w:pP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20.97</w:t>
            </w:r>
          </w:p>
        </w:tc>
        <w:tc>
          <w:tcPr>
            <w:tcW w:w="220" w:type="dxa"/>
            <w:vAlign w:val="bottom"/>
          </w:tcPr>
          <w:p>
            <w:pPr>
              <w:spacing w:after="0"/>
              <w:rPr>
                <w:sz w:val="14"/>
                <w:szCs w:val="14"/>
                <w:color w:val="auto"/>
              </w:rPr>
            </w:pPr>
          </w:p>
        </w:tc>
        <w:tc>
          <w:tcPr>
            <w:tcW w:w="8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Tangible book value per share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21.07</w:t>
            </w:r>
          </w:p>
        </w:tc>
        <w:tc>
          <w:tcPr>
            <w:tcW w:w="18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21.82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18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19.57</w:t>
            </w: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ind w:right="9"/>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5" w:name="page16"/>
    <w:bookmarkEnd w:id="15"/>
    <w:p>
      <w:pPr>
        <w:ind w:left="94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132715</wp:posOffset>
            </wp:positionV>
            <wp:extent cx="7209790" cy="5793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0" w:num="1">
            <w:col w:w="10140"/>
          </w:cols>
          <w:pgMar w:left="1440" w:top="243" w:right="31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07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9790" cy="5807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62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9790" cy="58623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866"/>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2023-10-24T15:38:58Z</dcterms:created>
  <dcterms:modified xsi:type="dcterms:W3CDTF">2023-10-24T15:38:58Z</dcterms:modified>
</cp:coreProperties>
</file>