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gif" ContentType="image/gif"/>
  <Override PartName="/word/media/image3.jpeg" ContentType="image/jpeg"/>
  <Override PartName="/word/media/image24.jpeg" ContentType="image/jpeg"/>
  <Override PartName="/word/media/image18.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October 21,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8670" w:type="dxa"/>
        <w:jc w:val="left"/>
        <w:tblInd w:w="0" w:type="dxa"/>
        <w:tblLayout w:type="fixed"/>
        <w:tblCellMar>
          <w:top w:w="0" w:type="dxa"/>
          <w:left w:w="0" w:type="dxa"/>
          <w:bottom w:w="0" w:type="dxa"/>
          <w:right w:w="0" w:type="dxa"/>
        </w:tblCellMar>
      </w:tblPr>
      <w:tblGrid>
        <w:gridCol w:w="3605"/>
        <w:gridCol w:w="2240"/>
        <w:gridCol w:w="2825"/>
      </w:tblGrid>
      <w:tr>
        <w:trPr/>
        <w:tc>
          <w:tcPr>
            <w:tcW w:w="36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Texas</w:t>
            </w:r>
          </w:p>
        </w:tc>
        <w:tc>
          <w:tcPr>
            <w:tcW w:w="224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001-38895</w:t>
            </w:r>
          </w:p>
        </w:tc>
        <w:tc>
          <w:tcPr>
            <w:tcW w:w="282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75-2453320</w:t>
            </w:r>
          </w:p>
        </w:tc>
      </w:tr>
      <w:tr>
        <w:trPr/>
        <w:tc>
          <w:tcPr>
            <w:tcW w:w="36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4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82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285" w:type="dxa"/>
        <w:jc w:val="left"/>
        <w:tblInd w:w="0" w:type="dxa"/>
        <w:tblLayout w:type="fixed"/>
        <w:tblCellMar>
          <w:top w:w="0" w:type="dxa"/>
          <w:left w:w="0" w:type="dxa"/>
          <w:bottom w:w="0" w:type="dxa"/>
          <w:right w:w="0" w:type="dxa"/>
        </w:tblCellMar>
      </w:tblPr>
      <w:tblGrid>
        <w:gridCol w:w="3230"/>
        <w:gridCol w:w="90"/>
        <w:gridCol w:w="965"/>
      </w:tblGrid>
      <w:tr>
        <w:trPr/>
        <w:tc>
          <w:tcPr>
            <w:tcW w:w="323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5219 City Bank Parkway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Lubbock, Texas</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79407</w:t>
            </w:r>
          </w:p>
        </w:tc>
      </w:tr>
      <w:tr>
        <w:trPr/>
        <w:tc>
          <w:tcPr>
            <w:tcW w:w="323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(806) 792-7101</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630" w:type="dxa"/>
        <w:jc w:val="left"/>
        <w:tblInd w:w="0" w:type="dxa"/>
        <w:tblLayout w:type="fixed"/>
        <w:tblCellMar>
          <w:top w:w="0" w:type="dxa"/>
          <w:left w:w="0" w:type="dxa"/>
          <w:bottom w:w="0" w:type="dxa"/>
          <w:right w:w="0" w:type="dxa"/>
        </w:tblCellMar>
      </w:tblPr>
      <w:tblGrid>
        <w:gridCol w:w="275"/>
        <w:gridCol w:w="7355"/>
      </w:tblGrid>
      <w:tr>
        <w:trPr/>
        <w:tc>
          <w:tcPr>
            <w:tcW w:w="275" w:type="dxa"/>
            <w:tcBorders/>
            <w:vAlign w:val="center"/>
          </w:tcPr>
          <w:p>
            <w:pPr>
              <w:pStyle w:val="TableContents"/>
              <w:bidi w:val="0"/>
              <w:spacing w:before="0" w:after="283"/>
              <w:jc w:val="left"/>
              <w:rPr>
                <w:color w:val="000000"/>
              </w:rPr>
            </w:pPr>
            <w:r>
              <w:rPr>
                <w:color w:val="000000"/>
              </w:rPr>
              <w:t>☐</w:t>
            </w:r>
          </w:p>
        </w:tc>
        <w:tc>
          <w:tcPr>
            <w:tcW w:w="73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660" w:type="dxa"/>
        <w:jc w:val="left"/>
        <w:tblInd w:w="0" w:type="dxa"/>
        <w:tblLayout w:type="fixed"/>
        <w:tblCellMar>
          <w:top w:w="0" w:type="dxa"/>
          <w:left w:w="0" w:type="dxa"/>
          <w:bottom w:w="0" w:type="dxa"/>
          <w:right w:w="0" w:type="dxa"/>
        </w:tblCellMar>
      </w:tblPr>
      <w:tblGrid>
        <w:gridCol w:w="275"/>
        <w:gridCol w:w="7385"/>
      </w:tblGrid>
      <w:tr>
        <w:trPr/>
        <w:tc>
          <w:tcPr>
            <w:tcW w:w="275" w:type="dxa"/>
            <w:tcBorders/>
            <w:vAlign w:val="center"/>
          </w:tcPr>
          <w:p>
            <w:pPr>
              <w:pStyle w:val="TableContents"/>
              <w:bidi w:val="0"/>
              <w:spacing w:before="0" w:after="283"/>
              <w:jc w:val="left"/>
              <w:rPr>
                <w:color w:val="000000"/>
              </w:rPr>
            </w:pPr>
            <w:r>
              <w:rPr>
                <w:color w:val="000000"/>
              </w:rPr>
              <w:t>☐</w:t>
            </w:r>
          </w:p>
        </w:tc>
        <w:tc>
          <w:tcPr>
            <w:tcW w:w="73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283"/>
              <w:jc w:val="left"/>
              <w:rPr>
                <w:color w:val="000000"/>
              </w:rPr>
            </w:pPr>
            <w:r>
              <w:rPr>
                <w:color w:val="000000"/>
              </w:rPr>
              <w:t>☐</w:t>
            </w:r>
          </w:p>
        </w:tc>
        <w:tc>
          <w:tcPr>
            <w:tcW w:w="91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340" w:type="dxa"/>
        <w:jc w:val="left"/>
        <w:tblInd w:w="0" w:type="dxa"/>
        <w:tblLayout w:type="fixed"/>
        <w:tblCellMar>
          <w:top w:w="0" w:type="dxa"/>
          <w:left w:w="0" w:type="dxa"/>
          <w:bottom w:w="0" w:type="dxa"/>
          <w:right w:w="0" w:type="dxa"/>
        </w:tblCellMar>
      </w:tblPr>
      <w:tblGrid>
        <w:gridCol w:w="275"/>
        <w:gridCol w:w="9065"/>
      </w:tblGrid>
      <w:tr>
        <w:trPr/>
        <w:tc>
          <w:tcPr>
            <w:tcW w:w="27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8655" w:type="dxa"/>
        <w:jc w:val="left"/>
        <w:tblInd w:w="-15" w:type="dxa"/>
        <w:tblLayout w:type="fixed"/>
        <w:tblCellMar>
          <w:top w:w="28" w:type="dxa"/>
          <w:left w:w="28" w:type="dxa"/>
          <w:bottom w:w="28" w:type="dxa"/>
          <w:right w:w="28" w:type="dxa"/>
        </w:tblCellMar>
      </w:tblPr>
      <w:tblGrid>
        <w:gridCol w:w="3440"/>
        <w:gridCol w:w="1565"/>
        <w:gridCol w:w="3650"/>
      </w:tblGrid>
      <w:tr>
        <w:trPr/>
        <w:tc>
          <w:tcPr>
            <w:tcW w:w="34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6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6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4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$1.00 per share</w:t>
            </w:r>
          </w:p>
        </w:tc>
        <w:tc>
          <w:tcPr>
            <w:tcW w:w="156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SPFI</w:t>
            </w:r>
          </w:p>
        </w:tc>
        <w:tc>
          <w:tcPr>
            <w:tcW w:w="3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sz w:val="20"/>
        </w:rPr>
      </w:pPr>
      <w:r>
        <w:rPr>
          <w:sz w:val="20"/>
        </w:rPr>
      </w:r>
    </w:p>
    <w:p>
      <w:pPr>
        <w:pStyle w:val="TextBody"/>
        <w:bidi w:val="0"/>
        <w:spacing w:before="0" w:after="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 (</w:t>
      </w:r>
      <w:r>
        <w:rPr>
          <w:rFonts w:ascii="Times New Roman;Times;serif" w:hAnsi="Times New Roman;Times;serif"/>
          <w:color w:val="000000"/>
          <w:spacing w:val="0"/>
          <w:sz w:val="20"/>
          <w:shd w:fill="FFFFFF" w:val="clear"/>
        </w:rPr>
        <w:t>§</w:t>
      </w:r>
      <w:r>
        <w:rPr>
          <w:rFonts w:ascii="Times New Roman;Times;serif" w:hAnsi="Times New Roman;Times;serif"/>
          <w:color w:val="000000"/>
          <w:sz w:val="20"/>
          <w:shd w:fill="FFFFFF" w:val="clear"/>
        </w:rPr>
        <w:t>0.405 of this chapter) or Rule 12b-2 of the Securities Exchange Act of 1934 (</w:t>
      </w:r>
      <w:r>
        <w:rPr>
          <w:rFonts w:ascii="Times New Roman;Times;serif" w:hAnsi="Times New Roman;Times;serif"/>
          <w:color w:val="000000"/>
          <w:spacing w:val="0"/>
          <w:sz w:val="20"/>
          <w:shd w:fill="FFFFFF" w:val="clear"/>
        </w:rPr>
        <w:t>§</w:t>
      </w:r>
      <w:r>
        <w:rPr>
          <w:rFonts w:ascii="Times New Roman;Times;serif" w:hAnsi="Times New Roman;Times;serif"/>
          <w:color w:val="000000"/>
          <w:sz w:val="20"/>
          <w:shd w:fill="FFFFFF" w:val="clear"/>
        </w:rPr>
        <w:t>0.12b-2 of this chapter).</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900" w:type="dxa"/>
        <w:jc w:val="left"/>
        <w:tblInd w:w="0" w:type="dxa"/>
        <w:tblLayout w:type="fixed"/>
        <w:tblCellMar>
          <w:top w:w="0" w:type="dxa"/>
          <w:left w:w="0" w:type="dxa"/>
          <w:bottom w:w="0" w:type="dxa"/>
          <w:right w:w="0" w:type="dxa"/>
        </w:tblCellMar>
      </w:tblPr>
      <w:tblGrid>
        <w:gridCol w:w="860"/>
        <w:gridCol w:w="404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40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22, 2026, South Plains Financial, Inc. (the </w:t>
      </w:r>
      <w:r>
        <w:rPr>
          <w:rFonts w:ascii="Times New Roman;Times;serif" w:hAnsi="Times New Roman;Times;serif"/>
          <w:color w:val="000000"/>
          <w:spacing w:val="0"/>
          <w:sz w:val="20"/>
          <w:shd w:fill="FFFFFF" w:val="clear"/>
        </w:rPr>
        <w:t>“Company”</w:t>
      </w:r>
      <w:r>
        <w:rPr>
          <w:rFonts w:ascii="Times New Roman;Times;serif" w:hAnsi="Times New Roman;Times;serif"/>
          <w:color w:val="000000"/>
          <w:sz w:val="20"/>
          <w:shd w:fill="FFFFFF" w:val="clear"/>
        </w:rPr>
        <w:t xml:space="preserve">) issued a press release announcing its financial results for the third quarter ended September 30, 2026.  A copy of the </w:t>
      </w:r>
      <w:r>
        <w:rPr>
          <w:rFonts w:ascii="Times New Roman;Times;serif" w:hAnsi="Times New Roman;Times;serif"/>
          <w:color w:val="000000"/>
          <w:spacing w:val="0"/>
          <w:sz w:val="20"/>
          <w:shd w:fill="FFFFFF" w:val="clear"/>
        </w:rPr>
        <w:t>Company’s</w:t>
      </w:r>
      <w:r>
        <w:rPr>
          <w:rFonts w:ascii="Times New Roman;Times;serif" w:hAnsi="Times New Roman;Times;serif"/>
          <w:color w:val="000000"/>
          <w:sz w:val="20"/>
          <w:shd w:fill="FFFFFF" w:val="clear"/>
        </w:rPr>
        <w:t xml:space="preserve"> press release covering such announcement and certain other matters is furnished as Exhibit 99.1 to this Current Report on Form 8-K.</w:t>
      </w:r>
    </w:p>
    <w:p>
      <w:pPr>
        <w:pStyle w:val="TextBody"/>
        <w:bidi w:val="0"/>
        <w:spacing w:before="0" w:after="0"/>
        <w:ind w:left="0" w:right="0" w:firstLine="720"/>
        <w:jc w:val="left"/>
        <w:rPr>
          <w:sz w:val="20"/>
        </w:rPr>
      </w:pPr>
      <w:r>
        <w:rPr>
          <w:sz w:val="20"/>
        </w:rPr>
      </w:r>
    </w:p>
    <w:tbl>
      <w:tblPr>
        <w:tblW w:w="3160" w:type="dxa"/>
        <w:jc w:val="left"/>
        <w:tblInd w:w="0" w:type="dxa"/>
        <w:tblLayout w:type="fixed"/>
        <w:tblCellMar>
          <w:top w:w="0" w:type="dxa"/>
          <w:left w:w="0" w:type="dxa"/>
          <w:bottom w:w="0" w:type="dxa"/>
          <w:right w:w="0" w:type="dxa"/>
        </w:tblCellMar>
      </w:tblPr>
      <w:tblGrid>
        <w:gridCol w:w="860"/>
        <w:gridCol w:w="230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30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22, 2026, officers of the Company will conduct a conference call at 5:00 p.m., Eastern Time, with respect to the </w:t>
      </w:r>
      <w:r>
        <w:rPr>
          <w:rFonts w:ascii="Times New Roman;Times;serif" w:hAnsi="Times New Roman;Times;serif"/>
          <w:color w:val="000000"/>
          <w:spacing w:val="0"/>
          <w:sz w:val="20"/>
          <w:shd w:fill="FFFFFF" w:val="clear"/>
        </w:rPr>
        <w:t>Company’s</w:t>
      </w:r>
      <w:r>
        <w:rPr>
          <w:rFonts w:ascii="Times New Roman;Times;serif" w:hAnsi="Times New Roman;Times;serif"/>
          <w:color w:val="000000"/>
          <w:sz w:val="20"/>
          <w:shd w:fill="FFFFFF" w:val="clear"/>
        </w:rPr>
        <w:t xml:space="preserve"> financial results for the third quarter ended September 30, 2026. An earnings release slide presentation highlighting the </w:t>
      </w:r>
      <w:r>
        <w:rPr>
          <w:rFonts w:ascii="Times New Roman;Times;serif" w:hAnsi="Times New Roman;Times;serif"/>
          <w:color w:val="000000"/>
          <w:spacing w:val="0"/>
          <w:sz w:val="20"/>
          <w:shd w:fill="FFFFFF" w:val="clear"/>
        </w:rPr>
        <w:t>Company’s</w:t>
      </w:r>
      <w:r>
        <w:rPr>
          <w:rFonts w:ascii="Times New Roman;Times;serif" w:hAnsi="Times New Roman;Times;serif"/>
          <w:color w:val="000000"/>
          <w:sz w:val="20"/>
          <w:shd w:fill="FFFFFF" w:val="clear"/>
        </w:rPr>
        <w:t xml:space="preserve"> financial results for the third quarter ended September 30, 2026 is furnished as Exhibit 99.2 to this Current Report on Form 8-K. This earnings release slide presentation will also be available on the </w:t>
      </w:r>
      <w:r>
        <w:rPr>
          <w:rFonts w:ascii="Times New Roman;Times;serif" w:hAnsi="Times New Roman;Times;serif"/>
          <w:color w:val="000000"/>
          <w:spacing w:val="0"/>
          <w:sz w:val="20"/>
          <w:shd w:fill="FFFFFF" w:val="clear"/>
        </w:rPr>
        <w:t>Company’s</w:t>
      </w:r>
      <w:r>
        <w:rPr>
          <w:rFonts w:ascii="Times New Roman;Times;serif" w:hAnsi="Times New Roman;Times;serif"/>
          <w:color w:val="000000"/>
          <w:sz w:val="20"/>
          <w:shd w:fill="FFFFFF" w:val="clear"/>
        </w:rPr>
        <w:t xml:space="preserve"> website, </w:t>
      </w:r>
      <w:r>
        <w:rPr>
          <w:rFonts w:ascii="Times New Roman;Times;serif" w:hAnsi="Times New Roman;Times;serif"/>
          <w:color w:val="000000"/>
          <w:sz w:val="20"/>
          <w:u w:val="single"/>
          <w:shd w:fill="FFFFFF" w:val="clear"/>
        </w:rPr>
        <w:t>www.spfi.bank</w:t>
      </w:r>
      <w:r>
        <w:rPr>
          <w:rFonts w:ascii="Times New Roman;Times;serif" w:hAnsi="Times New Roman;Times;serif"/>
          <w:color w:val="000000"/>
          <w:sz w:val="20"/>
          <w:shd w:fill="FFFFFF" w:val="clear"/>
        </w:rPr>
        <w:t xml:space="preserve">, under the </w:t>
      </w:r>
      <w:r>
        <w:rPr>
          <w:rFonts w:ascii="Times New Roman;Times;serif" w:hAnsi="Times New Roman;Times;serif"/>
          <w:color w:val="000000"/>
          <w:spacing w:val="0"/>
          <w:sz w:val="20"/>
          <w:shd w:fill="FFFFFF" w:val="clear"/>
        </w:rPr>
        <w:t>“News &amp; Events” section</w:t>
      </w:r>
      <w:r>
        <w:rPr>
          <w:rFonts w:ascii="Times New Roman;Times;serif" w:hAnsi="Times New Roman;Times;serif"/>
          <w:color w:val="000000"/>
          <w:sz w:val="20"/>
          <w:shd w:fill="FFFFFF" w:val="clear"/>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accordance with General Instruction B.2 of Form 8-K, the information in Items 2.02 and 7.01 of this Current Report on Form 8-K, including Exhibit 99.1 and Exhibit 99.2 furnished herewith, shall not be deemed </w:t>
      </w:r>
      <w:r>
        <w:rPr>
          <w:rFonts w:ascii="Times New Roman;Times;serif" w:hAnsi="Times New Roman;Times;serif"/>
          <w:color w:val="000000"/>
          <w:spacing w:val="0"/>
          <w:sz w:val="20"/>
          <w:shd w:fill="FFFFFF" w:val="clear"/>
        </w:rPr>
        <w:t>“filed”</w:t>
      </w:r>
      <w:r>
        <w:rPr>
          <w:rFonts w:ascii="Times New Roman;Times;serif" w:hAnsi="Times New Roman;Times;serif"/>
          <w:color w:val="000000"/>
          <w:sz w:val="20"/>
          <w:shd w:fill="FFFFFF" w:val="clear"/>
        </w:rPr>
        <w:t xml:space="preserve"> for the purposes of Section 18 of the Securities Exchange Act of 1934, as amended (the </w:t>
      </w:r>
      <w:r>
        <w:rPr>
          <w:rFonts w:ascii="Times New Roman;Times;serif" w:hAnsi="Times New Roman;Times;serif"/>
          <w:color w:val="000000"/>
          <w:spacing w:val="0"/>
          <w:sz w:val="20"/>
          <w:shd w:fill="FFFFFF" w:val="clear"/>
        </w:rPr>
        <w:t>“Exchange Act”</w:t>
      </w:r>
      <w:r>
        <w:rPr>
          <w:rFonts w:ascii="Times New Roman;Times;serif" w:hAnsi="Times New Roman;Times;serif"/>
          <w:color w:val="000000"/>
          <w:sz w:val="20"/>
          <w:shd w:fill="FFFFFF" w:val="clear"/>
        </w:rPr>
        <w: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pStyle w:val="TextBody"/>
        <w:bidi w:val="0"/>
        <w:spacing w:before="0" w:after="0"/>
        <w:jc w:val="left"/>
        <w:rPr>
          <w:sz w:val="20"/>
        </w:rPr>
      </w:pPr>
      <w:r>
        <w:rPr>
          <w:sz w:val="20"/>
        </w:rPr>
      </w:r>
    </w:p>
    <w:tbl>
      <w:tblPr>
        <w:tblW w:w="2110" w:type="dxa"/>
        <w:jc w:val="left"/>
        <w:tblInd w:w="0" w:type="dxa"/>
        <w:tblLayout w:type="fixed"/>
        <w:tblCellMar>
          <w:top w:w="0" w:type="dxa"/>
          <w:left w:w="0" w:type="dxa"/>
          <w:bottom w:w="0" w:type="dxa"/>
          <w:right w:w="0" w:type="dxa"/>
        </w:tblCellMar>
      </w:tblPr>
      <w:tblGrid>
        <w:gridCol w:w="860"/>
        <w:gridCol w:w="125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25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22, 2026, the Company issued a press release announcing the declaration of a quarterly cash dividend of $0.19 per share on its outstanding common stock. The dividend will be paid on November 16, 2026 to shareholders of record as of the close of business on November 2, 2026. A copy of the </w:t>
      </w:r>
      <w:r>
        <w:rPr>
          <w:rFonts w:ascii="Times New Roman;Times;serif" w:hAnsi="Times New Roman;Times;serif"/>
          <w:color w:val="000000"/>
          <w:spacing w:val="0"/>
          <w:sz w:val="20"/>
          <w:shd w:fill="FFFFFF" w:val="clear"/>
        </w:rPr>
        <w:t>Company’s</w:t>
      </w:r>
      <w:r>
        <w:rPr>
          <w:rFonts w:ascii="Times New Roman;Times;serif" w:hAnsi="Times New Roman;Times;serif"/>
          <w:color w:val="000000"/>
          <w:sz w:val="20"/>
          <w:shd w:fill="FFFFFF" w:val="clear"/>
        </w:rPr>
        <w:t xml:space="preserve"> press release covering such announcement is attached to this Current Report on Form 8-K as Exhibit 99.3 and is incorporated herein by reference.</w:t>
      </w:r>
    </w:p>
    <w:p>
      <w:pPr>
        <w:pStyle w:val="TextBody"/>
        <w:bidi w:val="0"/>
        <w:spacing w:before="0" w:after="0"/>
        <w:jc w:val="left"/>
        <w:rPr>
          <w:sz w:val="20"/>
        </w:rPr>
      </w:pPr>
      <w:r>
        <w:rPr>
          <w:sz w:val="20"/>
        </w:rPr>
      </w:r>
    </w:p>
    <w:tbl>
      <w:tblPr>
        <w:tblW w:w="3880" w:type="dxa"/>
        <w:jc w:val="left"/>
        <w:tblInd w:w="0" w:type="dxa"/>
        <w:tblLayout w:type="fixed"/>
        <w:tblCellMar>
          <w:top w:w="0" w:type="dxa"/>
          <w:left w:w="0" w:type="dxa"/>
          <w:bottom w:w="0" w:type="dxa"/>
          <w:right w:w="0" w:type="dxa"/>
        </w:tblCellMar>
      </w:tblPr>
      <w:tblGrid>
        <w:gridCol w:w="860"/>
        <w:gridCol w:w="302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30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r>
    </w:p>
    <w:tbl>
      <w:tblPr>
        <w:tblW w:w="1173" w:type="dxa"/>
        <w:jc w:val="left"/>
        <w:tblInd w:w="0" w:type="dxa"/>
        <w:tblLayout w:type="fixed"/>
        <w:tblCellMar>
          <w:top w:w="0" w:type="dxa"/>
          <w:left w:w="0" w:type="dxa"/>
          <w:bottom w:w="0" w:type="dxa"/>
          <w:right w:w="0" w:type="dxa"/>
        </w:tblCellMar>
      </w:tblPr>
      <w:tblGrid>
        <w:gridCol w:w="68"/>
        <w:gridCol w:w="275"/>
        <w:gridCol w:w="830"/>
      </w:tblGrid>
      <w:tr>
        <w:trPr/>
        <w:tc>
          <w:tcPr>
            <w:tcW w:w="6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pPr>
      <w:r>
        <w:rPr/>
      </w:r>
    </w:p>
    <w:tbl>
      <w:tblPr>
        <w:tblW w:w="9485" w:type="dxa"/>
        <w:jc w:val="left"/>
        <w:tblInd w:w="720" w:type="dxa"/>
        <w:tblLayout w:type="fixed"/>
        <w:tblCellMar>
          <w:top w:w="0" w:type="dxa"/>
          <w:left w:w="0" w:type="dxa"/>
          <w:bottom w:w="0" w:type="dxa"/>
          <w:right w:w="0" w:type="dxa"/>
        </w:tblCellMar>
      </w:tblPr>
      <w:tblGrid>
        <w:gridCol w:w="410"/>
        <w:gridCol w:w="9075"/>
      </w:tblGrid>
      <w:tr>
        <w:trPr/>
        <w:tc>
          <w:tcPr>
            <w:tcW w:w="410" w:type="dxa"/>
            <w:tcBorders/>
            <w:vAlign w:val="center"/>
          </w:tcPr>
          <w:p>
            <w:pPr>
              <w:pStyle w:val="TableContents"/>
              <w:bidi w:val="0"/>
              <w:spacing w:before="0" w:after="0"/>
              <w:jc w:val="left"/>
              <w:rPr/>
            </w:pPr>
            <w:hyperlink w:anchor="ef20084210_ex99-1.htm">
              <w:r>
                <w:rPr>
                  <w:rStyle w:val="InternetLink"/>
                  <w:rFonts w:ascii="Times New Roman" w:hAnsi="Times New Roman"/>
                  <w:color w:val="000000"/>
                  <w:sz w:val="20"/>
                </w:rPr>
                <w:t>99.1</w:t>
              </w:r>
            </w:hyperlink>
          </w:p>
        </w:tc>
        <w:tc>
          <w:tcPr>
            <w:tcW w:w="90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October 22, 2026, announcing third quarter 2026 financial results of South Plains Financial, Inc.</w:t>
            </w:r>
          </w:p>
        </w:tc>
      </w:tr>
      <w:tr>
        <w:trPr/>
        <w:tc>
          <w:tcPr>
            <w:tcW w:w="41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0"/>
              <w:jc w:val="left"/>
              <w:rPr/>
            </w:pPr>
            <w:hyperlink w:anchor="ef20084210_ex99-2.htm">
              <w:r>
                <w:rPr>
                  <w:rStyle w:val="InternetLink"/>
                  <w:rFonts w:ascii="Times New Roman" w:hAnsi="Times New Roman"/>
                  <w:color w:val="000000"/>
                  <w:sz w:val="20"/>
                </w:rPr>
                <w:t>99.2</w:t>
              </w:r>
            </w:hyperlink>
          </w:p>
        </w:tc>
        <w:tc>
          <w:tcPr>
            <w:tcW w:w="90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Earnings release slide presentation, dated October 22, 2026.</w:t>
            </w:r>
          </w:p>
        </w:tc>
      </w:tr>
      <w:tr>
        <w:trPr/>
        <w:tc>
          <w:tcPr>
            <w:tcW w:w="41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0"/>
              <w:jc w:val="left"/>
              <w:rPr/>
            </w:pPr>
            <w:hyperlink w:anchor="ef20084210_ex99-3.htm">
              <w:r>
                <w:rPr>
                  <w:rStyle w:val="InternetLink"/>
                  <w:rFonts w:ascii="Times New Roman" w:hAnsi="Times New Roman"/>
                  <w:color w:val="000000"/>
                  <w:sz w:val="20"/>
                </w:rPr>
                <w:t>99.3</w:t>
              </w:r>
            </w:hyperlink>
          </w:p>
        </w:tc>
        <w:tc>
          <w:tcPr>
            <w:tcW w:w="90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October 22, 2026, announcing South Plains Financial, Inc. quarterly cash dividend.</w:t>
            </w:r>
          </w:p>
        </w:tc>
      </w:tr>
      <w:tr>
        <w:trPr/>
        <w:tc>
          <w:tcPr>
            <w:tcW w:w="41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0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spacing w:before="0" w:after="0"/>
        <w:ind w:left="720" w:right="0" w:hanging="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094" w:type="dxa"/>
        <w:jc w:val="left"/>
        <w:tblInd w:w="0" w:type="dxa"/>
        <w:tblLayout w:type="fixed"/>
        <w:tblCellMar>
          <w:top w:w="0" w:type="dxa"/>
          <w:left w:w="0" w:type="dxa"/>
          <w:bottom w:w="0" w:type="dxa"/>
          <w:right w:w="0" w:type="dxa"/>
        </w:tblCellMar>
      </w:tblPr>
      <w:tblGrid>
        <w:gridCol w:w="1985"/>
        <w:gridCol w:w="494"/>
        <w:gridCol w:w="2615"/>
      </w:tblGrid>
      <w:tr>
        <w:trPr/>
        <w:tc>
          <w:tcPr>
            <w:tcW w:w="198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tc>
      </w:tr>
      <w:tr>
        <w:trPr/>
        <w:tc>
          <w:tcPr>
            <w:tcW w:w="198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22, 2026</w:t>
            </w:r>
          </w:p>
        </w:tc>
        <w:tc>
          <w:tcPr>
            <w:tcW w:w="49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61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Steven B. Crockett</w:t>
            </w:r>
          </w:p>
        </w:tc>
      </w:tr>
    </w:tbl>
    <w:tbl>
      <w:tblPr>
        <w:tblW w:w="3260" w:type="dxa"/>
        <w:jc w:val="left"/>
        <w:tblInd w:w="0" w:type="dxa"/>
        <w:tblLayout w:type="fixed"/>
        <w:tblCellMar>
          <w:top w:w="0" w:type="dxa"/>
          <w:left w:w="0" w:type="dxa"/>
          <w:bottom w:w="0" w:type="dxa"/>
          <w:right w:w="0" w:type="dxa"/>
        </w:tblCellMar>
      </w:tblPr>
      <w:tblGrid>
        <w:gridCol w:w="90"/>
        <w:gridCol w:w="90"/>
        <w:gridCol w:w="3080"/>
      </w:tblGrid>
      <w:tr>
        <w:trPr/>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Steven B. Crockett</w:t>
            </w:r>
          </w:p>
        </w:tc>
      </w:tr>
      <w:tr>
        <w:trPr/>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 and Treasurer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TextBody"/>
        <w:bidi w:val="0"/>
        <w:jc w:val="left"/>
        <w:rPr/>
      </w:pPr>
      <w:r>
        <w:rPr/>
      </w:r>
    </w:p>
    <w:p>
      <w:pPr>
        <w:pStyle w:val="TextBody"/>
        <w:bidi w:val="0"/>
        <w:spacing w:before="0" w:after="0"/>
        <w:jc w:val="left"/>
        <w:rPr>
          <w:color w:val="000000"/>
        </w:rPr>
      </w:pPr>
      <w:bookmarkStart w:id="0" w:name="ef20084210_ex99-1.htm"/>
      <w:bookmarkStart w:id="1" w:name="ksef20084210_ex991"/>
      <w:bookmarkEnd w:id="0"/>
      <w:bookmarkEnd w:id="1"/>
      <w:r>
        <w:rPr>
          <w:color w:val="000000"/>
        </w:rPr>
        <w:drawing>
          <wp:inline distT="0" distB="0" distL="0" distR="0">
            <wp:extent cx="119348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34825" cy="428625"/>
                    </a:xfrm>
                    <a:prstGeom prst="rect">
                      <a:avLst/>
                    </a:prstGeom>
                  </pic:spPr>
                </pic:pic>
              </a:graphicData>
            </a:graphic>
          </wp:inline>
        </w:drawing>
      </w:r>
      <w:r>
        <w:rPr>
          <w:color w:val="000000"/>
        </w:rPr>
        <w:t xml:space="preserve"> </w:t>
      </w:r>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 Reports Third Quarter 2026 Financial Results</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LUBBOCK, Texas, October 22, 2026 (GLOBE NEWSWIRE) – South Plains Financial, Inc. (NASDAQ:SPFI) (“South Plains” or the “Company”), the parent company of City Bank (“City Bank” or the “Bank”), today reported its financial results for the quarter ended September 30, 2026.</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Third Quarter 2026 Highlights</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income for the third quarter of 2026 was $20.8 million, compared to $19.0 million for the second quarter of 2026 and $16.3 million for the third quarter of 2025.</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Diluted earnings per share for the third quarter of 2026 was $1.06, compared to $0.96 for the second quarter of 2026 and $0.96 for the third quarter of 2025.</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Average cost of deposits for the third quarter of 2026 was 207 basis points, compared to 208 basis points for the second quarter of 2026 and 210 basis points for the third quarter of 2025.</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on a tax-equivalent basis, was 4.00% for the third quarter of 2026, compared to 4.00% for the second quarter of 2026 and 4.05% for the third quarter of 2025.</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Return on average assets for the third quarter of 2026 was 1.53%, compared to 1.44% for the second quarter of 2026 and 1.47% for the third quarter of 2025.</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Tangible book value (non-GAAP) per share was $29.23 as of September 30, 2026, compared to $29.60 as of June 30, 2026 and $28.14 as of September 30, 2025.</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w:t>
            </w:r>
          </w:p>
        </w:tc>
        <w:tc>
          <w:tcPr>
            <w:tcW w:w="993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consolidated total risk-based capital ratio, common equity tier 1 risk-based capital ratio, and tier 1 leverage ratio at September 30, 2026 were 16.61%, 14.20%, and 12.42%, respectively.</w:t>
            </w:r>
          </w:p>
        </w:tc>
      </w:tr>
    </w:tbl>
    <w:p>
      <w:pPr>
        <w:pStyle w:val="TextBody"/>
        <w:bidi w:val="0"/>
        <w:spacing w:before="0" w:after="0"/>
        <w:jc w:val="left"/>
        <w:rPr>
          <w:color w:val="000000"/>
        </w:rPr>
      </w:pPr>
      <w:r>
        <w:rPr>
          <w:color w:val="000000"/>
        </w:rPr>
        <w:t xml:space="preserve">  </w:t>
      </w:r>
    </w:p>
    <w:p>
      <w:pPr>
        <w:pStyle w:val="TextBody"/>
        <w:bidi w:val="0"/>
        <w:spacing w:lineRule="auto" w:line="256" w:before="0" w:after="0"/>
        <w:jc w:val="both"/>
        <w:rPr>
          <w:rFonts w:ascii="Times New Roman" w:hAnsi="Times New Roman"/>
          <w:color w:val="000000"/>
          <w:sz w:val="20"/>
        </w:rPr>
      </w:pPr>
      <w:r>
        <w:rPr>
          <w:rFonts w:ascii="Times New Roman" w:hAnsi="Times New Roman"/>
          <w:color w:val="000000"/>
          <w:sz w:val="20"/>
        </w:rPr>
        <w:t>Curtis Griffith, South Plains’ Chairman and Chief Executive Officer, commented, “As I prepare to retire as Chief Executive Officer at the end of this year, I could not be prouder of what City Bank and South Plains have become. The strong results we delivered in the third quarter, including near-record earnings and solid organic loan growth, reflect the strength of our franchise and reinforce my confidence in the future of the Company. Our leadership transition reflects years of thoughtful planning, and I am confident that Cory and the rest of our experienced management team are well prepared to build on our success. I look forward to continuing my service as Chairman and helping guide the long-term strategy of the Company.</w:t>
      </w:r>
      <w:r>
        <w:rPr>
          <w:rFonts w:ascii="Times New Roman" w:hAnsi="Times New Roman"/>
          <w:color w:val="000000"/>
          <w:spacing w:val="0"/>
          <w:sz w:val="20"/>
        </w:rPr>
        <w:t>”</w:t>
      </w:r>
    </w:p>
    <w:p>
      <w:pPr>
        <w:pStyle w:val="TextBody"/>
        <w:bidi w:val="0"/>
        <w:spacing w:before="0" w:after="0"/>
        <w:jc w:val="left"/>
        <w:rPr>
          <w:color w:val="000000"/>
        </w:rPr>
      </w:pPr>
      <w:r>
        <w:rPr>
          <w:color w:val="000000"/>
        </w:rPr>
        <w:t xml:space="preserve">  </w:t>
      </w:r>
    </w:p>
    <w:p>
      <w:pPr>
        <w:pStyle w:val="TextBody"/>
        <w:bidi w:val="0"/>
        <w:spacing w:lineRule="auto" w:line="256" w:before="0" w:after="0"/>
        <w:jc w:val="both"/>
        <w:rPr>
          <w:rFonts w:ascii="Times New Roman" w:hAnsi="Times New Roman"/>
          <w:color w:val="000000"/>
          <w:sz w:val="20"/>
        </w:rPr>
      </w:pPr>
      <w:r>
        <w:rPr>
          <w:rFonts w:ascii="Times New Roman" w:hAnsi="Times New Roman"/>
          <w:color w:val="000000"/>
          <w:sz w:val="20"/>
        </w:rPr>
        <w:t>Cory Newsom, South Plains’ President, added, “I am honored by the Board</w:t>
      </w:r>
      <w:r>
        <w:rPr>
          <w:rFonts w:ascii="Times New Roman" w:hAnsi="Times New Roman"/>
          <w:color w:val="000000"/>
          <w:spacing w:val="0"/>
          <w:sz w:val="20"/>
        </w:rPr>
        <w:t>’</w:t>
      </w:r>
      <w:r>
        <w:rPr>
          <w:rFonts w:ascii="Times New Roman" w:hAnsi="Times New Roman"/>
          <w:color w:val="000000"/>
          <w:sz w:val="20"/>
        </w:rPr>
        <w:t>s confidence in appointing me as South Plains</w:t>
      </w:r>
      <w:r>
        <w:rPr>
          <w:rFonts w:ascii="Times New Roman" w:hAnsi="Times New Roman"/>
          <w:color w:val="000000"/>
          <w:spacing w:val="0"/>
          <w:sz w:val="20"/>
        </w:rPr>
        <w:t>’</w:t>
      </w:r>
      <w:r>
        <w:rPr>
          <w:rFonts w:ascii="Times New Roman" w:hAnsi="Times New Roman"/>
          <w:color w:val="000000"/>
          <w:sz w:val="20"/>
        </w:rPr>
        <w:t xml:space="preserve"> next Chief Executive Officer and excited to build upon the strong foundation that our team has created. Our third quarter results reflect the investments that we have made to expand our lending platform across our high-growth Texas markets, with annualized loan growth accelerating to 6.3% during the quarter, consistent with our expectations. We believe our loan pipeline remains healthy, and we continue to see opportunities to recruit experienced bankers as industry consolidation creates disruption across our markets. With a strong balance sheet, stable profitability and attractive returns, we believe we are well positioned to continue growing the </w:t>
      </w:r>
      <w:r>
        <w:rPr>
          <w:rFonts w:ascii="Times New Roman" w:hAnsi="Times New Roman"/>
          <w:color w:val="000000"/>
          <w:spacing w:val="0"/>
          <w:sz w:val="20"/>
        </w:rPr>
        <w:t>South Plains </w:t>
      </w:r>
      <w:r>
        <w:rPr>
          <w:rFonts w:ascii="Times New Roman" w:hAnsi="Times New Roman"/>
          <w:color w:val="000000"/>
          <w:sz w:val="20"/>
        </w:rPr>
        <w:t>franchise, enhancing the long-term earning power of the Bank and creating value for our shareholders.”</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Results of Operations, Quarter Ended September 30, 2026</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Net Interest Income</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interest income was $51.5 million for the third quarter of 2026, compared to $50.3 million for the second quarter of 2026 and $43.0 million for the third quarter of 2025. Net interest margin, calculated on a tax-equivalent basis, was 4.00% for the third quarter of 2026, compared to 4.00% for the second quarter of 2026 and 4.05% for the third quarter of 2025. The average yield on loans was 6.75% for the third quarter of 2026, compared to 6.81% for the second quarter of 2026 and 6.92% for the third quarter of 2025. The average cost of deposits was 207 basis points for the third quarter of 2026, which is 1 basis point lower than the second quarter of 2026 and 3 basis points lower than the third quarter of 2025.</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income was $76.4 million for the third quarter of 2026, compared to $75.0 million for the second quarter of 2026 and $64.5 million for the third quarter of 2025. Interest income in the third quarter of 2026 increased $1.4 million compared to the second quarter of 2026 and increased $11.9 million compared to the third quarter of 2025. The $1.4 million quarterly increase was mainly due to an increase of $53.4 million in average interest-bearing assets, while the year-over-year increase of $11.9 million was primarily due to the acquisition of BOH Holdings, Inc.’s (</w:t>
      </w:r>
      <w:r>
        <w:rPr>
          <w:rFonts w:ascii="Times New Roman" w:hAnsi="Times New Roman"/>
          <w:color w:val="000000"/>
          <w:spacing w:val="0"/>
          <w:sz w:val="20"/>
        </w:rPr>
        <w:t>“</w:t>
      </w:r>
      <w:r>
        <w:rPr>
          <w:rFonts w:ascii="Times New Roman" w:hAnsi="Times New Roman"/>
          <w:color w:val="000000"/>
          <w:sz w:val="20"/>
        </w:rPr>
        <w:t>BOH</w:t>
      </w:r>
      <w:r>
        <w:rPr>
          <w:rFonts w:ascii="Times New Roman" w:hAnsi="Times New Roman"/>
          <w:color w:val="000000"/>
          <w:spacing w:val="0"/>
          <w:sz w:val="20"/>
        </w:rPr>
        <w:t>”</w:t>
      </w:r>
      <w:r>
        <w:rPr>
          <w:rFonts w:ascii="Times New Roman" w:hAnsi="Times New Roman"/>
          <w:color w:val="000000"/>
          <w:sz w:val="20"/>
        </w:rPr>
        <w:t>) approximately $667 million of interest-earning assets in the second quarter of 2026 along with organic growth.</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expense was $24.9 million for the third quarter of 2026, compared to $24.7 million for the second quarter of 2026 and $21.5 million for the third quarter of 2025. Interest expense in the third quarter of 2026 increased $295 thousand compared to the second quarter of 2026 and increased $3.4 million compared to the third quarter of 2025. The year-over-year increase of $3.4 million was mainly attributable to the acquisition of BOH’s approximately $611 million of interest-bearing liabilities during the second quarter of 2026 along with organic growth.</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Noninterest Income and Noninterest Expense</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income was $13.8 million for the third quarter of 2026, compared to $14.1 million for the second quarter of 2026 and $11.2 million for the third quarter of 2025. The decrease from the second quarter of 2026 was primarily due to a decrease of $568 thousand in bank card services and interchange revenue, mainly as a result of incentives received during the second quarter of 2026. The increase in noninterest income for the third quarter of 2026 as compared to the third quarter of 2025 was primarily due to an increase of $2.3 million in mortgage banking revenues, mainly as a result of the change in the fair value adjustment of the mortgage servicing rights assets – a write-up of $1.6 million in the third quarter of 2026 compared to a write-down of $925 thousand in the third quarter of 2025 – based on market interest rate changes during the respective quarters.</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Noninterest expense was $38.1 million for the third quarter of 2026, compared to $39.9 million for the second quarter of 2026 and $33.0 million for the third quarter of 2025. The $1.8 million decrease from the second quarter of 2026 was primarily the result of a decrease of $1.1 million in personnel expenses, mainly as a result of $710 thousand of acquisition-related expenses in the second quarter and a </w:t>
      </w:r>
      <w:r>
        <w:rPr>
          <w:rFonts w:ascii="Times New Roman" w:hAnsi="Times New Roman"/>
          <w:color w:val="000000"/>
          <w:spacing w:val="0"/>
          <w:sz w:val="20"/>
        </w:rPr>
        <w:t>decline of $326 thousand in mortgage commissions during the third quarter. There was also </w:t>
      </w:r>
      <w:r>
        <w:rPr>
          <w:rFonts w:ascii="Times New Roman" w:hAnsi="Times New Roman"/>
          <w:color w:val="000000"/>
          <w:sz w:val="20"/>
        </w:rPr>
        <w:t>a decline in other noninterest expenses of $596 thousand, mainly due to $343 thousand in acquisition-related expenses in the second quarter of 2026. The $5.1 million increase in noninterest expense for the third quarter of 2026 as compared to the third quarter of 2025 was largely the result of an increase in core operating expenses from the BOH acquisition of approximately $2.5 million and annual salary adjustments.</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Loan Portfolio and Composition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held for investment were $3.83 billion as of September 30, 2026, compared to $3.77 billion as of June 30, 2026 and $3.05 billion as of September 30, 2025. The increase of $59.7 million, or 6.3% annualized, during the third quarter of 2026 as compared to the second quarter of 2026 occurred as a result of organic loan growth during the quarter. The organic growth was net of one early loan payoff of $25 million during the quarter, which was fully secured by the borrower</w:t>
      </w:r>
      <w:r>
        <w:rPr>
          <w:rFonts w:ascii="Times New Roman" w:hAnsi="Times New Roman"/>
          <w:color w:val="000000"/>
          <w:spacing w:val="0"/>
          <w:sz w:val="20"/>
        </w:rPr>
        <w:t>’</w:t>
      </w:r>
      <w:r>
        <w:rPr>
          <w:rFonts w:ascii="Times New Roman" w:hAnsi="Times New Roman"/>
          <w:color w:val="000000"/>
          <w:sz w:val="20"/>
        </w:rPr>
        <w:t>s deposit account. As of September 30, 2026, loans held for investment increased $777.6 million as compared to September 30, 2025, as a result of BOH acquisition-related growth of $631.9 million and organic growth during the period.</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Deposits and Borrowings</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Deposits totaled $4.66 billion as of September 30, 2026, compared to $4.64 billion as of June 30, 2026 and $3.88 billion as of September 30, 2025. Deposits increased by $20.1 million in the third quarter of 2026 from June 30, 2026. Deposits increased by $779.5 million at September 30, 2026 as compared to September 30, 2025. Noninterest-bearing deposits were $1.18 billion as of September 30, 2026, compared to $1.15 billion as of June 30, 2026 and $1.0 billion as of September 30, 2025. Noninterest-bearing deposits represented 25.3% of total deposits as of September 30, 2026. The year-over-year change in total deposits was due to $595.6 million in deposits acquired through the BOH acquisition and organic growth broadly across the deposit portfolio during the period.</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Asset Quality</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recorded a provision for credit losses in the third quarter of 2026 of $830 thousand, compared to $350 thousand in the second quarter of 2026 and $500 thousand in the third quarter of 2025. The increase in provision for both comparisons was largely attributable to activity in the third quarter of 2026 which included higher net charge-offs and increased loan balances.</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ratio of allowance for credit losses to loans held for investment was 1.38% as of September 30, 2026, compared to 1.41% as of June 30, 2026 and 1.45% as of September 30, 2025.</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ratio of nonperforming assets to total assets was 0.31% as of September 30, 2026, compared to 0.19% as of June 30, 2026 and 0.26% as of September 30, 2025. Annualized net charge-offs were 0.13% for the third quarter of 2026, compared to 0.06% for the second quarter of 2026 and 0.16% for the third quarter of 2025.</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Capital</w:t>
      </w:r>
    </w:p>
    <w:p>
      <w:pPr>
        <w:pStyle w:val="TextBody"/>
        <w:bidi w:val="0"/>
        <w:spacing w:before="0" w:after="0"/>
        <w:jc w:val="left"/>
        <w:rPr>
          <w:color w:val="000000"/>
        </w:rPr>
      </w:pPr>
      <w:r>
        <w:rPr>
          <w:color w:val="000000"/>
        </w:rPr>
        <w:t xml:space="preserve">  </w:t>
      </w:r>
    </w:p>
    <w:p>
      <w:pPr>
        <w:pStyle w:val="TextBody"/>
        <w:bidi w:val="0"/>
        <w:spacing w:lineRule="auto" w:line="256" w:before="0" w:after="0"/>
        <w:jc w:val="both"/>
        <w:rPr>
          <w:rFonts w:ascii="Times New Roman" w:hAnsi="Times New Roman"/>
          <w:color w:val="000000"/>
          <w:sz w:val="20"/>
        </w:rPr>
      </w:pPr>
      <w:r>
        <w:rPr>
          <w:rFonts w:ascii="Times New Roman" w:hAnsi="Times New Roman"/>
          <w:color w:val="000000"/>
          <w:sz w:val="20"/>
        </w:rPr>
        <w:t>Book value per share decreased to $33.04 at September 30, 2026, compared to $33.43 at June 30, 2026. The change was primarily driven by a decrease in accumulated other comprehensive income (</w:t>
      </w:r>
      <w:r>
        <w:rPr>
          <w:rFonts w:ascii="Times New Roman" w:hAnsi="Times New Roman"/>
          <w:color w:val="000000"/>
          <w:spacing w:val="0"/>
          <w:sz w:val="20"/>
        </w:rPr>
        <w:t>“</w:t>
      </w:r>
      <w:r>
        <w:rPr>
          <w:rFonts w:ascii="Times New Roman" w:hAnsi="Times New Roman"/>
          <w:color w:val="000000"/>
          <w:sz w:val="20"/>
        </w:rPr>
        <w:t>AOCI</w:t>
      </w:r>
      <w:r>
        <w:rPr>
          <w:rFonts w:ascii="Times New Roman" w:hAnsi="Times New Roman"/>
          <w:color w:val="000000"/>
          <w:spacing w:val="0"/>
          <w:sz w:val="20"/>
        </w:rPr>
        <w:t>”</w:t>
      </w:r>
      <w:r>
        <w:rPr>
          <w:rFonts w:ascii="Times New Roman" w:hAnsi="Times New Roman"/>
          <w:color w:val="000000"/>
          <w:sz w:val="20"/>
        </w:rPr>
        <w:t>) of $25.5 million, partially offset by $17.4 million of net income after dividends paid during the third quarter of 2026. The decrease in AOCI was attributed to the after-tax decrease in fair value of our securities available for sale, net of fair value hedges, as a result of increases in long-term market interest rates during the period. The ratio of tangible common equity to tangible assets (non-GAAP) declined 16 basis points to 10.32% at September 30, 2026.</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will host a conference call to discuss its third quarter 2026 financial results today, October 22, 2026,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hAnsi="Times New Roman"/>
          <w:color w:val="000000"/>
          <w:sz w:val="20"/>
          <w:u w:val="single"/>
        </w:rPr>
        <w:t>https://www.spfi.bank/news-events/events</w:t>
      </w:r>
      <w:r>
        <w:rPr>
          <w:rFonts w:ascii="Times New Roman" w:hAnsi="Times New Roman"/>
          <w:color w:val="000000"/>
          <w:sz w:val="20"/>
        </w:rPr>
        <w:t>.</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13762814. The replay will be available until November 5, 2026.</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South Plains Financial, Inc.</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hAnsi="Times New Roman"/>
          <w:color w:val="000000"/>
          <w:sz w:val="20"/>
          <w:u w:val="single"/>
        </w:rPr>
        <w:t>https://www.spfi.bank</w:t>
      </w:r>
      <w:r>
        <w:rPr>
          <w:rFonts w:ascii="Times New Roman" w:hAnsi="Times New Roman"/>
          <w:color w:val="000000"/>
          <w:sz w:val="20"/>
        </w:rPr>
        <w:t xml:space="preserve"> for more information.</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reconciliation of non-GAAP financial measures to GAAP financial measures is provided at the end of this press release.</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routinely posts important information for investors on its web site (under </w:t>
      </w:r>
      <w:r>
        <w:rPr>
          <w:rFonts w:ascii="Times New Roman" w:hAnsi="Times New Roman"/>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color w:val="000000"/>
          <w:sz w:val="20"/>
          <w:u w:val="single"/>
        </w:rPr>
        <w:t>www.spfi.bank/news-events/press-releases</w:t>
      </w:r>
      <w:r>
        <w:rPr>
          <w:rFonts w:ascii="Times New Roman" w:hAnsi="Times New Roman"/>
          <w:color w:val="000000"/>
          <w:sz w:val="20"/>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document.</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slower economic growth rates or potential recession in the United States and our market areas; uncertainty or perceived instability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further increases in interest rates, or future reductions in interest rates and a resulting decline in net interest income; the persistent inflationary pressures in the United States; the uncertain impacts of current and future monetary policies of the Board of Governors of the Federal Reserve System; a deterioration of credit quality; changes in unemployment rates in the United States and our market areas; adverse changes in customer sentiment, spending, borrowing and savings habits; elevated asset prices; declines in housing and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military conflicts (including the conflicts in the Middle East, the possible expansion of such conflicts and potential geopolitical and economic consequences), acts of terrorism, geopolitical instability, domestic civil unrest or other external events, including as a result of the impact of the policies of the current U.S. presidential administration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our ability to keep pace with changes in, and the risks related to the development, implementation, use and management of, emerging technologies, including digital assets, artificial intelligence and machine learning; potential costs related to the impacts of climate change; current or future litigation, regulatory examinations or other legal and/or regulatory actions; our ability to successfully make and integrate acquisitions, which may include regulatory approvals and conditions, and our ability to recognize the expected benefits and synergies of our completed acquisitions; changes in accounting principles and standards, including those related to loan loss recognition under the current expected credit loss, or CECL, methodology; and changes in applicable laws, regulations, or policies in the United States.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t>
      </w:r>
      <w:r>
        <w:rPr>
          <w:rFonts w:ascii="Times New Roman" w:hAnsi="Times New Roman"/>
          <w:color w:val="000000"/>
          <w:sz w:val="20"/>
          <w:u w:val="single"/>
        </w:rPr>
        <w:t>www.sec.gov</w:t>
      </w:r>
      <w:r>
        <w:rPr>
          <w:rFonts w:ascii="Times New Roman" w:hAnsi="Times New Roman"/>
          <w:color w:val="000000"/>
          <w:sz w:val="20"/>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pStyle w:val="TextBody"/>
        <w:bidi w:val="0"/>
        <w:spacing w:before="0" w:after="0"/>
        <w:jc w:val="left"/>
        <w:rPr>
          <w:color w:val="000000"/>
        </w:rPr>
      </w:pPr>
      <w:r>
        <w:rPr>
          <w:color w:val="000000"/>
        </w:rPr>
        <w:t xml:space="preserve">  </w:t>
      </w:r>
    </w:p>
    <w:tbl>
      <w:tblPr>
        <w:tblW w:w="4915" w:type="dxa"/>
        <w:jc w:val="left"/>
        <w:tblInd w:w="0" w:type="dxa"/>
        <w:tblLayout w:type="fixed"/>
        <w:tblCellMar>
          <w:top w:w="0" w:type="dxa"/>
          <w:left w:w="0" w:type="dxa"/>
          <w:bottom w:w="0" w:type="dxa"/>
          <w:right w:w="0" w:type="dxa"/>
        </w:tblCellMar>
      </w:tblPr>
      <w:tblGrid>
        <w:gridCol w:w="755"/>
        <w:gridCol w:w="4160"/>
      </w:tblGrid>
      <w:tr>
        <w:trPr/>
        <w:tc>
          <w:tcPr>
            <w:tcW w:w="7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Contact:</w:t>
            </w:r>
          </w:p>
        </w:tc>
        <w:tc>
          <w:tcPr>
            <w:tcW w:w="41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Mikella Newsom, Chief Risk Officer and Secretary</w:t>
            </w:r>
          </w:p>
        </w:tc>
      </w:tr>
      <w:tr>
        <w:trPr/>
        <w:tc>
          <w:tcPr>
            <w:tcW w:w="755"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(866) 771-3347</w:t>
            </w:r>
          </w:p>
        </w:tc>
      </w:tr>
      <w:tr>
        <w:trPr/>
        <w:tc>
          <w:tcPr>
            <w:tcW w:w="755"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investors@city.bank</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Source: South Plains Financial, Inc.</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Financial Highlights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 except share data)</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1947"/>
        <w:gridCol w:w="90"/>
        <w:gridCol w:w="170"/>
        <w:gridCol w:w="1146"/>
        <w:gridCol w:w="245"/>
        <w:gridCol w:w="90"/>
        <w:gridCol w:w="170"/>
        <w:gridCol w:w="1130"/>
        <w:gridCol w:w="245"/>
        <w:gridCol w:w="90"/>
        <w:gridCol w:w="170"/>
        <w:gridCol w:w="1131"/>
        <w:gridCol w:w="245"/>
        <w:gridCol w:w="90"/>
        <w:gridCol w:w="170"/>
        <w:gridCol w:w="1131"/>
        <w:gridCol w:w="245"/>
        <w:gridCol w:w="90"/>
        <w:gridCol w:w="170"/>
        <w:gridCol w:w="1146"/>
        <w:gridCol w:w="294"/>
      </w:tblGrid>
      <w:tr>
        <w:trPr/>
        <w:tc>
          <w:tcPr>
            <w:tcW w:w="1947" w:type="dxa"/>
            <w:tcBorders/>
            <w:vAlign w:val="center"/>
          </w:tcPr>
          <w:p>
            <w:pPr>
              <w:pStyle w:val="TableContents"/>
              <w:bidi w:val="0"/>
              <w:spacing w:before="0" w:after="283"/>
              <w:jc w:val="left"/>
              <w:rPr/>
            </w:pPr>
            <w:r>
              <w:rPr/>
              <w:t> </w:t>
            </w:r>
          </w:p>
        </w:tc>
        <w:tc>
          <w:tcPr>
            <w:tcW w:w="8258" w:type="dxa"/>
            <w:gridSpan w:val="20"/>
            <w:tcBorders>
              <w:bottom w:val="single" w:sz="6" w:space="0" w:color="000000"/>
            </w:tcBorders>
            <w:tcMar>
              <w:bottom w:w="28" w:type="dxa"/>
            </w:tcMar>
            <w:vAlign w:val="center"/>
          </w:tcPr>
          <w:p>
            <w:pPr>
              <w:pStyle w:val="TableContents"/>
              <w:bidi w:val="0"/>
              <w:spacing w:before="0" w:after="283"/>
              <w:jc w:val="center"/>
              <w:rPr>
                <w:b/>
              </w:rPr>
            </w:pPr>
            <w:r>
              <w:rPr>
                <w:b/>
              </w:rPr>
              <w:t>As of and for the quarter ended</w:t>
            </w:r>
          </w:p>
        </w:tc>
      </w:tr>
      <w:tr>
        <w:trPr/>
        <w:tc>
          <w:tcPr>
            <w:tcW w:w="19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6" w:type="dxa"/>
            <w:tcBorders>
              <w:bottom w:val="single" w:sz="6" w:space="0" w:color="000000"/>
            </w:tcBorders>
            <w:tcMar>
              <w:bottom w:w="28" w:type="dxa"/>
            </w:tcMar>
            <w:vAlign w:val="center"/>
          </w:tcPr>
          <w:p>
            <w:pPr>
              <w:pStyle w:val="TableContents"/>
              <w:bidi w:val="0"/>
              <w:spacing w:before="0" w:after="283"/>
              <w:jc w:val="center"/>
              <w:rPr>
                <w:b/>
              </w:rPr>
            </w:pPr>
            <w:r>
              <w:rPr>
                <w:b/>
              </w:rPr>
              <w:t>September 30, 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center"/>
              <w:rPr>
                <w:b/>
              </w:rPr>
            </w:pPr>
            <w:r>
              <w:rPr>
                <w:b/>
              </w:rPr>
              <w:t>June 30, 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1" w:type="dxa"/>
            <w:tcBorders>
              <w:bottom w:val="single" w:sz="6" w:space="0" w:color="000000"/>
            </w:tcBorders>
            <w:tcMar>
              <w:bottom w:w="28" w:type="dxa"/>
            </w:tcMar>
            <w:vAlign w:val="center"/>
          </w:tcPr>
          <w:p>
            <w:pPr>
              <w:pStyle w:val="TableContents"/>
              <w:bidi w:val="0"/>
              <w:spacing w:before="0" w:after="283"/>
              <w:jc w:val="center"/>
              <w:rPr>
                <w:b/>
              </w:rPr>
            </w:pPr>
            <w:r>
              <w:rPr>
                <w:b/>
              </w:rPr>
              <w:t>March 31, 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1"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6" w:type="dxa"/>
            <w:tcBorders>
              <w:bottom w:val="single" w:sz="6" w:space="0" w:color="000000"/>
            </w:tcBorders>
            <w:tcMar>
              <w:bottom w:w="28" w:type="dxa"/>
            </w:tcMar>
            <w:vAlign w:val="center"/>
          </w:tcPr>
          <w:p>
            <w:pPr>
              <w:pStyle w:val="TableContents"/>
              <w:bidi w:val="0"/>
              <w:spacing w:before="0" w:after="283"/>
              <w:jc w:val="center"/>
              <w:rPr>
                <w:b/>
              </w:rPr>
            </w:pPr>
            <w:r>
              <w:rPr>
                <w:b/>
              </w:rPr>
              <w:t>September 30, 2025</w:t>
            </w:r>
          </w:p>
        </w:tc>
        <w:tc>
          <w:tcPr>
            <w:tcW w:w="29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b/>
              </w:rPr>
            </w:pPr>
            <w:r>
              <w:rPr>
                <w:b/>
              </w:rPr>
              <w:t>Selected Income Statement Data: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146" w:type="dxa"/>
            <w:tcBorders/>
            <w:shd w:fill="CCEEFF" w:val="clear"/>
            <w:vAlign w:val="center"/>
          </w:tcPr>
          <w:p>
            <w:pPr>
              <w:pStyle w:val="TableContents"/>
              <w:bidi w:val="0"/>
              <w:spacing w:before="0" w:after="283"/>
              <w:jc w:val="right"/>
              <w:rPr/>
            </w:pPr>
            <w:r>
              <w:rPr/>
              <w:t>76,410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130" w:type="dxa"/>
            <w:tcBorders/>
            <w:shd w:fill="CCEEFF" w:val="clear"/>
            <w:vAlign w:val="center"/>
          </w:tcPr>
          <w:p>
            <w:pPr>
              <w:pStyle w:val="TableContents"/>
              <w:bidi w:val="0"/>
              <w:spacing w:before="0" w:after="283"/>
              <w:jc w:val="right"/>
              <w:rPr/>
            </w:pPr>
            <w:r>
              <w:rPr/>
              <w:t>75,003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131" w:type="dxa"/>
            <w:tcBorders/>
            <w:shd w:fill="CCEEFF" w:val="clear"/>
            <w:vAlign w:val="center"/>
          </w:tcPr>
          <w:p>
            <w:pPr>
              <w:pStyle w:val="TableContents"/>
              <w:bidi w:val="0"/>
              <w:spacing w:before="0" w:after="283"/>
              <w:jc w:val="right"/>
              <w:rPr/>
            </w:pPr>
            <w:r>
              <w:rPr/>
              <w:t>62,632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131" w:type="dxa"/>
            <w:tcBorders/>
            <w:shd w:fill="CCEEFF" w:val="clear"/>
            <w:vAlign w:val="center"/>
          </w:tcPr>
          <w:p>
            <w:pPr>
              <w:pStyle w:val="TableContents"/>
              <w:bidi w:val="0"/>
              <w:spacing w:before="0" w:after="283"/>
              <w:jc w:val="right"/>
              <w:rPr/>
            </w:pPr>
            <w:r>
              <w:rPr/>
              <w:t>63,421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146" w:type="dxa"/>
            <w:tcBorders/>
            <w:shd w:fill="CCEEFF" w:val="clear"/>
            <w:vAlign w:val="center"/>
          </w:tcPr>
          <w:p>
            <w:pPr>
              <w:pStyle w:val="TableContents"/>
              <w:bidi w:val="0"/>
              <w:spacing w:before="0" w:after="283"/>
              <w:jc w:val="right"/>
              <w:rPr/>
            </w:pPr>
            <w:r>
              <w:rPr/>
              <w:t>64,520</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24,949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24,654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19,780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20,471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21,501</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Net 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51,461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50,349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42,852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42,950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43,019</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830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350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260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1,775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500</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Noninterest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13,810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14,143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11,295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10,934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11,165</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Noninterest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38,074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39,864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35,526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33,023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33,024</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5,602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5,286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3,816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3,832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4,342</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20,765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18,992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14,545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15,254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16,318</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b/>
              </w:rPr>
            </w:pPr>
            <w:r>
              <w:rPr>
                <w:b/>
              </w:rPr>
              <w:t>Per Share Data (Common Stock):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Net earnings, basic</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1.10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0.99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0.89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0.94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1.00</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Net earnings,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1.06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0.96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0.85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0.90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0.96</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Cash dividends declared and paid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0.18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0.17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0.17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0.16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0.16</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Book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33.04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33.43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30.90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30.31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29.41</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Tangible book value (non-GAAP)</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29.23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29.60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29.65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29.05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28.14</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Weighted average shares outstanding, basic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18,844,259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19,100,893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16,318,570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16,248,336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16,241,695</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Weighted average shares outstanding, dilutive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19,601,363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19,809,801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17,036,334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16,996,517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16,990,546</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Shares outstanding at end of period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18,847,573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18,839,105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16,342,219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16,293,577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16,247,839</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b/>
              </w:rPr>
            </w:pPr>
            <w:r>
              <w:rPr>
                <w:b/>
              </w:rPr>
              <w:t>Selected Period End Balance Sheet Data: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776,735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787,757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722,000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552,439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635,046</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Investment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518,347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555,427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602,852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567,540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571,138</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Total loans held for investment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3,831,138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3,771,434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3,103,529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3,144,502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3,053,503</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Allowance for credit losses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52,768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53,076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44,822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45,131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44,125</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5,410,874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5,391,206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4,646,374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4,480,500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4,479,437</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Interest-bearing deposits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3,481,584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3,488,985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2,993,469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2,850,560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2,831,642</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Noninterest-bearing deposits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1,179,107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1,151,641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1,034,117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1,023,517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1,049,501</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Total deposits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4,660,691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4,640,626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4,027,586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3,874,077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3,881,143</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Borrowings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60,493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60,493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60,493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60,493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60,493</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622,756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629,765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504,939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493,837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477,802</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b/>
              </w:rPr>
            </w:pPr>
            <w:r>
              <w:rPr>
                <w:b/>
              </w:rPr>
              <w:t>Summary Performance Ratios: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Return on average assets (annualized)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1.53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1.44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1.31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1.36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1.47</w:t>
            </w:r>
          </w:p>
        </w:tc>
        <w:tc>
          <w:tcPr>
            <w:tcW w:w="294" w:type="dxa"/>
            <w:tcBorders/>
            <w:vAlign w:val="center"/>
          </w:tcPr>
          <w:p>
            <w:pPr>
              <w:pStyle w:val="TableContents"/>
              <w:bidi w:val="0"/>
              <w:spacing w:before="0" w:after="283"/>
              <w:jc w:val="left"/>
              <w:rPr/>
            </w:pPr>
            <w:r>
              <w:rPr/>
              <w:t>%</w:t>
            </w:r>
          </w:p>
        </w:tc>
      </w:tr>
      <w:tr>
        <w:trPr/>
        <w:tc>
          <w:tcPr>
            <w:tcW w:w="1947" w:type="dxa"/>
            <w:tcBorders/>
            <w:shd w:fill="CCEEFF" w:val="clear"/>
            <w:vAlign w:val="center"/>
          </w:tcPr>
          <w:p>
            <w:pPr>
              <w:pStyle w:val="TableContents"/>
              <w:bidi w:val="0"/>
              <w:spacing w:before="0" w:after="283"/>
              <w:jc w:val="left"/>
              <w:rPr/>
            </w:pPr>
            <w:r>
              <w:rPr/>
              <w:t>Return on average equity (annualized)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13.15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12.17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11.81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12.46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13.89</w:t>
            </w:r>
          </w:p>
        </w:tc>
        <w:tc>
          <w:tcPr>
            <w:tcW w:w="294" w:type="dxa"/>
            <w:tcBorders/>
            <w:shd w:fill="CCEEFF" w:val="clear"/>
            <w:vAlign w:val="center"/>
          </w:tcPr>
          <w:p>
            <w:pPr>
              <w:pStyle w:val="TableContents"/>
              <w:bidi w:val="0"/>
              <w:spacing w:before="0" w:after="283"/>
              <w:jc w:val="left"/>
              <w:rPr/>
            </w:pPr>
            <w:r>
              <w:rPr/>
              <w:t>%</w:t>
            </w:r>
          </w:p>
        </w:tc>
      </w:tr>
      <w:tr>
        <w:trPr/>
        <w:tc>
          <w:tcPr>
            <w:tcW w:w="1947" w:type="dxa"/>
            <w:tcBorders/>
            <w:vAlign w:val="center"/>
          </w:tcPr>
          <w:p>
            <w:pPr>
              <w:pStyle w:val="TableContents"/>
              <w:bidi w:val="0"/>
              <w:spacing w:before="0" w:after="283"/>
              <w:jc w:val="left"/>
              <w:rPr/>
            </w:pPr>
            <w:r>
              <w:rPr/>
              <w:t>Net interest margin(1)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4.00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4.00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4.04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4.00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4.05</w:t>
            </w:r>
          </w:p>
        </w:tc>
        <w:tc>
          <w:tcPr>
            <w:tcW w:w="294" w:type="dxa"/>
            <w:tcBorders/>
            <w:vAlign w:val="center"/>
          </w:tcPr>
          <w:p>
            <w:pPr>
              <w:pStyle w:val="TableContents"/>
              <w:bidi w:val="0"/>
              <w:spacing w:before="0" w:after="283"/>
              <w:jc w:val="left"/>
              <w:rPr/>
            </w:pPr>
            <w:r>
              <w:rPr/>
              <w:t>%</w:t>
            </w:r>
          </w:p>
        </w:tc>
      </w:tr>
      <w:tr>
        <w:trPr/>
        <w:tc>
          <w:tcPr>
            <w:tcW w:w="1947" w:type="dxa"/>
            <w:tcBorders/>
            <w:shd w:fill="CCEEFF" w:val="clear"/>
            <w:vAlign w:val="center"/>
          </w:tcPr>
          <w:p>
            <w:pPr>
              <w:pStyle w:val="TableContents"/>
              <w:bidi w:val="0"/>
              <w:spacing w:before="0" w:after="283"/>
              <w:jc w:val="left"/>
              <w:rPr/>
            </w:pPr>
            <w:r>
              <w:rPr/>
              <w:t>Yield on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6.75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6.81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6.83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6.79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6.92</w:t>
            </w:r>
          </w:p>
        </w:tc>
        <w:tc>
          <w:tcPr>
            <w:tcW w:w="294" w:type="dxa"/>
            <w:tcBorders/>
            <w:shd w:fill="CCEEFF" w:val="clear"/>
            <w:vAlign w:val="center"/>
          </w:tcPr>
          <w:p>
            <w:pPr>
              <w:pStyle w:val="TableContents"/>
              <w:bidi w:val="0"/>
              <w:spacing w:before="0" w:after="283"/>
              <w:jc w:val="left"/>
              <w:rPr/>
            </w:pPr>
            <w:r>
              <w:rPr/>
              <w:t>%</w:t>
            </w:r>
          </w:p>
        </w:tc>
      </w:tr>
      <w:tr>
        <w:trPr/>
        <w:tc>
          <w:tcPr>
            <w:tcW w:w="1947" w:type="dxa"/>
            <w:tcBorders/>
            <w:vAlign w:val="center"/>
          </w:tcPr>
          <w:p>
            <w:pPr>
              <w:pStyle w:val="TableContents"/>
              <w:bidi w:val="0"/>
              <w:spacing w:before="0" w:after="283"/>
              <w:jc w:val="left"/>
              <w:rPr/>
            </w:pPr>
            <w:r>
              <w:rPr/>
              <w:t>Cost of interest-bearing deposits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2.73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2.74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2.64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2.75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2.87</w:t>
            </w:r>
          </w:p>
        </w:tc>
        <w:tc>
          <w:tcPr>
            <w:tcW w:w="294" w:type="dxa"/>
            <w:tcBorders/>
            <w:vAlign w:val="center"/>
          </w:tcPr>
          <w:p>
            <w:pPr>
              <w:pStyle w:val="TableContents"/>
              <w:bidi w:val="0"/>
              <w:spacing w:before="0" w:after="283"/>
              <w:jc w:val="left"/>
              <w:rPr/>
            </w:pPr>
            <w:r>
              <w:rPr/>
              <w:t>%</w:t>
            </w:r>
          </w:p>
        </w:tc>
      </w:tr>
      <w:tr>
        <w:trPr/>
        <w:tc>
          <w:tcPr>
            <w:tcW w:w="1947" w:type="dxa"/>
            <w:tcBorders/>
            <w:shd w:fill="CCEEFF" w:val="clear"/>
            <w:vAlign w:val="center"/>
          </w:tcPr>
          <w:p>
            <w:pPr>
              <w:pStyle w:val="TableContents"/>
              <w:bidi w:val="0"/>
              <w:spacing w:before="0" w:after="283"/>
              <w:jc w:val="left"/>
              <w:rPr/>
            </w:pPr>
            <w:r>
              <w:rPr/>
              <w:t>Efficiency ratio</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58.12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61.59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65.33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61.02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60.69</w:t>
            </w:r>
          </w:p>
        </w:tc>
        <w:tc>
          <w:tcPr>
            <w:tcW w:w="294" w:type="dxa"/>
            <w:tcBorders/>
            <w:shd w:fill="CCEEFF" w:val="clear"/>
            <w:vAlign w:val="center"/>
          </w:tcPr>
          <w:p>
            <w:pPr>
              <w:pStyle w:val="TableContents"/>
              <w:bidi w:val="0"/>
              <w:spacing w:before="0" w:after="283"/>
              <w:jc w:val="left"/>
              <w:rPr/>
            </w:pPr>
            <w:r>
              <w:rPr/>
              <w:t>%</w:t>
            </w:r>
          </w:p>
        </w:tc>
      </w:tr>
      <w:tr>
        <w:trPr/>
        <w:tc>
          <w:tcPr>
            <w:tcW w:w="1947" w:type="dxa"/>
            <w:tcBorders/>
            <w:vAlign w:val="center"/>
          </w:tcPr>
          <w:p>
            <w:pPr>
              <w:pStyle w:val="TableContents"/>
              <w:bidi w:val="0"/>
              <w:spacing w:before="0" w:after="283"/>
              <w:jc w:val="left"/>
              <w:rPr>
                <w:b/>
              </w:rPr>
            </w:pPr>
            <w:r>
              <w:rPr>
                <w:b/>
              </w:rPr>
              <w:t>Summary Credit Quality Data: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1947" w:type="dxa"/>
            <w:tcBorders/>
            <w:shd w:fill="CCEEFF" w:val="clear"/>
            <w:vAlign w:val="center"/>
          </w:tcPr>
          <w:p>
            <w:pPr>
              <w:pStyle w:val="TableContents"/>
              <w:bidi w:val="0"/>
              <w:spacing w:before="0" w:after="283"/>
              <w:jc w:val="left"/>
              <w:rPr/>
            </w:pPr>
            <w:r>
              <w:rPr/>
              <w:t>Nonperforming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15,313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9,506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5,093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9,805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9,709</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Nonperforming loans to total loans held for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0.40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0.25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0.16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0.31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0.32</w:t>
            </w:r>
          </w:p>
        </w:tc>
        <w:tc>
          <w:tcPr>
            <w:tcW w:w="294" w:type="dxa"/>
            <w:tcBorders/>
            <w:vAlign w:val="center"/>
          </w:tcPr>
          <w:p>
            <w:pPr>
              <w:pStyle w:val="TableContents"/>
              <w:bidi w:val="0"/>
              <w:spacing w:before="0" w:after="283"/>
              <w:jc w:val="left"/>
              <w:rPr/>
            </w:pPr>
            <w:r>
              <w:rPr/>
              <w:t>%</w:t>
            </w:r>
          </w:p>
        </w:tc>
      </w:tr>
      <w:tr>
        <w:trPr/>
        <w:tc>
          <w:tcPr>
            <w:tcW w:w="1947" w:type="dxa"/>
            <w:tcBorders/>
            <w:shd w:fill="CCEEFF" w:val="clear"/>
            <w:vAlign w:val="center"/>
          </w:tcPr>
          <w:p>
            <w:pPr>
              <w:pStyle w:val="TableContents"/>
              <w:bidi w:val="0"/>
              <w:spacing w:before="0" w:after="283"/>
              <w:jc w:val="left"/>
              <w:rPr/>
            </w:pPr>
            <w:r>
              <w:rPr/>
              <w:t>Other real estate owned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1,722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790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994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1,749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1,827</w:t>
            </w:r>
          </w:p>
        </w:tc>
        <w:tc>
          <w:tcPr>
            <w:tcW w:w="294" w:type="dxa"/>
            <w:tcBorders/>
            <w:shd w:fill="CCEEFF" w:val="clear"/>
            <w:vAlign w:val="center"/>
          </w:tcPr>
          <w:p>
            <w:pPr>
              <w:pStyle w:val="TableContents"/>
              <w:bidi w:val="0"/>
              <w:spacing w:before="0" w:after="283"/>
              <w:jc w:val="left"/>
              <w:rPr/>
            </w:pPr>
            <w:r>
              <w:rPr/>
              <w:t> </w:t>
            </w:r>
          </w:p>
        </w:tc>
      </w:tr>
      <w:tr>
        <w:trPr/>
        <w:tc>
          <w:tcPr>
            <w:tcW w:w="1947" w:type="dxa"/>
            <w:tcBorders/>
            <w:vAlign w:val="center"/>
          </w:tcPr>
          <w:p>
            <w:pPr>
              <w:pStyle w:val="TableContents"/>
              <w:bidi w:val="0"/>
              <w:spacing w:before="0" w:after="283"/>
              <w:jc w:val="left"/>
              <w:rPr/>
            </w:pPr>
            <w:r>
              <w:rPr/>
              <w:t>Nonperforming assets to total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0.31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0.19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0.13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0.26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0.26</w:t>
            </w:r>
          </w:p>
        </w:tc>
        <w:tc>
          <w:tcPr>
            <w:tcW w:w="294" w:type="dxa"/>
            <w:tcBorders/>
            <w:vAlign w:val="center"/>
          </w:tcPr>
          <w:p>
            <w:pPr>
              <w:pStyle w:val="TableContents"/>
              <w:bidi w:val="0"/>
              <w:spacing w:before="0" w:after="283"/>
              <w:jc w:val="left"/>
              <w:rPr/>
            </w:pPr>
            <w:r>
              <w:rPr/>
              <w:t>%</w:t>
            </w:r>
          </w:p>
        </w:tc>
      </w:tr>
      <w:tr>
        <w:trPr/>
        <w:tc>
          <w:tcPr>
            <w:tcW w:w="1947" w:type="dxa"/>
            <w:tcBorders/>
            <w:shd w:fill="CCEEFF" w:val="clear"/>
            <w:vAlign w:val="center"/>
          </w:tcPr>
          <w:p>
            <w:pPr>
              <w:pStyle w:val="TableContents"/>
              <w:bidi w:val="0"/>
              <w:spacing w:before="0" w:after="283"/>
              <w:jc w:val="left"/>
              <w:rPr/>
            </w:pPr>
            <w:r>
              <w:rPr/>
              <w:t>Allowance for credit losses to total loans held for investment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1.38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0" w:type="dxa"/>
            <w:tcBorders/>
            <w:shd w:fill="CCEEFF" w:val="clear"/>
            <w:vAlign w:val="center"/>
          </w:tcPr>
          <w:p>
            <w:pPr>
              <w:pStyle w:val="TableContents"/>
              <w:bidi w:val="0"/>
              <w:spacing w:before="0" w:after="283"/>
              <w:jc w:val="right"/>
              <w:rPr/>
            </w:pPr>
            <w:r>
              <w:rPr/>
              <w:t>1.41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1.44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31" w:type="dxa"/>
            <w:tcBorders/>
            <w:shd w:fill="CCEEFF" w:val="clear"/>
            <w:vAlign w:val="center"/>
          </w:tcPr>
          <w:p>
            <w:pPr>
              <w:pStyle w:val="TableContents"/>
              <w:bidi w:val="0"/>
              <w:spacing w:before="0" w:after="283"/>
              <w:jc w:val="right"/>
              <w:rPr/>
            </w:pPr>
            <w:r>
              <w:rPr/>
              <w:t>1.44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46" w:type="dxa"/>
            <w:tcBorders/>
            <w:shd w:fill="CCEEFF" w:val="clear"/>
            <w:vAlign w:val="center"/>
          </w:tcPr>
          <w:p>
            <w:pPr>
              <w:pStyle w:val="TableContents"/>
              <w:bidi w:val="0"/>
              <w:spacing w:before="0" w:after="283"/>
              <w:jc w:val="right"/>
              <w:rPr/>
            </w:pPr>
            <w:r>
              <w:rPr/>
              <w:t>1.45</w:t>
            </w:r>
          </w:p>
        </w:tc>
        <w:tc>
          <w:tcPr>
            <w:tcW w:w="294" w:type="dxa"/>
            <w:tcBorders/>
            <w:shd w:fill="CCEEFF" w:val="clear"/>
            <w:vAlign w:val="center"/>
          </w:tcPr>
          <w:p>
            <w:pPr>
              <w:pStyle w:val="TableContents"/>
              <w:bidi w:val="0"/>
              <w:spacing w:before="0" w:after="283"/>
              <w:jc w:val="left"/>
              <w:rPr/>
            </w:pPr>
            <w:r>
              <w:rPr/>
              <w:t>%</w:t>
            </w:r>
          </w:p>
        </w:tc>
      </w:tr>
      <w:tr>
        <w:trPr/>
        <w:tc>
          <w:tcPr>
            <w:tcW w:w="1947" w:type="dxa"/>
            <w:tcBorders/>
            <w:vAlign w:val="center"/>
          </w:tcPr>
          <w:p>
            <w:pPr>
              <w:pStyle w:val="TableContents"/>
              <w:bidi w:val="0"/>
              <w:spacing w:before="0" w:after="283"/>
              <w:jc w:val="left"/>
              <w:rPr/>
            </w:pPr>
            <w:r>
              <w:rPr/>
              <w:t>Net charge-offs to average loans outstanding (annualized)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0.13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0" w:type="dxa"/>
            <w:tcBorders/>
            <w:vAlign w:val="center"/>
          </w:tcPr>
          <w:p>
            <w:pPr>
              <w:pStyle w:val="TableContents"/>
              <w:bidi w:val="0"/>
              <w:spacing w:before="0" w:after="283"/>
              <w:jc w:val="right"/>
              <w:rPr/>
            </w:pPr>
            <w:r>
              <w:rPr/>
              <w:t>0.06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0.04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31" w:type="dxa"/>
            <w:tcBorders/>
            <w:vAlign w:val="center"/>
          </w:tcPr>
          <w:p>
            <w:pPr>
              <w:pStyle w:val="TableContents"/>
              <w:bidi w:val="0"/>
              <w:spacing w:before="0" w:after="283"/>
              <w:jc w:val="right"/>
              <w:rPr/>
            </w:pPr>
            <w:r>
              <w:rPr/>
              <w:t>0.10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46" w:type="dxa"/>
            <w:tcBorders/>
            <w:vAlign w:val="center"/>
          </w:tcPr>
          <w:p>
            <w:pPr>
              <w:pStyle w:val="TableContents"/>
              <w:bidi w:val="0"/>
              <w:spacing w:before="0" w:after="283"/>
              <w:jc w:val="right"/>
              <w:rPr/>
            </w:pPr>
            <w:r>
              <w:rPr/>
              <w:t>0.16</w:t>
            </w:r>
          </w:p>
        </w:tc>
        <w:tc>
          <w:tcPr>
            <w:tcW w:w="294" w:type="dxa"/>
            <w:tcBorders/>
            <w:vAlign w:val="center"/>
          </w:tcPr>
          <w:p>
            <w:pPr>
              <w:pStyle w:val="TableContents"/>
              <w:bidi w:val="0"/>
              <w:spacing w:before="0" w:after="283"/>
              <w:jc w:val="left"/>
              <w:rPr/>
            </w:pPr>
            <w:r>
              <w:rPr/>
              <w:t>%</w:t>
            </w:r>
          </w:p>
        </w:tc>
      </w:tr>
    </w:tbl>
    <w:p>
      <w:pPr>
        <w:pStyle w:val="HorizontalLine"/>
        <w:bidi w:val="0"/>
        <w:spacing w:before="200" w:after="200"/>
        <w:jc w:val="left"/>
        <w:rPr/>
      </w:pPr>
      <w:r>
        <w:rPr/>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95"/>
        <w:gridCol w:w="90"/>
        <w:gridCol w:w="90"/>
        <w:gridCol w:w="1353"/>
        <w:gridCol w:w="245"/>
        <w:gridCol w:w="90"/>
        <w:gridCol w:w="90"/>
        <w:gridCol w:w="788"/>
        <w:gridCol w:w="245"/>
        <w:gridCol w:w="90"/>
        <w:gridCol w:w="90"/>
        <w:gridCol w:w="948"/>
        <w:gridCol w:w="245"/>
        <w:gridCol w:w="90"/>
        <w:gridCol w:w="90"/>
        <w:gridCol w:w="1293"/>
        <w:gridCol w:w="245"/>
        <w:gridCol w:w="90"/>
        <w:gridCol w:w="90"/>
        <w:gridCol w:w="1353"/>
        <w:gridCol w:w="295"/>
      </w:tblGrid>
      <w:tr>
        <w:trPr/>
        <w:tc>
          <w:tcPr>
            <w:tcW w:w="2295" w:type="dxa"/>
            <w:tcBorders/>
            <w:vAlign w:val="center"/>
          </w:tcPr>
          <w:p>
            <w:pPr>
              <w:pStyle w:val="TableContents"/>
              <w:bidi w:val="0"/>
              <w:spacing w:before="0" w:after="283"/>
              <w:jc w:val="left"/>
              <w:rPr/>
            </w:pPr>
            <w:r>
              <w:rPr/>
              <w:t> </w:t>
            </w:r>
          </w:p>
        </w:tc>
        <w:tc>
          <w:tcPr>
            <w:tcW w:w="7910" w:type="dxa"/>
            <w:gridSpan w:val="20"/>
            <w:tcBorders>
              <w:bottom w:val="single" w:sz="6" w:space="0" w:color="000000"/>
            </w:tcBorders>
            <w:tcMar>
              <w:bottom w:w="28" w:type="dxa"/>
            </w:tcMar>
            <w:vAlign w:val="center"/>
          </w:tcPr>
          <w:p>
            <w:pPr>
              <w:pStyle w:val="TableContents"/>
              <w:bidi w:val="0"/>
              <w:spacing w:before="0" w:after="283"/>
              <w:jc w:val="center"/>
              <w:rPr>
                <w:b/>
              </w:rPr>
            </w:pPr>
            <w:r>
              <w:rPr>
                <w:b/>
              </w:rPr>
              <w:t>As of and for the quarter ended</w:t>
            </w:r>
          </w:p>
        </w:tc>
      </w:tr>
      <w:tr>
        <w:trPr/>
        <w:tc>
          <w:tcPr>
            <w:tcW w:w="2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3" w:type="dxa"/>
            <w:tcBorders>
              <w:bottom w:val="single" w:sz="6" w:space="0" w:color="000000"/>
            </w:tcBorders>
            <w:tcMar>
              <w:bottom w:w="28" w:type="dxa"/>
            </w:tcMar>
            <w:vAlign w:val="center"/>
          </w:tcPr>
          <w:p>
            <w:pPr>
              <w:pStyle w:val="TableContents"/>
              <w:bidi w:val="0"/>
              <w:spacing w:before="0" w:after="283"/>
              <w:jc w:val="center"/>
              <w:rPr>
                <w:b/>
              </w:rPr>
            </w:pPr>
            <w:r>
              <w:rPr>
                <w:b/>
              </w:rPr>
              <w:t>September 30, 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 w:type="dxa"/>
            <w:tcBorders>
              <w:bottom w:val="single" w:sz="6" w:space="0" w:color="000000"/>
            </w:tcBorders>
            <w:tcMar>
              <w:bottom w:w="28" w:type="dxa"/>
            </w:tcMar>
            <w:vAlign w:val="center"/>
          </w:tcPr>
          <w:p>
            <w:pPr>
              <w:pStyle w:val="TableContents"/>
              <w:bidi w:val="0"/>
              <w:spacing w:before="0" w:after="283"/>
              <w:jc w:val="center"/>
              <w:rPr>
                <w:b/>
              </w:rPr>
            </w:pPr>
            <w:r>
              <w:rPr>
                <w:b/>
              </w:rPr>
              <w:t>June 30,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 w:type="dxa"/>
            <w:tcBorders>
              <w:bottom w:val="single" w:sz="6" w:space="0" w:color="000000"/>
            </w:tcBorders>
            <w:tcMar>
              <w:bottom w:w="28" w:type="dxa"/>
            </w:tcMar>
            <w:vAlign w:val="center"/>
          </w:tcPr>
          <w:p>
            <w:pPr>
              <w:pStyle w:val="TableContents"/>
              <w:bidi w:val="0"/>
              <w:spacing w:before="0" w:after="283"/>
              <w:jc w:val="center"/>
              <w:rPr>
                <w:b/>
              </w:rPr>
            </w:pPr>
            <w:r>
              <w:rPr>
                <w:b/>
              </w:rPr>
              <w:t>March 31, 2026</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3"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3" w:type="dxa"/>
            <w:tcBorders>
              <w:bottom w:val="single" w:sz="6" w:space="0" w:color="000000"/>
            </w:tcBorders>
            <w:tcMar>
              <w:bottom w:w="28" w:type="dxa"/>
            </w:tcMar>
            <w:vAlign w:val="center"/>
          </w:tcPr>
          <w:p>
            <w:pPr>
              <w:pStyle w:val="TableContents"/>
              <w:bidi w:val="0"/>
              <w:spacing w:before="0" w:after="283"/>
              <w:jc w:val="center"/>
              <w:rPr>
                <w:b/>
              </w:rPr>
            </w:pPr>
            <w:r>
              <w:rPr>
                <w:b/>
              </w:rPr>
              <w:t>September 30, 2025</w:t>
            </w:r>
          </w:p>
        </w:tc>
        <w:tc>
          <w:tcPr>
            <w:tcW w:w="29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95" w:type="dxa"/>
            <w:tcBorders/>
            <w:vAlign w:val="center"/>
          </w:tcPr>
          <w:p>
            <w:pPr>
              <w:pStyle w:val="TableContents"/>
              <w:bidi w:val="0"/>
              <w:spacing w:before="0" w:after="283"/>
              <w:jc w:val="left"/>
              <w:rPr>
                <w:b/>
              </w:rPr>
            </w:pPr>
            <w:r>
              <w:rPr>
                <w:b/>
              </w:rPr>
              <w:t>Capital Ratios: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3"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pPr>
            <w:r>
              <w:rPr/>
              <w:t>Total stockholders’ equity to total assets</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1353" w:type="dxa"/>
            <w:tcBorders/>
            <w:shd w:fill="CCEEFF" w:val="clear"/>
            <w:vAlign w:val="center"/>
          </w:tcPr>
          <w:p>
            <w:pPr>
              <w:pStyle w:val="TableContents"/>
              <w:bidi w:val="0"/>
              <w:spacing w:before="0" w:after="283"/>
              <w:jc w:val="right"/>
              <w:rPr/>
            </w:pPr>
            <w:r>
              <w:rPr/>
              <w:t>11.51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788" w:type="dxa"/>
            <w:tcBorders/>
            <w:shd w:fill="CCEEFF" w:val="clear"/>
            <w:vAlign w:val="center"/>
          </w:tcPr>
          <w:p>
            <w:pPr>
              <w:pStyle w:val="TableContents"/>
              <w:bidi w:val="0"/>
              <w:spacing w:before="0" w:after="283"/>
              <w:jc w:val="right"/>
              <w:rPr/>
            </w:pPr>
            <w:r>
              <w:rPr/>
              <w:t>11.68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948" w:type="dxa"/>
            <w:tcBorders/>
            <w:shd w:fill="CCEEFF" w:val="clear"/>
            <w:vAlign w:val="center"/>
          </w:tcPr>
          <w:p>
            <w:pPr>
              <w:pStyle w:val="TableContents"/>
              <w:bidi w:val="0"/>
              <w:spacing w:before="0" w:after="283"/>
              <w:jc w:val="right"/>
              <w:rPr/>
            </w:pPr>
            <w:r>
              <w:rPr/>
              <w:t>10.87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1293" w:type="dxa"/>
            <w:tcBorders/>
            <w:shd w:fill="CCEEFF" w:val="clear"/>
            <w:vAlign w:val="center"/>
          </w:tcPr>
          <w:p>
            <w:pPr>
              <w:pStyle w:val="TableContents"/>
              <w:bidi w:val="0"/>
              <w:spacing w:before="0" w:after="283"/>
              <w:jc w:val="right"/>
              <w:rPr/>
            </w:pPr>
            <w:r>
              <w:rPr/>
              <w:t>11.02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1353" w:type="dxa"/>
            <w:tcBorders/>
            <w:shd w:fill="CCEEFF" w:val="clear"/>
            <w:vAlign w:val="center"/>
          </w:tcPr>
          <w:p>
            <w:pPr>
              <w:pStyle w:val="TableContents"/>
              <w:bidi w:val="0"/>
              <w:spacing w:before="0" w:after="283"/>
              <w:jc w:val="right"/>
              <w:rPr/>
            </w:pPr>
            <w:r>
              <w:rPr/>
              <w:t>10.67</w:t>
            </w:r>
          </w:p>
        </w:tc>
        <w:tc>
          <w:tcPr>
            <w:tcW w:w="295" w:type="dxa"/>
            <w:tcBorders/>
            <w:shd w:fill="CCEEFF" w:val="clear"/>
            <w:vAlign w:val="center"/>
          </w:tcPr>
          <w:p>
            <w:pPr>
              <w:pStyle w:val="TableContents"/>
              <w:bidi w:val="0"/>
              <w:spacing w:before="0" w:after="283"/>
              <w:jc w:val="left"/>
              <w:rPr/>
            </w:pPr>
            <w:r>
              <w:rPr/>
              <w:t>%</w:t>
            </w:r>
          </w:p>
        </w:tc>
      </w:tr>
      <w:tr>
        <w:trPr/>
        <w:tc>
          <w:tcPr>
            <w:tcW w:w="2295" w:type="dxa"/>
            <w:tcBorders/>
            <w:vAlign w:val="center"/>
          </w:tcPr>
          <w:p>
            <w:pPr>
              <w:pStyle w:val="TableContents"/>
              <w:bidi w:val="0"/>
              <w:spacing w:before="0" w:after="283"/>
              <w:jc w:val="left"/>
              <w:rPr/>
            </w:pPr>
            <w:r>
              <w:rPr/>
              <w:t>Tangible common equity to tangible assets (non-GAAP)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353" w:type="dxa"/>
            <w:tcBorders/>
            <w:vAlign w:val="center"/>
          </w:tcPr>
          <w:p>
            <w:pPr>
              <w:pStyle w:val="TableContents"/>
              <w:bidi w:val="0"/>
              <w:spacing w:before="0" w:after="283"/>
              <w:jc w:val="right"/>
              <w:rPr/>
            </w:pPr>
            <w:r>
              <w:rPr/>
              <w:t>10.32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88" w:type="dxa"/>
            <w:tcBorders/>
            <w:vAlign w:val="center"/>
          </w:tcPr>
          <w:p>
            <w:pPr>
              <w:pStyle w:val="TableContents"/>
              <w:bidi w:val="0"/>
              <w:spacing w:before="0" w:after="283"/>
              <w:jc w:val="right"/>
              <w:rPr/>
            </w:pPr>
            <w:r>
              <w:rPr/>
              <w:t>10.48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48" w:type="dxa"/>
            <w:tcBorders/>
            <w:vAlign w:val="center"/>
          </w:tcPr>
          <w:p>
            <w:pPr>
              <w:pStyle w:val="TableContents"/>
              <w:bidi w:val="0"/>
              <w:spacing w:before="0" w:after="283"/>
              <w:jc w:val="right"/>
              <w:rPr/>
            </w:pPr>
            <w:r>
              <w:rPr/>
              <w:t>10.48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293" w:type="dxa"/>
            <w:tcBorders/>
            <w:vAlign w:val="center"/>
          </w:tcPr>
          <w:p>
            <w:pPr>
              <w:pStyle w:val="TableContents"/>
              <w:bidi w:val="0"/>
              <w:spacing w:before="0" w:after="283"/>
              <w:jc w:val="right"/>
              <w:rPr/>
            </w:pPr>
            <w:r>
              <w:rPr/>
              <w:t>10.61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353" w:type="dxa"/>
            <w:tcBorders/>
            <w:vAlign w:val="center"/>
          </w:tcPr>
          <w:p>
            <w:pPr>
              <w:pStyle w:val="TableContents"/>
              <w:bidi w:val="0"/>
              <w:spacing w:before="0" w:after="283"/>
              <w:jc w:val="right"/>
              <w:rPr/>
            </w:pPr>
            <w:r>
              <w:rPr/>
              <w:t>10.25</w:t>
            </w:r>
          </w:p>
        </w:tc>
        <w:tc>
          <w:tcPr>
            <w:tcW w:w="295" w:type="dxa"/>
            <w:tcBorders/>
            <w:vAlign w:val="center"/>
          </w:tcPr>
          <w:p>
            <w:pPr>
              <w:pStyle w:val="TableContents"/>
              <w:bidi w:val="0"/>
              <w:spacing w:before="0" w:after="283"/>
              <w:jc w:val="left"/>
              <w:rPr/>
            </w:pPr>
            <w:r>
              <w:rPr/>
              <w:t>%</w:t>
            </w:r>
          </w:p>
        </w:tc>
      </w:tr>
      <w:tr>
        <w:trPr/>
        <w:tc>
          <w:tcPr>
            <w:tcW w:w="2295" w:type="dxa"/>
            <w:tcBorders/>
            <w:shd w:fill="CCEEFF" w:val="clear"/>
            <w:vAlign w:val="center"/>
          </w:tcPr>
          <w:p>
            <w:pPr>
              <w:pStyle w:val="TableContents"/>
              <w:bidi w:val="0"/>
              <w:spacing w:before="0" w:after="283"/>
              <w:jc w:val="left"/>
              <w:rPr/>
            </w:pPr>
            <w:r>
              <w:rPr/>
              <w:t>Common equity tier 1 to risk-weighted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353" w:type="dxa"/>
            <w:tcBorders/>
            <w:shd w:fill="CCEEFF" w:val="clear"/>
            <w:vAlign w:val="center"/>
          </w:tcPr>
          <w:p>
            <w:pPr>
              <w:pStyle w:val="TableContents"/>
              <w:bidi w:val="0"/>
              <w:spacing w:before="0" w:after="283"/>
              <w:jc w:val="right"/>
              <w:rPr/>
            </w:pPr>
            <w:r>
              <w:rPr/>
              <w:t>14.20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88" w:type="dxa"/>
            <w:tcBorders/>
            <w:shd w:fill="CCEEFF" w:val="clear"/>
            <w:vAlign w:val="center"/>
          </w:tcPr>
          <w:p>
            <w:pPr>
              <w:pStyle w:val="TableContents"/>
              <w:bidi w:val="0"/>
              <w:spacing w:before="0" w:after="283"/>
              <w:jc w:val="right"/>
              <w:rPr/>
            </w:pPr>
            <w:r>
              <w:rPr/>
              <w:t>14.11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before="0" w:after="283"/>
              <w:jc w:val="right"/>
              <w:rPr/>
            </w:pPr>
            <w:r>
              <w:rPr/>
              <w:t>14.80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293" w:type="dxa"/>
            <w:tcBorders/>
            <w:shd w:fill="CCEEFF" w:val="clear"/>
            <w:vAlign w:val="center"/>
          </w:tcPr>
          <w:p>
            <w:pPr>
              <w:pStyle w:val="TableContents"/>
              <w:bidi w:val="0"/>
              <w:spacing w:before="0" w:after="283"/>
              <w:jc w:val="right"/>
              <w:rPr/>
            </w:pPr>
            <w:r>
              <w:rPr/>
              <w:t>14.45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353" w:type="dxa"/>
            <w:tcBorders/>
            <w:shd w:fill="CCEEFF" w:val="clear"/>
            <w:vAlign w:val="center"/>
          </w:tcPr>
          <w:p>
            <w:pPr>
              <w:pStyle w:val="TableContents"/>
              <w:bidi w:val="0"/>
              <w:spacing w:before="0" w:after="283"/>
              <w:jc w:val="right"/>
              <w:rPr/>
            </w:pPr>
            <w:r>
              <w:rPr/>
              <w:t>14.41</w:t>
            </w:r>
          </w:p>
        </w:tc>
        <w:tc>
          <w:tcPr>
            <w:tcW w:w="295" w:type="dxa"/>
            <w:tcBorders/>
            <w:shd w:fill="CCEEFF" w:val="clear"/>
            <w:vAlign w:val="center"/>
          </w:tcPr>
          <w:p>
            <w:pPr>
              <w:pStyle w:val="TableContents"/>
              <w:bidi w:val="0"/>
              <w:spacing w:before="0" w:after="283"/>
              <w:jc w:val="left"/>
              <w:rPr/>
            </w:pPr>
            <w:r>
              <w:rPr/>
              <w:t>%</w:t>
            </w:r>
          </w:p>
        </w:tc>
      </w:tr>
      <w:tr>
        <w:trPr/>
        <w:tc>
          <w:tcPr>
            <w:tcW w:w="2295" w:type="dxa"/>
            <w:tcBorders/>
            <w:vAlign w:val="center"/>
          </w:tcPr>
          <w:p>
            <w:pPr>
              <w:pStyle w:val="TableContents"/>
              <w:bidi w:val="0"/>
              <w:spacing w:before="0" w:after="283"/>
              <w:jc w:val="left"/>
              <w:rPr/>
            </w:pPr>
            <w:r>
              <w:rPr/>
              <w:t>Tier 1 capital to average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353" w:type="dxa"/>
            <w:tcBorders/>
            <w:vAlign w:val="center"/>
          </w:tcPr>
          <w:p>
            <w:pPr>
              <w:pStyle w:val="TableContents"/>
              <w:bidi w:val="0"/>
              <w:spacing w:before="0" w:after="283"/>
              <w:jc w:val="right"/>
              <w:rPr/>
            </w:pPr>
            <w:r>
              <w:rPr/>
              <w:t>12.42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88" w:type="dxa"/>
            <w:tcBorders/>
            <w:vAlign w:val="center"/>
          </w:tcPr>
          <w:p>
            <w:pPr>
              <w:pStyle w:val="TableContents"/>
              <w:bidi w:val="0"/>
              <w:spacing w:before="0" w:after="283"/>
              <w:jc w:val="right"/>
              <w:rPr/>
            </w:pPr>
            <w:r>
              <w:rPr/>
              <w:t>12.21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948" w:type="dxa"/>
            <w:tcBorders/>
            <w:vAlign w:val="center"/>
          </w:tcPr>
          <w:p>
            <w:pPr>
              <w:pStyle w:val="TableContents"/>
              <w:bidi w:val="0"/>
              <w:spacing w:before="0" w:after="283"/>
              <w:jc w:val="right"/>
              <w:rPr/>
            </w:pPr>
            <w:r>
              <w:rPr/>
              <w:t>12.68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293" w:type="dxa"/>
            <w:tcBorders/>
            <w:vAlign w:val="center"/>
          </w:tcPr>
          <w:p>
            <w:pPr>
              <w:pStyle w:val="TableContents"/>
              <w:bidi w:val="0"/>
              <w:spacing w:before="0" w:after="283"/>
              <w:jc w:val="right"/>
              <w:rPr/>
            </w:pPr>
            <w:r>
              <w:rPr/>
              <w:t>12.53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1353" w:type="dxa"/>
            <w:tcBorders/>
            <w:vAlign w:val="center"/>
          </w:tcPr>
          <w:p>
            <w:pPr>
              <w:pStyle w:val="TableContents"/>
              <w:bidi w:val="0"/>
              <w:spacing w:before="0" w:after="283"/>
              <w:jc w:val="right"/>
              <w:rPr/>
            </w:pPr>
            <w:r>
              <w:rPr/>
              <w:t>12.37</w:t>
            </w:r>
          </w:p>
        </w:tc>
        <w:tc>
          <w:tcPr>
            <w:tcW w:w="295" w:type="dxa"/>
            <w:tcBorders/>
            <w:vAlign w:val="center"/>
          </w:tcPr>
          <w:p>
            <w:pPr>
              <w:pStyle w:val="TableContents"/>
              <w:bidi w:val="0"/>
              <w:spacing w:before="0" w:after="283"/>
              <w:jc w:val="left"/>
              <w:rPr/>
            </w:pPr>
            <w:r>
              <w:rPr/>
              <w:t>%</w:t>
            </w:r>
          </w:p>
        </w:tc>
      </w:tr>
      <w:tr>
        <w:trPr/>
        <w:tc>
          <w:tcPr>
            <w:tcW w:w="2295" w:type="dxa"/>
            <w:tcBorders/>
            <w:shd w:fill="CCEEFF" w:val="clear"/>
            <w:vAlign w:val="center"/>
          </w:tcPr>
          <w:p>
            <w:pPr>
              <w:pStyle w:val="TableContents"/>
              <w:bidi w:val="0"/>
              <w:spacing w:before="0" w:after="283"/>
              <w:jc w:val="left"/>
              <w:rPr/>
            </w:pPr>
            <w:r>
              <w:rPr/>
              <w:t>Total capital to risk-weighted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353" w:type="dxa"/>
            <w:tcBorders/>
            <w:shd w:fill="CCEEFF" w:val="clear"/>
            <w:vAlign w:val="center"/>
          </w:tcPr>
          <w:p>
            <w:pPr>
              <w:pStyle w:val="TableContents"/>
              <w:bidi w:val="0"/>
              <w:spacing w:before="0" w:after="283"/>
              <w:jc w:val="right"/>
              <w:rPr/>
            </w:pPr>
            <w:r>
              <w:rPr/>
              <w:t>16.61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88" w:type="dxa"/>
            <w:tcBorders/>
            <w:shd w:fill="CCEEFF" w:val="clear"/>
            <w:vAlign w:val="center"/>
          </w:tcPr>
          <w:p>
            <w:pPr>
              <w:pStyle w:val="TableContents"/>
              <w:bidi w:val="0"/>
              <w:spacing w:before="0" w:after="283"/>
              <w:jc w:val="right"/>
              <w:rPr/>
            </w:pPr>
            <w:r>
              <w:rPr/>
              <w:t>16.54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948" w:type="dxa"/>
            <w:tcBorders/>
            <w:shd w:fill="CCEEFF" w:val="clear"/>
            <w:vAlign w:val="center"/>
          </w:tcPr>
          <w:p>
            <w:pPr>
              <w:pStyle w:val="TableContents"/>
              <w:bidi w:val="0"/>
              <w:spacing w:before="0" w:after="283"/>
              <w:jc w:val="right"/>
              <w:rPr/>
            </w:pPr>
            <w:r>
              <w:rPr/>
              <w:t>17.61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293" w:type="dxa"/>
            <w:tcBorders/>
            <w:shd w:fill="CCEEFF" w:val="clear"/>
            <w:vAlign w:val="center"/>
          </w:tcPr>
          <w:p>
            <w:pPr>
              <w:pStyle w:val="TableContents"/>
              <w:bidi w:val="0"/>
              <w:spacing w:before="0" w:after="283"/>
              <w:jc w:val="right"/>
              <w:rPr/>
            </w:pPr>
            <w:r>
              <w:rPr/>
              <w:t>17.26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1353" w:type="dxa"/>
            <w:tcBorders/>
            <w:shd w:fill="CCEEFF" w:val="clear"/>
            <w:vAlign w:val="center"/>
          </w:tcPr>
          <w:p>
            <w:pPr>
              <w:pStyle w:val="TableContents"/>
              <w:bidi w:val="0"/>
              <w:spacing w:before="0" w:after="283"/>
              <w:jc w:val="right"/>
              <w:rPr/>
            </w:pPr>
            <w:r>
              <w:rPr/>
              <w:t>17.34</w:t>
            </w:r>
          </w:p>
        </w:tc>
        <w:tc>
          <w:tcPr>
            <w:tcW w:w="295" w:type="dxa"/>
            <w:tcBorders/>
            <w:shd w:fill="CCEEFF"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color w:val="000000"/>
              </w:rPr>
            </w:pPr>
            <w:r>
              <w:rPr>
                <w:color w:val="000000"/>
              </w:rPr>
              <w:t> </w:t>
            </w:r>
          </w:p>
        </w:tc>
        <w:tc>
          <w:tcPr>
            <w:tcW w:w="9892" w:type="dxa"/>
            <w:tcBorders/>
            <w:vAlign w:val="center"/>
          </w:tcPr>
          <w:p>
            <w:pPr>
              <w:pStyle w:val="TableContents"/>
              <w:bidi w:val="0"/>
              <w:spacing w:before="0" w:after="283"/>
              <w:jc w:val="both"/>
              <w:rPr/>
            </w:pPr>
            <w:r>
              <w:rPr/>
              <w:t> </w:t>
            </w:r>
          </w:p>
        </w:tc>
      </w:tr>
      <w:tr>
        <w:trPr/>
        <w:tc>
          <w:tcPr>
            <w:tcW w:w="313"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both"/>
              <w:rPr/>
            </w:pPr>
            <w:r>
              <w:rPr/>
              <w:t>Net interest margin is calculated as the annual net interest income, on a fully tax-equivalent basis, divided by average interest-earning assets.</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Average Balances and Yields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2101"/>
        <w:gridCol w:w="90"/>
        <w:gridCol w:w="90"/>
        <w:gridCol w:w="170"/>
        <w:gridCol w:w="1010"/>
        <w:gridCol w:w="90"/>
        <w:gridCol w:w="90"/>
        <w:gridCol w:w="90"/>
        <w:gridCol w:w="170"/>
        <w:gridCol w:w="830"/>
        <w:gridCol w:w="90"/>
        <w:gridCol w:w="90"/>
        <w:gridCol w:w="90"/>
        <w:gridCol w:w="90"/>
        <w:gridCol w:w="677"/>
        <w:gridCol w:w="245"/>
        <w:gridCol w:w="90"/>
        <w:gridCol w:w="90"/>
        <w:gridCol w:w="170"/>
        <w:gridCol w:w="1010"/>
        <w:gridCol w:w="90"/>
        <w:gridCol w:w="90"/>
        <w:gridCol w:w="90"/>
        <w:gridCol w:w="170"/>
        <w:gridCol w:w="830"/>
        <w:gridCol w:w="90"/>
        <w:gridCol w:w="90"/>
        <w:gridCol w:w="90"/>
        <w:gridCol w:w="90"/>
        <w:gridCol w:w="677"/>
        <w:gridCol w:w="245"/>
        <w:gridCol w:w="90"/>
        <w:gridCol w:w="53"/>
        <w:gridCol w:w="137"/>
      </w:tblGrid>
      <w:tr>
        <w:trPr/>
        <w:tc>
          <w:tcPr>
            <w:tcW w:w="21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34" w:type="dxa"/>
            <w:gridSpan w:val="29"/>
            <w:tcBorders>
              <w:bottom w:val="single" w:sz="6" w:space="0" w:color="000000"/>
            </w:tcBorders>
            <w:tcMar>
              <w:bottom w:w="28" w:type="dxa"/>
            </w:tcMar>
            <w:vAlign w:val="center"/>
          </w:tcPr>
          <w:p>
            <w:pPr>
              <w:pStyle w:val="TableContents"/>
              <w:bidi w:val="0"/>
              <w:spacing w:before="0" w:after="283"/>
              <w:jc w:val="center"/>
              <w:rPr>
                <w:b/>
              </w:rPr>
            </w:pPr>
            <w:r>
              <w:rPr>
                <w:b/>
              </w:rPr>
              <w:t>For the Three Months Ended</w:t>
            </w:r>
          </w:p>
        </w:tc>
        <w:tc>
          <w:tcPr>
            <w:tcW w:w="90" w:type="dxa"/>
            <w:tcBorders/>
          </w:tcPr>
          <w:p>
            <w:pPr>
              <w:pStyle w:val="TableContents"/>
              <w:bidi w:val="0"/>
              <w:spacing w:before="0" w:after="283"/>
              <w:jc w:val="left"/>
              <w:rPr>
                <w:sz w:val="4"/>
                <w:szCs w:val="4"/>
              </w:rPr>
            </w:pPr>
            <w:r>
              <w:rPr>
                <w:sz w:val="4"/>
                <w:szCs w:val="4"/>
              </w:rPr>
            </w:r>
          </w:p>
        </w:tc>
        <w:tc>
          <w:tcPr>
            <w:tcW w:w="53" w:type="dxa"/>
            <w:tcBorders/>
          </w:tcPr>
          <w:p>
            <w:pPr>
              <w:pStyle w:val="TableContents"/>
              <w:bidi w:val="0"/>
              <w:spacing w:before="0" w:after="283"/>
              <w:jc w:val="left"/>
              <w:rPr>
                <w:sz w:val="4"/>
                <w:szCs w:val="4"/>
              </w:rPr>
            </w:pPr>
            <w:r>
              <w:rPr>
                <w:sz w:val="4"/>
                <w:szCs w:val="4"/>
              </w:rPr>
            </w:r>
          </w:p>
        </w:tc>
        <w:tc>
          <w:tcPr>
            <w:tcW w:w="137" w:type="dxa"/>
            <w:tcBorders/>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22" w:type="dxa"/>
            <w:gridSpan w:val="14"/>
            <w:tcBorders>
              <w:bottom w:val="single" w:sz="6" w:space="0" w:color="000000"/>
            </w:tcBorders>
            <w:tcMar>
              <w:bottom w:w="28" w:type="dxa"/>
            </w:tcMar>
            <w:vAlign w:val="center"/>
          </w:tcPr>
          <w:p>
            <w:pPr>
              <w:pStyle w:val="TableContents"/>
              <w:bidi w:val="0"/>
              <w:spacing w:before="0" w:after="283"/>
              <w:jc w:val="center"/>
              <w:rPr>
                <w:b/>
              </w:rPr>
            </w:pPr>
            <w:r>
              <w:rPr>
                <w:b/>
              </w:rPr>
              <w:t>September 30, 2026</w:t>
            </w:r>
          </w:p>
        </w:tc>
        <w:tc>
          <w:tcPr>
            <w:tcW w:w="90" w:type="dxa"/>
            <w:tcBorders/>
            <w:vAlign w:val="center"/>
          </w:tcPr>
          <w:p>
            <w:pPr>
              <w:pStyle w:val="TableContents"/>
              <w:bidi w:val="0"/>
              <w:spacing w:before="0" w:after="283"/>
              <w:jc w:val="left"/>
              <w:rPr/>
            </w:pPr>
            <w:r>
              <w:rPr/>
              <w:t> </w:t>
            </w:r>
          </w:p>
        </w:tc>
        <w:tc>
          <w:tcPr>
            <w:tcW w:w="3577" w:type="dxa"/>
            <w:gridSpan w:val="13"/>
            <w:tcBorders>
              <w:bottom w:val="single" w:sz="6" w:space="0" w:color="000000"/>
            </w:tcBorders>
            <w:tcMar>
              <w:bottom w:w="28" w:type="dxa"/>
            </w:tcMar>
            <w:vAlign w:val="center"/>
          </w:tcPr>
          <w:p>
            <w:pPr>
              <w:pStyle w:val="TableContents"/>
              <w:bidi w:val="0"/>
              <w:spacing w:before="0" w:after="283"/>
              <w:jc w:val="center"/>
              <w:rPr>
                <w:b/>
              </w:rPr>
            </w:pPr>
            <w:r>
              <w:rPr>
                <w:b/>
              </w:rPr>
              <w:t>September 30, 2025</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53"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7"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10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Balance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Interest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Yield/Rate</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Balance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Interest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bottom w:val="single" w:sz="6" w:space="0" w:color="000000"/>
            </w:tcBorders>
            <w:shd w:fill="CCEEFF" w:val="clear"/>
            <w:tcMar>
              <w:bottom w:w="28" w:type="dxa"/>
            </w:tcMar>
            <w:vAlign w:val="center"/>
          </w:tcPr>
          <w:p>
            <w:pPr>
              <w:pStyle w:val="TableContents"/>
              <w:bidi w:val="0"/>
              <w:spacing w:before="0" w:after="283"/>
              <w:jc w:val="center"/>
              <w:rPr>
                <w:b/>
              </w:rPr>
            </w:pPr>
            <w:r>
              <w:rPr>
                <w:b/>
              </w:rPr>
              <w:t>Yield/Rate</w:t>
            </w:r>
          </w:p>
        </w:tc>
        <w:tc>
          <w:tcPr>
            <w:tcW w:w="24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Loans(1)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010" w:type="dxa"/>
            <w:tcBorders/>
            <w:shd w:fill="CCEEFF" w:val="clear"/>
            <w:vAlign w:val="center"/>
          </w:tcPr>
          <w:p>
            <w:pPr>
              <w:pStyle w:val="TableContents"/>
              <w:bidi w:val="0"/>
              <w:spacing w:before="0" w:after="283"/>
              <w:jc w:val="right"/>
              <w:rPr/>
            </w:pPr>
            <w:r>
              <w:rPr/>
              <w:t>3,847,368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65,502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6.75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010" w:type="dxa"/>
            <w:tcBorders/>
            <w:shd w:fill="CCEEFF" w:val="clear"/>
            <w:vAlign w:val="center"/>
          </w:tcPr>
          <w:p>
            <w:pPr>
              <w:pStyle w:val="TableContents"/>
              <w:bidi w:val="0"/>
              <w:spacing w:before="0" w:after="283"/>
              <w:jc w:val="right"/>
              <w:rPr/>
            </w:pPr>
            <w:r>
              <w:rPr/>
              <w:t>3,093,465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53,935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6.92</w:t>
            </w:r>
          </w:p>
        </w:tc>
        <w:tc>
          <w:tcPr>
            <w:tcW w:w="245" w:type="dxa"/>
            <w:tcBorders/>
            <w:shd w:fill="CCEEFF" w:val="clear"/>
            <w:vAlign w:val="center"/>
          </w:tcPr>
          <w:p>
            <w:pPr>
              <w:pStyle w:val="TableContents"/>
              <w:bidi w:val="0"/>
              <w:spacing w:before="0" w:after="283"/>
              <w:jc w:val="left"/>
              <w:rPr/>
            </w:pPr>
            <w:r>
              <w:rPr/>
              <w:t>%</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Debt securities - taxable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468,562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4,166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3.53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498,302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4,638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3.69</w:t>
            </w:r>
          </w:p>
        </w:tc>
        <w:tc>
          <w:tcPr>
            <w:tcW w:w="245" w:type="dxa"/>
            <w:tcBorders/>
            <w:vAlign w:val="center"/>
          </w:tcPr>
          <w:p>
            <w:pPr>
              <w:pStyle w:val="TableContents"/>
              <w:bidi w:val="0"/>
              <w:spacing w:before="0" w:after="283"/>
              <w:jc w:val="left"/>
              <w:rPr/>
            </w:pPr>
            <w:r>
              <w:rPr/>
              <w:t>%</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Debt securities - nontaxable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151,800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1,075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2.81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155,028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1,080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2.76</w:t>
            </w:r>
          </w:p>
        </w:tc>
        <w:tc>
          <w:tcPr>
            <w:tcW w:w="245" w:type="dxa"/>
            <w:tcBorders/>
            <w:shd w:fill="CCEEFF" w:val="clear"/>
            <w:vAlign w:val="center"/>
          </w:tcPr>
          <w:p>
            <w:pPr>
              <w:pStyle w:val="TableContents"/>
              <w:bidi w:val="0"/>
              <w:spacing w:before="0" w:after="283"/>
              <w:jc w:val="left"/>
              <w:rPr/>
            </w:pPr>
            <w:r>
              <w:rPr/>
              <w:t>%</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Other interest-bearing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658,298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5,900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3.56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489,621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5,101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4.13</w:t>
            </w:r>
          </w:p>
        </w:tc>
        <w:tc>
          <w:tcPr>
            <w:tcW w:w="245" w:type="dxa"/>
            <w:tcBorders/>
            <w:vAlign w:val="center"/>
          </w:tcPr>
          <w:p>
            <w:pPr>
              <w:pStyle w:val="TableContents"/>
              <w:bidi w:val="0"/>
              <w:spacing w:before="0" w:after="283"/>
              <w:jc w:val="left"/>
              <w:rPr/>
            </w:pPr>
            <w:r>
              <w:rPr/>
              <w:t>%</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b/>
              </w:rPr>
            </w:pPr>
            <w:r>
              <w:rPr>
                <w:b/>
              </w:rPr>
              <w:t>Total interest-earning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5,126,028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76,643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5.93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4,236,416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64,754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6.06</w:t>
            </w:r>
          </w:p>
        </w:tc>
        <w:tc>
          <w:tcPr>
            <w:tcW w:w="245" w:type="dxa"/>
            <w:tcBorders/>
            <w:vAlign w:val="center"/>
          </w:tcPr>
          <w:p>
            <w:pPr>
              <w:pStyle w:val="TableContents"/>
              <w:bidi w:val="0"/>
              <w:spacing w:before="0" w:after="283"/>
              <w:jc w:val="left"/>
              <w:rPr/>
            </w:pPr>
            <w:r>
              <w:rPr/>
              <w:t>%</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Noninterest-earning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243,848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169,345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5,369,876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4,405,761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b/>
              </w:rPr>
            </w:pPr>
            <w:r>
              <w:rPr>
                <w:b/>
              </w:rPr>
              <w:t>Liabilities &amp; stockholders’ equity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NOW, Savings, MMDA’s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010" w:type="dxa"/>
            <w:tcBorders/>
            <w:vAlign w:val="center"/>
          </w:tcPr>
          <w:p>
            <w:pPr>
              <w:pStyle w:val="TableContents"/>
              <w:bidi w:val="0"/>
              <w:spacing w:before="0" w:after="283"/>
              <w:jc w:val="right"/>
              <w:rPr/>
            </w:pPr>
            <w:r>
              <w:rPr/>
              <w:t>2,899,510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18,784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2.57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010" w:type="dxa"/>
            <w:tcBorders/>
            <w:vAlign w:val="center"/>
          </w:tcPr>
          <w:p>
            <w:pPr>
              <w:pStyle w:val="TableContents"/>
              <w:bidi w:val="0"/>
              <w:spacing w:before="0" w:after="283"/>
              <w:jc w:val="right"/>
              <w:rPr/>
            </w:pPr>
            <w:r>
              <w:rPr/>
              <w:t>2,325,281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16,007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2.73</w:t>
            </w:r>
          </w:p>
        </w:tc>
        <w:tc>
          <w:tcPr>
            <w:tcW w:w="245" w:type="dxa"/>
            <w:tcBorders/>
            <w:vAlign w:val="center"/>
          </w:tcPr>
          <w:p>
            <w:pPr>
              <w:pStyle w:val="TableContents"/>
              <w:bidi w:val="0"/>
              <w:spacing w:before="0" w:after="283"/>
              <w:jc w:val="left"/>
              <w:rPr/>
            </w:pPr>
            <w:r>
              <w:rPr/>
              <w:t>%</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Time deposits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594,664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5,254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3.51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424,788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3,918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3.66</w:t>
            </w:r>
          </w:p>
        </w:tc>
        <w:tc>
          <w:tcPr>
            <w:tcW w:w="245" w:type="dxa"/>
            <w:tcBorders/>
            <w:shd w:fill="CCEEFF" w:val="clear"/>
            <w:vAlign w:val="center"/>
          </w:tcPr>
          <w:p>
            <w:pPr>
              <w:pStyle w:val="TableContents"/>
              <w:bidi w:val="0"/>
              <w:spacing w:before="0" w:after="283"/>
              <w:jc w:val="left"/>
              <w:rPr/>
            </w:pPr>
            <w:r>
              <w:rPr/>
              <w:t>%</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Short-term borrowings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0.00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0.00</w:t>
            </w:r>
          </w:p>
        </w:tc>
        <w:tc>
          <w:tcPr>
            <w:tcW w:w="245" w:type="dxa"/>
            <w:tcBorders/>
            <w:vAlign w:val="center"/>
          </w:tcPr>
          <w:p>
            <w:pPr>
              <w:pStyle w:val="TableContents"/>
              <w:bidi w:val="0"/>
              <w:spacing w:before="0" w:after="283"/>
              <w:jc w:val="left"/>
              <w:rPr/>
            </w:pPr>
            <w:r>
              <w:rPr/>
              <w:t>%</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Notes payable &amp; other long-term borrowings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Subordinated debt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14,100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6.70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63,534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835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677" w:type="dxa"/>
            <w:tcBorders/>
            <w:vAlign w:val="center"/>
          </w:tcPr>
          <w:p>
            <w:pPr>
              <w:pStyle w:val="TableContents"/>
              <w:bidi w:val="0"/>
              <w:spacing w:before="0" w:after="283"/>
              <w:jc w:val="right"/>
              <w:rPr/>
            </w:pPr>
            <w:r>
              <w:rPr/>
              <w:t>5.21</w:t>
            </w:r>
          </w:p>
        </w:tc>
        <w:tc>
          <w:tcPr>
            <w:tcW w:w="245" w:type="dxa"/>
            <w:tcBorders/>
            <w:vAlign w:val="center"/>
          </w:tcPr>
          <w:p>
            <w:pPr>
              <w:pStyle w:val="TableContents"/>
              <w:bidi w:val="0"/>
              <w:spacing w:before="0" w:after="283"/>
              <w:jc w:val="left"/>
              <w:rPr/>
            </w:pPr>
            <w:r>
              <w:rPr/>
              <w:t>%</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Junior subordinated deferrable interest debentures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46,393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673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5.76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46,393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741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6.34</w:t>
            </w:r>
          </w:p>
        </w:tc>
        <w:tc>
          <w:tcPr>
            <w:tcW w:w="245" w:type="dxa"/>
            <w:tcBorders/>
            <w:shd w:fill="CCEEFF" w:val="clear"/>
            <w:vAlign w:val="center"/>
          </w:tcPr>
          <w:p>
            <w:pPr>
              <w:pStyle w:val="TableContents"/>
              <w:bidi w:val="0"/>
              <w:spacing w:before="0" w:after="283"/>
              <w:jc w:val="left"/>
              <w:rPr/>
            </w:pPr>
            <w:r>
              <w:rPr/>
              <w:t>%</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b/>
              </w:rPr>
            </w:pPr>
            <w:r>
              <w:rPr>
                <w:b/>
              </w:rPr>
              <w:t>Total interest-bearing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3,554,674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24,949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2.78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2,860,003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21,501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2.98</w:t>
            </w:r>
          </w:p>
        </w:tc>
        <w:tc>
          <w:tcPr>
            <w:tcW w:w="245" w:type="dxa"/>
            <w:tcBorders/>
            <w:shd w:fill="CCEEFF" w:val="clear"/>
            <w:vAlign w:val="center"/>
          </w:tcPr>
          <w:p>
            <w:pPr>
              <w:pStyle w:val="TableContents"/>
              <w:bidi w:val="0"/>
              <w:spacing w:before="0" w:after="283"/>
              <w:jc w:val="left"/>
              <w:rPr/>
            </w:pPr>
            <w:r>
              <w:rPr/>
              <w:t>%</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Demand deposits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1,109,748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1,010,159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Other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79,193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69,661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626,261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465,938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b/>
              </w:rPr>
            </w:pPr>
            <w:r>
              <w:rPr>
                <w:b/>
              </w:rPr>
              <w:t>Total liabilities &amp; stockholders’ 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5,369,876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4,405,761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280" w:type="dxa"/>
            <w:gridSpan w:val="3"/>
            <w:tcBorders/>
            <w:shd w:fill="CCEEFF" w:val="clea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Net interest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51,694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43,253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80" w:type="dxa"/>
            <w:gridSpan w:val="3"/>
            <w:tcBorders/>
          </w:tcPr>
          <w:p>
            <w:pPr>
              <w:pStyle w:val="TableContents"/>
              <w:bidi w:val="0"/>
              <w:spacing w:before="0" w:after="283"/>
              <w:jc w:val="left"/>
              <w:rPr>
                <w:sz w:val="4"/>
                <w:szCs w:val="4"/>
              </w:rPr>
            </w:pPr>
            <w:r>
              <w:rPr>
                <w:sz w:val="4"/>
                <w:szCs w:val="4"/>
              </w:rPr>
            </w:r>
          </w:p>
        </w:tc>
      </w:tr>
      <w:tr>
        <w:trPr/>
        <w:tc>
          <w:tcPr>
            <w:tcW w:w="2101" w:type="dxa"/>
            <w:tcBorders/>
            <w:shd w:fill="CCEEFF" w:val="clear"/>
            <w:vAlign w:val="center"/>
          </w:tcPr>
          <w:p>
            <w:pPr>
              <w:pStyle w:val="TableContents"/>
              <w:bidi w:val="0"/>
              <w:spacing w:before="0" w:after="283"/>
              <w:jc w:val="left"/>
              <w:rPr/>
            </w:pPr>
            <w:r>
              <w:rPr/>
              <w:t>Net interest margin(2)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4.00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677" w:type="dxa"/>
            <w:tcBorders/>
            <w:shd w:fill="CCEEFF" w:val="clear"/>
            <w:vAlign w:val="center"/>
          </w:tcPr>
          <w:p>
            <w:pPr>
              <w:pStyle w:val="TableContents"/>
              <w:bidi w:val="0"/>
              <w:spacing w:before="0" w:after="283"/>
              <w:jc w:val="right"/>
              <w:rPr/>
            </w:pPr>
            <w:r>
              <w:rPr/>
              <w:t>4.05</w:t>
            </w:r>
          </w:p>
        </w:tc>
        <w:tc>
          <w:tcPr>
            <w:tcW w:w="245" w:type="dxa"/>
            <w:tcBorders/>
            <w:shd w:fill="CCEEFF" w:val="clear"/>
            <w:vAlign w:val="center"/>
          </w:tcPr>
          <w:p>
            <w:pPr>
              <w:pStyle w:val="TableContents"/>
              <w:bidi w:val="0"/>
              <w:spacing w:before="0" w:after="283"/>
              <w:jc w:val="left"/>
              <w:rPr/>
            </w:pPr>
            <w:r>
              <w:rPr/>
              <w:t>%</w:t>
            </w:r>
          </w:p>
        </w:tc>
        <w:tc>
          <w:tcPr>
            <w:tcW w:w="280" w:type="dxa"/>
            <w:gridSpan w:val="3"/>
            <w:tcBorders/>
            <w:shd w:fill="CCEEFF" w:val="clear"/>
          </w:tcPr>
          <w:p>
            <w:pPr>
              <w:pStyle w:val="TableContents"/>
              <w:bidi w:val="0"/>
              <w:spacing w:before="0" w:after="283"/>
              <w:jc w:val="left"/>
              <w:rPr>
                <w:sz w:val="4"/>
                <w:szCs w:val="4"/>
              </w:rPr>
            </w:pPr>
            <w:r>
              <w:rPr>
                <w:sz w:val="4"/>
                <w:szCs w:val="4"/>
              </w:rPr>
            </w:r>
          </w:p>
        </w:tc>
      </w:tr>
    </w:tbl>
    <w:tbl>
      <w:tblPr>
        <w:tblW w:w="7210" w:type="dxa"/>
        <w:jc w:val="left"/>
        <w:tblInd w:w="0" w:type="dxa"/>
        <w:tblLayout w:type="fixed"/>
        <w:tblCellMar>
          <w:top w:w="0" w:type="dxa"/>
          <w:left w:w="0" w:type="dxa"/>
          <w:bottom w:w="0" w:type="dxa"/>
          <w:right w:w="0" w:type="dxa"/>
        </w:tblCellMar>
      </w:tblPr>
      <w:tblGrid>
        <w:gridCol w:w="335"/>
        <w:gridCol w:w="6875"/>
      </w:tblGrid>
      <w:tr>
        <w:trPr/>
        <w:tc>
          <w:tcPr>
            <w:tcW w:w="335" w:type="dxa"/>
            <w:tcBorders/>
            <w:vAlign w:val="center"/>
          </w:tcPr>
          <w:p>
            <w:pPr>
              <w:pStyle w:val="TableContents"/>
              <w:bidi w:val="0"/>
              <w:spacing w:before="0" w:after="283"/>
              <w:jc w:val="left"/>
              <w:rPr>
                <w:color w:val="000000"/>
              </w:rPr>
            </w:pPr>
            <w:r>
              <w:rPr>
                <w:color w:val="000000"/>
              </w:rPr>
              <w:t> </w:t>
            </w:r>
          </w:p>
        </w:tc>
        <w:tc>
          <w:tcPr>
            <w:tcW w:w="68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pPr>
            <w:r>
              <w:rPr/>
              <w:t>(1)</w:t>
            </w:r>
          </w:p>
        </w:tc>
        <w:tc>
          <w:tcPr>
            <w:tcW w:w="6875" w:type="dxa"/>
            <w:tcBorders/>
            <w:vAlign w:val="center"/>
          </w:tcPr>
          <w:p>
            <w:pPr>
              <w:pStyle w:val="TableContents"/>
              <w:bidi w:val="0"/>
              <w:spacing w:before="0" w:after="283"/>
              <w:jc w:val="both"/>
              <w:rPr/>
            </w:pPr>
            <w:r>
              <w:rPr/>
              <w:t>Average loan balances include nonaccrual loans and loans held for sale.</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26"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is calculated as the annualized net interest income, on a fully tax-equivalent basis, divided by average interest-earning assets.</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Average Balances and Yields -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2275"/>
        <w:gridCol w:w="90"/>
        <w:gridCol w:w="90"/>
        <w:gridCol w:w="170"/>
        <w:gridCol w:w="1010"/>
        <w:gridCol w:w="90"/>
        <w:gridCol w:w="90"/>
        <w:gridCol w:w="90"/>
        <w:gridCol w:w="170"/>
        <w:gridCol w:w="830"/>
        <w:gridCol w:w="90"/>
        <w:gridCol w:w="90"/>
        <w:gridCol w:w="90"/>
        <w:gridCol w:w="90"/>
        <w:gridCol w:w="707"/>
        <w:gridCol w:w="245"/>
        <w:gridCol w:w="90"/>
        <w:gridCol w:w="90"/>
        <w:gridCol w:w="170"/>
        <w:gridCol w:w="1010"/>
        <w:gridCol w:w="90"/>
        <w:gridCol w:w="90"/>
        <w:gridCol w:w="90"/>
        <w:gridCol w:w="170"/>
        <w:gridCol w:w="830"/>
        <w:gridCol w:w="90"/>
        <w:gridCol w:w="90"/>
        <w:gridCol w:w="90"/>
        <w:gridCol w:w="90"/>
        <w:gridCol w:w="707"/>
        <w:gridCol w:w="291"/>
      </w:tblGrid>
      <w:tr>
        <w:trPr/>
        <w:tc>
          <w:tcPr>
            <w:tcW w:w="2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0" w:type="dxa"/>
            <w:gridSpan w:val="29"/>
            <w:tcBorders>
              <w:bottom w:val="single" w:sz="6" w:space="0" w:color="000000"/>
            </w:tcBorders>
            <w:tcMar>
              <w:bottom w:w="28" w:type="dxa"/>
            </w:tcMar>
            <w:vAlign w:val="center"/>
          </w:tcPr>
          <w:p>
            <w:pPr>
              <w:pStyle w:val="TableContents"/>
              <w:bidi w:val="0"/>
              <w:spacing w:before="0" w:after="283"/>
              <w:jc w:val="center"/>
              <w:rPr>
                <w:b/>
              </w:rPr>
            </w:pPr>
            <w:r>
              <w:rPr>
                <w:b/>
              </w:rPr>
              <w:t>For the Nine Months Ended</w:t>
            </w:r>
          </w:p>
        </w:tc>
      </w:tr>
      <w:tr>
        <w:trPr/>
        <w:tc>
          <w:tcPr>
            <w:tcW w:w="2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52" w:type="dxa"/>
            <w:gridSpan w:val="14"/>
            <w:tcBorders>
              <w:bottom w:val="single" w:sz="6" w:space="0" w:color="000000"/>
            </w:tcBorders>
            <w:tcMar>
              <w:bottom w:w="28" w:type="dxa"/>
            </w:tcMar>
            <w:vAlign w:val="center"/>
          </w:tcPr>
          <w:p>
            <w:pPr>
              <w:pStyle w:val="TableContents"/>
              <w:bidi w:val="0"/>
              <w:spacing w:before="0" w:after="283"/>
              <w:jc w:val="center"/>
              <w:rPr>
                <w:b/>
              </w:rPr>
            </w:pPr>
            <w:r>
              <w:rPr>
                <w:b/>
              </w:rPr>
              <w:t>September 30, 2026</w:t>
            </w:r>
          </w:p>
        </w:tc>
        <w:tc>
          <w:tcPr>
            <w:tcW w:w="90" w:type="dxa"/>
            <w:tcBorders/>
            <w:vAlign w:val="center"/>
          </w:tcPr>
          <w:p>
            <w:pPr>
              <w:pStyle w:val="TableContents"/>
              <w:bidi w:val="0"/>
              <w:spacing w:before="0" w:after="283"/>
              <w:jc w:val="left"/>
              <w:rPr/>
            </w:pPr>
            <w:r>
              <w:rPr/>
              <w:t> </w:t>
            </w:r>
          </w:p>
        </w:tc>
        <w:tc>
          <w:tcPr>
            <w:tcW w:w="3898" w:type="dxa"/>
            <w:gridSpan w:val="14"/>
            <w:tcBorders>
              <w:bottom w:val="single" w:sz="6" w:space="0" w:color="000000"/>
            </w:tcBorders>
            <w:tcMar>
              <w:bottom w:w="28" w:type="dxa"/>
            </w:tcMar>
            <w:vAlign w:val="center"/>
          </w:tcPr>
          <w:p>
            <w:pPr>
              <w:pStyle w:val="TableContents"/>
              <w:bidi w:val="0"/>
              <w:spacing w:before="0" w:after="283"/>
              <w:jc w:val="center"/>
              <w:rPr>
                <w:b/>
              </w:rPr>
            </w:pPr>
            <w:r>
              <w:rPr>
                <w:b/>
              </w:rPr>
              <w:t>September 30, 2025</w:t>
            </w:r>
          </w:p>
        </w:tc>
      </w:tr>
      <w:tr>
        <w:trPr/>
        <w:tc>
          <w:tcPr>
            <w:tcW w:w="2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2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2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b/>
              </w:rPr>
            </w:pPr>
            <w:r>
              <w:rPr>
                <w:b/>
              </w:rPr>
              <w:t>Balance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Interest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07" w:type="dxa"/>
            <w:tcBorders>
              <w:bottom w:val="single" w:sz="6" w:space="0" w:color="000000"/>
            </w:tcBorders>
            <w:tcMar>
              <w:bottom w:w="28" w:type="dxa"/>
            </w:tcMar>
            <w:vAlign w:val="center"/>
          </w:tcPr>
          <w:p>
            <w:pPr>
              <w:pStyle w:val="TableContents"/>
              <w:bidi w:val="0"/>
              <w:spacing w:before="0" w:after="283"/>
              <w:jc w:val="center"/>
              <w:rPr>
                <w:b/>
              </w:rPr>
            </w:pPr>
            <w:r>
              <w:rPr>
                <w:b/>
              </w:rPr>
              <w:t>Yield/Rate</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b/>
              </w:rPr>
            </w:pPr>
            <w:r>
              <w:rPr>
                <w:b/>
              </w:rPr>
              <w:t>Balance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Interest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07" w:type="dxa"/>
            <w:tcBorders>
              <w:bottom w:val="single" w:sz="6" w:space="0" w:color="000000"/>
            </w:tcBorders>
            <w:tcMar>
              <w:bottom w:w="28" w:type="dxa"/>
            </w:tcMar>
            <w:vAlign w:val="center"/>
          </w:tcPr>
          <w:p>
            <w:pPr>
              <w:pStyle w:val="TableContents"/>
              <w:bidi w:val="0"/>
              <w:spacing w:before="0" w:after="283"/>
              <w:jc w:val="center"/>
              <w:rPr>
                <w:b/>
              </w:rPr>
            </w:pPr>
            <w:r>
              <w:rPr>
                <w:b/>
              </w:rPr>
              <w:t>Yield/Rate</w:t>
            </w:r>
          </w:p>
        </w:tc>
        <w:tc>
          <w:tcPr>
            <w:tcW w:w="291"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27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2275" w:type="dxa"/>
            <w:tcBorders/>
            <w:shd w:fill="CCEEFF" w:val="clear"/>
            <w:vAlign w:val="center"/>
          </w:tcPr>
          <w:p>
            <w:pPr>
              <w:pStyle w:val="TableContents"/>
              <w:bidi w:val="0"/>
              <w:spacing w:before="0" w:after="283"/>
              <w:jc w:val="left"/>
              <w:rPr/>
            </w:pPr>
            <w:r>
              <w:rPr/>
              <w:t>Loans(1)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010" w:type="dxa"/>
            <w:tcBorders/>
            <w:shd w:fill="CCEEFF" w:val="clear"/>
            <w:vAlign w:val="center"/>
          </w:tcPr>
          <w:p>
            <w:pPr>
              <w:pStyle w:val="TableContents"/>
              <w:bidi w:val="0"/>
              <w:spacing w:before="0" w:after="283"/>
              <w:jc w:val="right"/>
              <w:rPr/>
            </w:pPr>
            <w:r>
              <w:rPr/>
              <w:t>3,585,041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182,298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6.80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010" w:type="dxa"/>
            <w:tcBorders/>
            <w:shd w:fill="CCEEFF" w:val="clear"/>
            <w:vAlign w:val="center"/>
          </w:tcPr>
          <w:p>
            <w:pPr>
              <w:pStyle w:val="TableContents"/>
              <w:bidi w:val="0"/>
              <w:spacing w:before="0" w:after="283"/>
              <w:jc w:val="right"/>
              <w:rPr/>
            </w:pPr>
            <w:r>
              <w:rPr/>
              <w:t>3,087,530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830" w:type="dxa"/>
            <w:tcBorders/>
            <w:shd w:fill="CCEEFF" w:val="clear"/>
            <w:vAlign w:val="center"/>
          </w:tcPr>
          <w:p>
            <w:pPr>
              <w:pStyle w:val="TableContents"/>
              <w:bidi w:val="0"/>
              <w:spacing w:before="0" w:after="283"/>
              <w:jc w:val="right"/>
              <w:rPr/>
            </w:pPr>
            <w:r>
              <w:rPr/>
              <w:t>158,406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6.86</w:t>
            </w:r>
          </w:p>
        </w:tc>
        <w:tc>
          <w:tcPr>
            <w:tcW w:w="291" w:type="dxa"/>
            <w:tcBorders/>
            <w:shd w:fill="CCEEFF" w:val="clear"/>
            <w:vAlign w:val="center"/>
          </w:tcPr>
          <w:p>
            <w:pPr>
              <w:pStyle w:val="TableContents"/>
              <w:bidi w:val="0"/>
              <w:spacing w:before="0" w:after="283"/>
              <w:jc w:val="left"/>
              <w:rPr/>
            </w:pPr>
            <w:r>
              <w:rPr/>
              <w:t>%</w:t>
            </w:r>
          </w:p>
        </w:tc>
      </w:tr>
      <w:tr>
        <w:trPr/>
        <w:tc>
          <w:tcPr>
            <w:tcW w:w="2275" w:type="dxa"/>
            <w:tcBorders/>
            <w:vAlign w:val="center"/>
          </w:tcPr>
          <w:p>
            <w:pPr>
              <w:pStyle w:val="TableContents"/>
              <w:bidi w:val="0"/>
              <w:spacing w:before="0" w:after="283"/>
              <w:jc w:val="left"/>
              <w:rPr/>
            </w:pPr>
            <w:r>
              <w:rPr/>
              <w:t>Debt securities - taxable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480,312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12,689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3.53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505,721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14,030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3.71</w:t>
            </w:r>
          </w:p>
        </w:tc>
        <w:tc>
          <w:tcPr>
            <w:tcW w:w="291" w:type="dxa"/>
            <w:tcBorders/>
            <w:vAlign w:val="center"/>
          </w:tcPr>
          <w:p>
            <w:pPr>
              <w:pStyle w:val="TableContents"/>
              <w:bidi w:val="0"/>
              <w:spacing w:before="0" w:after="283"/>
              <w:jc w:val="left"/>
              <w:rPr/>
            </w:pPr>
            <w:r>
              <w:rPr/>
              <w:t>%</w:t>
            </w:r>
          </w:p>
        </w:tc>
      </w:tr>
      <w:tr>
        <w:trPr/>
        <w:tc>
          <w:tcPr>
            <w:tcW w:w="2275" w:type="dxa"/>
            <w:tcBorders/>
            <w:shd w:fill="CCEEFF" w:val="clear"/>
            <w:vAlign w:val="center"/>
          </w:tcPr>
          <w:p>
            <w:pPr>
              <w:pStyle w:val="TableContents"/>
              <w:bidi w:val="0"/>
              <w:spacing w:before="0" w:after="283"/>
              <w:jc w:val="left"/>
              <w:rPr/>
            </w:pPr>
            <w:r>
              <w:rPr/>
              <w:t>Debt securities - nontaxable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152,488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3,232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2.83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153,486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3,109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2.71</w:t>
            </w:r>
          </w:p>
        </w:tc>
        <w:tc>
          <w:tcPr>
            <w:tcW w:w="291" w:type="dxa"/>
            <w:tcBorders/>
            <w:shd w:fill="CCEEFF" w:val="clear"/>
            <w:vAlign w:val="center"/>
          </w:tcPr>
          <w:p>
            <w:pPr>
              <w:pStyle w:val="TableContents"/>
              <w:bidi w:val="0"/>
              <w:spacing w:before="0" w:after="283"/>
              <w:jc w:val="left"/>
              <w:rPr/>
            </w:pPr>
            <w:r>
              <w:rPr/>
              <w:t>%</w:t>
            </w:r>
          </w:p>
        </w:tc>
      </w:tr>
      <w:tr>
        <w:trPr/>
        <w:tc>
          <w:tcPr>
            <w:tcW w:w="2275" w:type="dxa"/>
            <w:tcBorders/>
            <w:vAlign w:val="center"/>
          </w:tcPr>
          <w:p>
            <w:pPr>
              <w:pStyle w:val="TableContents"/>
              <w:bidi w:val="0"/>
              <w:spacing w:before="0" w:after="283"/>
              <w:jc w:val="left"/>
              <w:rPr/>
            </w:pPr>
            <w:r>
              <w:rPr/>
              <w:t>Other interest-bearing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625,077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16,525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3.53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444,473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13,707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4.12</w:t>
            </w:r>
          </w:p>
        </w:tc>
        <w:tc>
          <w:tcPr>
            <w:tcW w:w="291" w:type="dxa"/>
            <w:tcBorders/>
            <w:vAlign w:val="center"/>
          </w:tcPr>
          <w:p>
            <w:pPr>
              <w:pStyle w:val="TableContents"/>
              <w:bidi w:val="0"/>
              <w:spacing w:before="0" w:after="283"/>
              <w:jc w:val="left"/>
              <w:rPr/>
            </w:pPr>
            <w:r>
              <w:rPr/>
              <w:t>%</w:t>
            </w:r>
          </w:p>
        </w:tc>
      </w:tr>
      <w:tr>
        <w:trPr/>
        <w:tc>
          <w:tcPr>
            <w:tcW w:w="2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2275" w:type="dxa"/>
            <w:tcBorders/>
            <w:vAlign w:val="center"/>
          </w:tcPr>
          <w:p>
            <w:pPr>
              <w:pStyle w:val="TableContents"/>
              <w:bidi w:val="0"/>
              <w:spacing w:before="0" w:after="283"/>
              <w:jc w:val="left"/>
              <w:rPr>
                <w:b/>
              </w:rPr>
            </w:pPr>
            <w:r>
              <w:rPr>
                <w:b/>
              </w:rPr>
              <w:t>Total interest-earning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4,842,918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214,744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5.93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4,191,210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189,252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6.04</w:t>
            </w:r>
          </w:p>
        </w:tc>
        <w:tc>
          <w:tcPr>
            <w:tcW w:w="291" w:type="dxa"/>
            <w:tcBorders/>
            <w:vAlign w:val="center"/>
          </w:tcPr>
          <w:p>
            <w:pPr>
              <w:pStyle w:val="TableContents"/>
              <w:bidi w:val="0"/>
              <w:spacing w:before="0" w:after="283"/>
              <w:jc w:val="left"/>
              <w:rPr/>
            </w:pPr>
            <w:r>
              <w:rPr/>
              <w:t>%</w:t>
            </w:r>
          </w:p>
        </w:tc>
      </w:tr>
      <w:tr>
        <w:trPr/>
        <w:tc>
          <w:tcPr>
            <w:tcW w:w="2275" w:type="dxa"/>
            <w:tcBorders/>
            <w:shd w:fill="CCEEFF" w:val="clear"/>
            <w:vAlign w:val="center"/>
          </w:tcPr>
          <w:p>
            <w:pPr>
              <w:pStyle w:val="TableContents"/>
              <w:bidi w:val="0"/>
              <w:spacing w:before="0" w:after="283"/>
              <w:jc w:val="left"/>
              <w:rPr/>
            </w:pPr>
            <w:r>
              <w:rPr/>
              <w:t>Noninterest-earning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218,662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169,264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2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2275"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5,061,580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4,360,474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2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2275" w:type="dxa"/>
            <w:tcBorders/>
            <w:shd w:fill="CCEEFF" w:val="clear"/>
            <w:vAlign w:val="center"/>
          </w:tcPr>
          <w:p>
            <w:pPr>
              <w:pStyle w:val="TableContents"/>
              <w:bidi w:val="0"/>
              <w:spacing w:before="0" w:after="283"/>
              <w:jc w:val="left"/>
              <w:rPr>
                <w:b/>
              </w:rPr>
            </w:pPr>
            <w:r>
              <w:rPr>
                <w:b/>
              </w:rPr>
              <w:t>Liabilities &amp; stockholders’ equity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2275" w:type="dxa"/>
            <w:tcBorders/>
            <w:vAlign w:val="center"/>
          </w:tcPr>
          <w:p>
            <w:pPr>
              <w:pStyle w:val="TableContents"/>
              <w:bidi w:val="0"/>
              <w:spacing w:before="0" w:after="283"/>
              <w:jc w:val="left"/>
              <w:rPr/>
            </w:pPr>
            <w:r>
              <w:rPr/>
              <w:t>NOW, Savings, MMDA’s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010" w:type="dxa"/>
            <w:tcBorders/>
            <w:vAlign w:val="center"/>
          </w:tcPr>
          <w:p>
            <w:pPr>
              <w:pStyle w:val="TableContents"/>
              <w:bidi w:val="0"/>
              <w:spacing w:before="0" w:after="283"/>
              <w:jc w:val="right"/>
              <w:rPr/>
            </w:pPr>
            <w:r>
              <w:rPr/>
              <w:t>2,746,269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52,191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2.54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010" w:type="dxa"/>
            <w:tcBorders/>
            <w:vAlign w:val="center"/>
          </w:tcPr>
          <w:p>
            <w:pPr>
              <w:pStyle w:val="TableContents"/>
              <w:bidi w:val="0"/>
              <w:spacing w:before="0" w:after="283"/>
              <w:jc w:val="right"/>
              <w:rPr/>
            </w:pPr>
            <w:r>
              <w:rPr/>
              <w:t>2,318,134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47,408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2.73</w:t>
            </w:r>
          </w:p>
        </w:tc>
        <w:tc>
          <w:tcPr>
            <w:tcW w:w="291" w:type="dxa"/>
            <w:tcBorders/>
            <w:vAlign w:val="center"/>
          </w:tcPr>
          <w:p>
            <w:pPr>
              <w:pStyle w:val="TableContents"/>
              <w:bidi w:val="0"/>
              <w:spacing w:before="0" w:after="283"/>
              <w:jc w:val="left"/>
              <w:rPr/>
            </w:pPr>
            <w:r>
              <w:rPr/>
              <w:t>%</w:t>
            </w:r>
          </w:p>
        </w:tc>
      </w:tr>
      <w:tr>
        <w:trPr/>
        <w:tc>
          <w:tcPr>
            <w:tcW w:w="2275" w:type="dxa"/>
            <w:tcBorders/>
            <w:shd w:fill="CCEEFF" w:val="clear"/>
            <w:vAlign w:val="center"/>
          </w:tcPr>
          <w:p>
            <w:pPr>
              <w:pStyle w:val="TableContents"/>
              <w:bidi w:val="0"/>
              <w:spacing w:before="0" w:after="283"/>
              <w:jc w:val="left"/>
              <w:rPr/>
            </w:pPr>
            <w:r>
              <w:rPr/>
              <w:t>Time deposits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544,710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14,441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3.54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435,127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12,406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3.81</w:t>
            </w:r>
          </w:p>
        </w:tc>
        <w:tc>
          <w:tcPr>
            <w:tcW w:w="291" w:type="dxa"/>
            <w:tcBorders/>
            <w:shd w:fill="CCEEFF" w:val="clear"/>
            <w:vAlign w:val="center"/>
          </w:tcPr>
          <w:p>
            <w:pPr>
              <w:pStyle w:val="TableContents"/>
              <w:bidi w:val="0"/>
              <w:spacing w:before="0" w:after="283"/>
              <w:jc w:val="left"/>
              <w:rPr/>
            </w:pPr>
            <w:r>
              <w:rPr/>
              <w:t>%</w:t>
            </w:r>
          </w:p>
        </w:tc>
      </w:tr>
      <w:tr>
        <w:trPr/>
        <w:tc>
          <w:tcPr>
            <w:tcW w:w="2275" w:type="dxa"/>
            <w:tcBorders/>
            <w:vAlign w:val="center"/>
          </w:tcPr>
          <w:p>
            <w:pPr>
              <w:pStyle w:val="TableContents"/>
              <w:bidi w:val="0"/>
              <w:spacing w:before="0" w:after="283"/>
              <w:jc w:val="left"/>
              <w:rPr/>
            </w:pPr>
            <w:r>
              <w:rPr/>
              <w:t>Short-term borrowings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1,250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4.06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0.00</w:t>
            </w:r>
          </w:p>
        </w:tc>
        <w:tc>
          <w:tcPr>
            <w:tcW w:w="291" w:type="dxa"/>
            <w:tcBorders/>
            <w:vAlign w:val="center"/>
          </w:tcPr>
          <w:p>
            <w:pPr>
              <w:pStyle w:val="TableContents"/>
              <w:bidi w:val="0"/>
              <w:spacing w:before="0" w:after="283"/>
              <w:jc w:val="left"/>
              <w:rPr/>
            </w:pPr>
            <w:r>
              <w:rPr/>
              <w:t>%</w:t>
            </w:r>
          </w:p>
        </w:tc>
      </w:tr>
      <w:tr>
        <w:trPr/>
        <w:tc>
          <w:tcPr>
            <w:tcW w:w="2275" w:type="dxa"/>
            <w:tcBorders/>
            <w:shd w:fill="CCEEFF" w:val="clear"/>
            <w:vAlign w:val="center"/>
          </w:tcPr>
          <w:p>
            <w:pPr>
              <w:pStyle w:val="TableContents"/>
              <w:bidi w:val="0"/>
              <w:spacing w:before="0" w:after="283"/>
              <w:jc w:val="left"/>
              <w:rPr/>
            </w:pPr>
            <w:r>
              <w:rPr/>
              <w:t>Notes payable &amp; other long-term borrowings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0.00</w:t>
            </w:r>
          </w:p>
        </w:tc>
        <w:tc>
          <w:tcPr>
            <w:tcW w:w="291" w:type="dxa"/>
            <w:tcBorders/>
            <w:shd w:fill="CCEEFF" w:val="clear"/>
            <w:vAlign w:val="center"/>
          </w:tcPr>
          <w:p>
            <w:pPr>
              <w:pStyle w:val="TableContents"/>
              <w:bidi w:val="0"/>
              <w:spacing w:before="0" w:after="283"/>
              <w:jc w:val="left"/>
              <w:rPr/>
            </w:pPr>
            <w:r>
              <w:rPr/>
              <w:t>%</w:t>
            </w:r>
          </w:p>
        </w:tc>
      </w:tr>
      <w:tr>
        <w:trPr/>
        <w:tc>
          <w:tcPr>
            <w:tcW w:w="2275" w:type="dxa"/>
            <w:tcBorders/>
            <w:vAlign w:val="center"/>
          </w:tcPr>
          <w:p>
            <w:pPr>
              <w:pStyle w:val="TableContents"/>
              <w:bidi w:val="0"/>
              <w:spacing w:before="0" w:after="283"/>
              <w:jc w:val="left"/>
              <w:rPr/>
            </w:pPr>
            <w:r>
              <w:rPr/>
              <w:t>Subordinated debt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14,100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719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6.82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63,850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830" w:type="dxa"/>
            <w:tcBorders/>
            <w:vAlign w:val="center"/>
          </w:tcPr>
          <w:p>
            <w:pPr>
              <w:pStyle w:val="TableContents"/>
              <w:bidi w:val="0"/>
              <w:spacing w:before="0" w:after="283"/>
              <w:jc w:val="right"/>
              <w:rPr/>
            </w:pPr>
            <w:r>
              <w:rPr/>
              <w:t>2,505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right"/>
              <w:rPr/>
            </w:pPr>
            <w:r>
              <w:rPr/>
              <w:t> </w:t>
            </w:r>
          </w:p>
        </w:tc>
        <w:tc>
          <w:tcPr>
            <w:tcW w:w="707" w:type="dxa"/>
            <w:tcBorders/>
            <w:vAlign w:val="center"/>
          </w:tcPr>
          <w:p>
            <w:pPr>
              <w:pStyle w:val="TableContents"/>
              <w:bidi w:val="0"/>
              <w:spacing w:before="0" w:after="283"/>
              <w:jc w:val="right"/>
              <w:rPr/>
            </w:pPr>
            <w:r>
              <w:rPr/>
              <w:t>5.25</w:t>
            </w:r>
          </w:p>
        </w:tc>
        <w:tc>
          <w:tcPr>
            <w:tcW w:w="291" w:type="dxa"/>
            <w:tcBorders/>
            <w:vAlign w:val="center"/>
          </w:tcPr>
          <w:p>
            <w:pPr>
              <w:pStyle w:val="TableContents"/>
              <w:bidi w:val="0"/>
              <w:spacing w:before="0" w:after="283"/>
              <w:jc w:val="left"/>
              <w:rPr/>
            </w:pPr>
            <w:r>
              <w:rPr/>
              <w:t>%</w:t>
            </w:r>
          </w:p>
        </w:tc>
      </w:tr>
      <w:tr>
        <w:trPr/>
        <w:tc>
          <w:tcPr>
            <w:tcW w:w="2275" w:type="dxa"/>
            <w:tcBorders/>
            <w:shd w:fill="CCEEFF" w:val="clear"/>
            <w:vAlign w:val="center"/>
          </w:tcPr>
          <w:p>
            <w:pPr>
              <w:pStyle w:val="TableContents"/>
              <w:bidi w:val="0"/>
              <w:spacing w:before="0" w:after="283"/>
              <w:jc w:val="left"/>
              <w:rPr/>
            </w:pPr>
            <w:r>
              <w:rPr/>
              <w:t>Junior subordinated deferrable interest debentures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46,393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1,994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5.75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46,393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2,209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6.37</w:t>
            </w:r>
          </w:p>
        </w:tc>
        <w:tc>
          <w:tcPr>
            <w:tcW w:w="291" w:type="dxa"/>
            <w:tcBorders/>
            <w:shd w:fill="CCEEFF" w:val="clear"/>
            <w:vAlign w:val="center"/>
          </w:tcPr>
          <w:p>
            <w:pPr>
              <w:pStyle w:val="TableContents"/>
              <w:bidi w:val="0"/>
              <w:spacing w:before="0" w:after="283"/>
              <w:jc w:val="left"/>
              <w:rPr/>
            </w:pPr>
            <w:r>
              <w:rPr/>
              <w:t>%</w:t>
            </w:r>
          </w:p>
        </w:tc>
      </w:tr>
      <w:tr>
        <w:trPr/>
        <w:tc>
          <w:tcPr>
            <w:tcW w:w="2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2275" w:type="dxa"/>
            <w:tcBorders/>
            <w:shd w:fill="CCEEFF" w:val="clear"/>
            <w:vAlign w:val="center"/>
          </w:tcPr>
          <w:p>
            <w:pPr>
              <w:pStyle w:val="TableContents"/>
              <w:bidi w:val="0"/>
              <w:spacing w:before="0" w:after="283"/>
              <w:jc w:val="left"/>
              <w:rPr>
                <w:b/>
              </w:rPr>
            </w:pPr>
            <w:r>
              <w:rPr>
                <w:b/>
              </w:rPr>
              <w:t>Total interest-bearing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3,352,722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69,383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2.77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2,863,513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830" w:type="dxa"/>
            <w:tcBorders/>
            <w:shd w:fill="CCEEFF" w:val="clear"/>
            <w:vAlign w:val="center"/>
          </w:tcPr>
          <w:p>
            <w:pPr>
              <w:pStyle w:val="TableContents"/>
              <w:bidi w:val="0"/>
              <w:spacing w:before="0" w:after="283"/>
              <w:jc w:val="right"/>
              <w:rPr/>
            </w:pPr>
            <w:r>
              <w:rPr/>
              <w:t>64,528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3.01</w:t>
            </w:r>
          </w:p>
        </w:tc>
        <w:tc>
          <w:tcPr>
            <w:tcW w:w="291" w:type="dxa"/>
            <w:tcBorders/>
            <w:shd w:fill="CCEEFF" w:val="clear"/>
            <w:vAlign w:val="center"/>
          </w:tcPr>
          <w:p>
            <w:pPr>
              <w:pStyle w:val="TableContents"/>
              <w:bidi w:val="0"/>
              <w:spacing w:before="0" w:after="283"/>
              <w:jc w:val="left"/>
              <w:rPr/>
            </w:pPr>
            <w:r>
              <w:rPr/>
              <w:t>%</w:t>
            </w:r>
          </w:p>
        </w:tc>
      </w:tr>
      <w:tr>
        <w:trPr/>
        <w:tc>
          <w:tcPr>
            <w:tcW w:w="2275" w:type="dxa"/>
            <w:tcBorders/>
            <w:vAlign w:val="center"/>
          </w:tcPr>
          <w:p>
            <w:pPr>
              <w:pStyle w:val="TableContents"/>
              <w:bidi w:val="0"/>
              <w:spacing w:before="0" w:after="283"/>
              <w:jc w:val="left"/>
              <w:rPr/>
            </w:pPr>
            <w:r>
              <w:rPr/>
              <w:t>Demand deposits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1,067,204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10" w:type="dxa"/>
            <w:tcBorders/>
            <w:vAlign w:val="center"/>
          </w:tcPr>
          <w:p>
            <w:pPr>
              <w:pStyle w:val="TableContents"/>
              <w:bidi w:val="0"/>
              <w:spacing w:before="0" w:after="283"/>
              <w:jc w:val="right"/>
              <w:rPr/>
            </w:pPr>
            <w:r>
              <w:rPr/>
              <w:t>978,426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2275" w:type="dxa"/>
            <w:tcBorders/>
            <w:shd w:fill="CCEEFF" w:val="clear"/>
            <w:vAlign w:val="center"/>
          </w:tcPr>
          <w:p>
            <w:pPr>
              <w:pStyle w:val="TableContents"/>
              <w:bidi w:val="0"/>
              <w:spacing w:before="0" w:after="283"/>
              <w:jc w:val="left"/>
              <w:rPr/>
            </w:pPr>
            <w:r>
              <w:rPr/>
              <w:t>Other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57,696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010" w:type="dxa"/>
            <w:tcBorders/>
            <w:shd w:fill="CCEEFF" w:val="clear"/>
            <w:vAlign w:val="center"/>
          </w:tcPr>
          <w:p>
            <w:pPr>
              <w:pStyle w:val="TableContents"/>
              <w:bidi w:val="0"/>
              <w:spacing w:before="0" w:after="283"/>
              <w:jc w:val="right"/>
              <w:rPr/>
            </w:pPr>
            <w:r>
              <w:rPr/>
              <w:t>66,471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2275"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583,958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452,064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2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2275" w:type="dxa"/>
            <w:tcBorders/>
            <w:vAlign w:val="center"/>
          </w:tcPr>
          <w:p>
            <w:pPr>
              <w:pStyle w:val="TableContents"/>
              <w:bidi w:val="0"/>
              <w:spacing w:before="0" w:after="283"/>
              <w:jc w:val="left"/>
              <w:rPr>
                <w:b/>
              </w:rPr>
            </w:pPr>
            <w:r>
              <w:rPr>
                <w:b/>
              </w:rPr>
              <w:t>Total liabilities &amp; stockholders’ 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5,061,580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4,360,474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2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2275" w:type="dxa"/>
            <w:tcBorders/>
            <w:vAlign w:val="center"/>
          </w:tcPr>
          <w:p>
            <w:pPr>
              <w:pStyle w:val="TableContents"/>
              <w:bidi w:val="0"/>
              <w:spacing w:before="0" w:after="283"/>
              <w:jc w:val="left"/>
              <w:rPr/>
            </w:pPr>
            <w:r>
              <w:rPr/>
              <w:t>Net interest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145,361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124,724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r>
        <w:trPr/>
        <w:tc>
          <w:tcPr>
            <w:tcW w:w="2275" w:type="dxa"/>
            <w:tcBorders/>
            <w:shd w:fill="CCEEFF" w:val="clear"/>
            <w:vAlign w:val="center"/>
          </w:tcPr>
          <w:p>
            <w:pPr>
              <w:pStyle w:val="TableContents"/>
              <w:bidi w:val="0"/>
              <w:spacing w:before="0" w:after="283"/>
              <w:jc w:val="left"/>
              <w:rPr/>
            </w:pPr>
            <w:r>
              <w:rPr/>
              <w:t>Net interest margin(2)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4.01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right"/>
              <w:rPr/>
            </w:pPr>
            <w:r>
              <w:rPr/>
              <w:t> </w:t>
            </w:r>
          </w:p>
        </w:tc>
        <w:tc>
          <w:tcPr>
            <w:tcW w:w="707" w:type="dxa"/>
            <w:tcBorders/>
            <w:shd w:fill="CCEEFF" w:val="clear"/>
            <w:vAlign w:val="center"/>
          </w:tcPr>
          <w:p>
            <w:pPr>
              <w:pStyle w:val="TableContents"/>
              <w:bidi w:val="0"/>
              <w:spacing w:before="0" w:after="283"/>
              <w:jc w:val="right"/>
              <w:rPr/>
            </w:pPr>
            <w:r>
              <w:rPr/>
              <w:t>3.98</w:t>
            </w:r>
          </w:p>
        </w:tc>
        <w:tc>
          <w:tcPr>
            <w:tcW w:w="291" w:type="dxa"/>
            <w:tcBorders/>
            <w:shd w:fill="CCEEFF" w:val="clear"/>
            <w:vAlign w:val="center"/>
          </w:tcPr>
          <w:p>
            <w:pPr>
              <w:pStyle w:val="TableContents"/>
              <w:bidi w:val="0"/>
              <w:spacing w:before="0" w:after="283"/>
              <w:jc w:val="left"/>
              <w:rPr/>
            </w:pPr>
            <w:r>
              <w:rPr/>
              <w:t>%</w:t>
            </w:r>
          </w:p>
        </w:tc>
      </w:tr>
      <w:tr>
        <w:trPr/>
        <w:tc>
          <w:tcPr>
            <w:tcW w:w="2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tbl>
      <w:tblPr>
        <w:tblW w:w="6205" w:type="dxa"/>
        <w:jc w:val="left"/>
        <w:tblInd w:w="0" w:type="dxa"/>
        <w:tblLayout w:type="fixed"/>
        <w:tblCellMar>
          <w:top w:w="0" w:type="dxa"/>
          <w:left w:w="0" w:type="dxa"/>
          <w:bottom w:w="0" w:type="dxa"/>
          <w:right w:w="0" w:type="dxa"/>
        </w:tblCellMar>
      </w:tblPr>
      <w:tblGrid>
        <w:gridCol w:w="290"/>
        <w:gridCol w:w="5915"/>
      </w:tblGrid>
      <w:tr>
        <w:trPr/>
        <w:tc>
          <w:tcPr>
            <w:tcW w:w="2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91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Average loan balances include nonaccrual loans and loans held for sale.</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26"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Net interest margin is calculated as the annualized net interest income, on a fully tax-equivalent basis, divided by average interest-earning assets.</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Balance Sheets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color w:val="000000"/>
        </w:rPr>
      </w:pPr>
      <w:r>
        <w:rPr>
          <w:color w:val="000000"/>
        </w:rPr>
        <w:t xml:space="preserve">  </w:t>
      </w:r>
    </w:p>
    <w:tbl>
      <w:tblPr>
        <w:tblW w:w="9890" w:type="dxa"/>
        <w:jc w:val="left"/>
        <w:tblInd w:w="0" w:type="dxa"/>
        <w:tblLayout w:type="fixed"/>
        <w:tblCellMar>
          <w:top w:w="0" w:type="dxa"/>
          <w:left w:w="0" w:type="dxa"/>
          <w:bottom w:w="0" w:type="dxa"/>
          <w:right w:w="0" w:type="dxa"/>
        </w:tblCellMar>
      </w:tblPr>
      <w:tblGrid>
        <w:gridCol w:w="4745"/>
        <w:gridCol w:w="90"/>
        <w:gridCol w:w="90"/>
        <w:gridCol w:w="170"/>
        <w:gridCol w:w="2045"/>
        <w:gridCol w:w="185"/>
        <w:gridCol w:w="90"/>
        <w:gridCol w:w="90"/>
        <w:gridCol w:w="170"/>
        <w:gridCol w:w="1985"/>
        <w:gridCol w:w="230"/>
      </w:tblGrid>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5" w:type="dxa"/>
            <w:gridSpan w:val="9"/>
            <w:tcBorders>
              <w:bottom w:val="single" w:sz="6" w:space="0" w:color="000000"/>
            </w:tcBorders>
            <w:tcMar>
              <w:bottom w:w="28" w:type="dxa"/>
            </w:tcMar>
            <w:vAlign w:val="center"/>
          </w:tcPr>
          <w:p>
            <w:pPr>
              <w:pStyle w:val="TableContents"/>
              <w:bidi w:val="0"/>
              <w:spacing w:before="0" w:after="283"/>
              <w:jc w:val="center"/>
              <w:rPr>
                <w:b/>
              </w:rPr>
            </w:pPr>
            <w:r>
              <w:rPr>
                <w:b/>
              </w:rPr>
              <w:t>As of</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2045" w:type="dxa"/>
            <w:tcBorders>
              <w:bottom w:val="single" w:sz="6" w:space="0" w:color="000000"/>
            </w:tcBorders>
            <w:tcMar>
              <w:bottom w:w="28" w:type="dxa"/>
            </w:tcMar>
            <w:vAlign w:val="center"/>
          </w:tcPr>
          <w:p>
            <w:pPr>
              <w:pStyle w:val="TableContents"/>
              <w:bidi w:val="0"/>
              <w:spacing w:before="0" w:after="283"/>
              <w:jc w:val="center"/>
              <w:rPr>
                <w:b/>
              </w:rPr>
            </w:pPr>
            <w:r>
              <w:rPr>
                <w:b/>
              </w:rPr>
              <w:t>September 30,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5" w:type="dxa"/>
            <w:gridSpan w:val="9"/>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Cash and due from banks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2045" w:type="dxa"/>
            <w:tcBorders/>
            <w:shd w:fill="CCEEFF" w:val="clear"/>
            <w:vAlign w:val="center"/>
          </w:tcPr>
          <w:p>
            <w:pPr>
              <w:pStyle w:val="TableContents"/>
              <w:bidi w:val="0"/>
              <w:spacing w:before="0" w:after="283"/>
              <w:jc w:val="right"/>
              <w:rPr/>
            </w:pPr>
            <w:r>
              <w:rPr/>
              <w:t>48,735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985" w:type="dxa"/>
            <w:tcBorders/>
            <w:shd w:fill="CCEEFF" w:val="clear"/>
            <w:vAlign w:val="center"/>
          </w:tcPr>
          <w:p>
            <w:pPr>
              <w:pStyle w:val="TableContents"/>
              <w:bidi w:val="0"/>
              <w:spacing w:before="0" w:after="283"/>
              <w:jc w:val="right"/>
              <w:rPr/>
            </w:pPr>
            <w:r>
              <w:rPr/>
              <w:t>58,318</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Interest-bearing deposits in banks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2045" w:type="dxa"/>
            <w:tcBorders/>
            <w:vAlign w:val="center"/>
          </w:tcPr>
          <w:p>
            <w:pPr>
              <w:pStyle w:val="TableContents"/>
              <w:bidi w:val="0"/>
              <w:spacing w:before="0" w:after="283"/>
              <w:jc w:val="right"/>
              <w:rPr/>
            </w:pPr>
            <w:r>
              <w:rPr/>
              <w:t>728,000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right"/>
              <w:rPr/>
            </w:pPr>
            <w:r>
              <w:rPr/>
              <w:t>494,121</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Securities available for sale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2045" w:type="dxa"/>
            <w:tcBorders/>
            <w:shd w:fill="CCEEFF" w:val="clear"/>
            <w:vAlign w:val="center"/>
          </w:tcPr>
          <w:p>
            <w:pPr>
              <w:pStyle w:val="TableContents"/>
              <w:bidi w:val="0"/>
              <w:spacing w:before="0" w:after="283"/>
              <w:jc w:val="right"/>
              <w:rPr/>
            </w:pPr>
            <w:r>
              <w:rPr/>
              <w:t>518,347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567,540</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Loans held for 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2045" w:type="dxa"/>
            <w:tcBorders/>
            <w:vAlign w:val="center"/>
          </w:tcPr>
          <w:p>
            <w:pPr>
              <w:pStyle w:val="TableContents"/>
              <w:bidi w:val="0"/>
              <w:spacing w:before="0" w:after="283"/>
              <w:jc w:val="right"/>
              <w:rPr/>
            </w:pPr>
            <w:r>
              <w:rPr/>
              <w:t>10,451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right"/>
              <w:rPr/>
            </w:pPr>
            <w:r>
              <w:rPr/>
              <w:t>9,993</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Loans held for investment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2045" w:type="dxa"/>
            <w:tcBorders/>
            <w:shd w:fill="CCEEFF" w:val="clear"/>
            <w:vAlign w:val="center"/>
          </w:tcPr>
          <w:p>
            <w:pPr>
              <w:pStyle w:val="TableContents"/>
              <w:bidi w:val="0"/>
              <w:spacing w:before="0" w:after="283"/>
              <w:jc w:val="right"/>
              <w:rPr/>
            </w:pPr>
            <w:r>
              <w:rPr/>
              <w:t>3,831,138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3,144,502</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Less: Allowance for credit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2045" w:type="dxa"/>
            <w:tcBorders>
              <w:bottom w:val="single" w:sz="6" w:space="0" w:color="000000"/>
            </w:tcBorders>
            <w:tcMar>
              <w:bottom w:w="28" w:type="dxa"/>
            </w:tcMar>
            <w:vAlign w:val="center"/>
          </w:tcPr>
          <w:p>
            <w:pPr>
              <w:pStyle w:val="TableContents"/>
              <w:bidi w:val="0"/>
              <w:spacing w:before="0" w:after="283"/>
              <w:jc w:val="right"/>
              <w:rPr/>
            </w:pPr>
            <w:r>
              <w:rPr/>
              <w:t>(52,768</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85" w:type="dxa"/>
            <w:tcBorders>
              <w:bottom w:val="single" w:sz="6" w:space="0" w:color="000000"/>
            </w:tcBorders>
            <w:tcMar>
              <w:bottom w:w="28" w:type="dxa"/>
            </w:tcMar>
            <w:vAlign w:val="center"/>
          </w:tcPr>
          <w:p>
            <w:pPr>
              <w:pStyle w:val="TableContents"/>
              <w:bidi w:val="0"/>
              <w:spacing w:before="0" w:after="283"/>
              <w:jc w:val="right"/>
              <w:rPr/>
            </w:pPr>
            <w:r>
              <w:rPr/>
              <w:t>(45,131</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loans held for investment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2045" w:type="dxa"/>
            <w:tcBorders/>
            <w:shd w:fill="CCEEFF" w:val="clear"/>
            <w:vAlign w:val="center"/>
          </w:tcPr>
          <w:p>
            <w:pPr>
              <w:pStyle w:val="TableContents"/>
              <w:bidi w:val="0"/>
              <w:spacing w:before="0" w:after="283"/>
              <w:jc w:val="right"/>
              <w:rPr/>
            </w:pPr>
            <w:r>
              <w:rPr/>
              <w:t>3,778,370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3,099,371</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Premises and equipment,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2045" w:type="dxa"/>
            <w:tcBorders/>
            <w:vAlign w:val="center"/>
          </w:tcPr>
          <w:p>
            <w:pPr>
              <w:pStyle w:val="TableContents"/>
              <w:bidi w:val="0"/>
              <w:spacing w:before="0" w:after="283"/>
              <w:jc w:val="right"/>
              <w:rPr/>
            </w:pPr>
            <w:r>
              <w:rPr/>
              <w:t>51,154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right"/>
              <w:rPr/>
            </w:pPr>
            <w:r>
              <w:rPr/>
              <w:t>51,563</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2045" w:type="dxa"/>
            <w:tcBorders/>
            <w:shd w:fill="CCEEFF" w:val="clear"/>
            <w:vAlign w:val="center"/>
          </w:tcPr>
          <w:p>
            <w:pPr>
              <w:pStyle w:val="TableContents"/>
              <w:bidi w:val="0"/>
              <w:spacing w:before="0" w:after="283"/>
              <w:jc w:val="right"/>
              <w:rPr/>
            </w:pPr>
            <w:r>
              <w:rPr/>
              <w:t>66,592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19,315</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Intangible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2045" w:type="dxa"/>
            <w:tcBorders/>
            <w:vAlign w:val="center"/>
          </w:tcPr>
          <w:p>
            <w:pPr>
              <w:pStyle w:val="TableContents"/>
              <w:bidi w:val="0"/>
              <w:spacing w:before="0" w:after="283"/>
              <w:jc w:val="right"/>
              <w:rPr/>
            </w:pPr>
            <w:r>
              <w:rPr/>
              <w:t>5,265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right"/>
              <w:rPr/>
            </w:pPr>
            <w:r>
              <w:rPr/>
              <w:t>1,133</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Mortgage servicing rights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2045" w:type="dxa"/>
            <w:tcBorders/>
            <w:shd w:fill="CCEEFF" w:val="clear"/>
            <w:vAlign w:val="center"/>
          </w:tcPr>
          <w:p>
            <w:pPr>
              <w:pStyle w:val="TableContents"/>
              <w:bidi w:val="0"/>
              <w:spacing w:before="0" w:after="283"/>
              <w:jc w:val="right"/>
              <w:rPr/>
            </w:pPr>
            <w:r>
              <w:rPr/>
              <w:t>27,616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24,041</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2045" w:type="dxa"/>
            <w:tcBorders>
              <w:bottom w:val="single" w:sz="6" w:space="0" w:color="000000"/>
            </w:tcBorders>
            <w:tcMar>
              <w:bottom w:w="28" w:type="dxa"/>
            </w:tcMar>
            <w:vAlign w:val="center"/>
          </w:tcPr>
          <w:p>
            <w:pPr>
              <w:pStyle w:val="TableContents"/>
              <w:bidi w:val="0"/>
              <w:spacing w:before="0" w:after="283"/>
              <w:jc w:val="right"/>
              <w:rPr/>
            </w:pPr>
            <w:r>
              <w:rPr/>
              <w:t>176,344</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85" w:type="dxa"/>
            <w:tcBorders>
              <w:bottom w:val="single" w:sz="6" w:space="0" w:color="000000"/>
            </w:tcBorders>
            <w:tcMar>
              <w:bottom w:w="28" w:type="dxa"/>
            </w:tcMar>
            <w:vAlign w:val="center"/>
          </w:tcPr>
          <w:p>
            <w:pPr>
              <w:pStyle w:val="TableContents"/>
              <w:bidi w:val="0"/>
              <w:spacing w:before="0" w:after="283"/>
              <w:jc w:val="right"/>
              <w:rPr/>
            </w:pPr>
            <w:r>
              <w:rPr/>
              <w:t>155,105</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045" w:type="dxa"/>
            <w:tcBorders>
              <w:bottom w:val="double" w:sz="6" w:space="0" w:color="000000"/>
            </w:tcBorders>
            <w:shd w:fill="CCEEFF" w:val="clear"/>
            <w:tcMar>
              <w:bottom w:w="28" w:type="dxa"/>
            </w:tcMar>
            <w:vAlign w:val="center"/>
          </w:tcPr>
          <w:p>
            <w:pPr>
              <w:pStyle w:val="TableContents"/>
              <w:bidi w:val="0"/>
              <w:spacing w:before="0" w:after="283"/>
              <w:jc w:val="right"/>
              <w:rPr/>
            </w:pPr>
            <w:r>
              <w:rPr/>
              <w:t>5,410,874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985" w:type="dxa"/>
            <w:tcBorders>
              <w:bottom w:val="double" w:sz="6" w:space="0" w:color="000000"/>
            </w:tcBorders>
            <w:shd w:fill="CCEEFF" w:val="clear"/>
            <w:tcMar>
              <w:bottom w:w="28" w:type="dxa"/>
            </w:tcMar>
            <w:vAlign w:val="center"/>
          </w:tcPr>
          <w:p>
            <w:pPr>
              <w:pStyle w:val="TableContents"/>
              <w:bidi w:val="0"/>
              <w:spacing w:before="0" w:after="283"/>
              <w:jc w:val="right"/>
              <w:rPr/>
            </w:pPr>
            <w:r>
              <w:rPr/>
              <w:t>4,480,500</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b/>
              </w:rPr>
            </w:pPr>
            <w:r>
              <w:rPr>
                <w:b/>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0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Noninterest bearing deposits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2045" w:type="dxa"/>
            <w:tcBorders/>
            <w:vAlign w:val="center"/>
          </w:tcPr>
          <w:p>
            <w:pPr>
              <w:pStyle w:val="TableContents"/>
              <w:bidi w:val="0"/>
              <w:spacing w:before="0" w:after="283"/>
              <w:jc w:val="right"/>
              <w:rPr/>
            </w:pPr>
            <w:r>
              <w:rPr/>
              <w:t>1,179,107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985" w:type="dxa"/>
            <w:tcBorders/>
            <w:vAlign w:val="center"/>
          </w:tcPr>
          <w:p>
            <w:pPr>
              <w:pStyle w:val="TableContents"/>
              <w:bidi w:val="0"/>
              <w:spacing w:before="0" w:after="283"/>
              <w:jc w:val="right"/>
              <w:rPr/>
            </w:pPr>
            <w:r>
              <w:rPr/>
              <w:t>1,023,517</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Interest-bearing deposits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2045" w:type="dxa"/>
            <w:tcBorders>
              <w:bottom w:val="single" w:sz="6" w:space="0" w:color="000000"/>
            </w:tcBorders>
            <w:shd w:fill="CCEEFF" w:val="clear"/>
            <w:tcMar>
              <w:bottom w:w="28" w:type="dxa"/>
            </w:tcMar>
            <w:vAlign w:val="center"/>
          </w:tcPr>
          <w:p>
            <w:pPr>
              <w:pStyle w:val="TableContents"/>
              <w:bidi w:val="0"/>
              <w:spacing w:before="0" w:after="283"/>
              <w:jc w:val="right"/>
              <w:rPr/>
            </w:pPr>
            <w:r>
              <w:rPr/>
              <w:t>3,481,584</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2,850,560</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Total deposits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2045" w:type="dxa"/>
            <w:tcBorders/>
            <w:vAlign w:val="center"/>
          </w:tcPr>
          <w:p>
            <w:pPr>
              <w:pStyle w:val="TableContents"/>
              <w:bidi w:val="0"/>
              <w:spacing w:before="0" w:after="283"/>
              <w:jc w:val="right"/>
              <w:rPr/>
            </w:pPr>
            <w:r>
              <w:rPr/>
              <w:t>4,660,691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right"/>
              <w:rPr/>
            </w:pPr>
            <w:r>
              <w:rPr/>
              <w:t>3,874,077</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Short-term borrowings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204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Subordinated debt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2045" w:type="dxa"/>
            <w:tcBorders/>
            <w:vAlign w:val="center"/>
          </w:tcPr>
          <w:p>
            <w:pPr>
              <w:pStyle w:val="TableContents"/>
              <w:bidi w:val="0"/>
              <w:spacing w:before="0" w:after="283"/>
              <w:jc w:val="right"/>
              <w:rPr/>
            </w:pPr>
            <w:r>
              <w:rPr/>
              <w:t>14,100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right"/>
              <w:rPr/>
            </w:pPr>
            <w:r>
              <w:rPr/>
              <w:t>14,100</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Junior subordinated deferrable interest debentures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2045" w:type="dxa"/>
            <w:tcBorders/>
            <w:shd w:fill="CCEEFF" w:val="clear"/>
            <w:vAlign w:val="center"/>
          </w:tcPr>
          <w:p>
            <w:pPr>
              <w:pStyle w:val="TableContents"/>
              <w:bidi w:val="0"/>
              <w:spacing w:before="0" w:after="283"/>
              <w:jc w:val="right"/>
              <w:rPr/>
            </w:pPr>
            <w:r>
              <w:rPr/>
              <w:t>46,393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46,393</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2045" w:type="dxa"/>
            <w:tcBorders>
              <w:bottom w:val="single" w:sz="6" w:space="0" w:color="000000"/>
            </w:tcBorders>
            <w:tcMar>
              <w:bottom w:w="28" w:type="dxa"/>
            </w:tcMar>
            <w:vAlign w:val="center"/>
          </w:tcPr>
          <w:p>
            <w:pPr>
              <w:pStyle w:val="TableContents"/>
              <w:bidi w:val="0"/>
              <w:spacing w:before="0" w:after="283"/>
              <w:jc w:val="right"/>
              <w:rPr/>
            </w:pPr>
            <w:r>
              <w:rPr/>
              <w:t>66,934</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85" w:type="dxa"/>
            <w:tcBorders>
              <w:bottom w:val="single" w:sz="6" w:space="0" w:color="000000"/>
            </w:tcBorders>
            <w:tcMar>
              <w:bottom w:w="28" w:type="dxa"/>
            </w:tcMar>
            <w:vAlign w:val="center"/>
          </w:tcPr>
          <w:p>
            <w:pPr>
              <w:pStyle w:val="TableContents"/>
              <w:bidi w:val="0"/>
              <w:spacing w:before="0" w:after="283"/>
              <w:jc w:val="right"/>
              <w:rPr/>
            </w:pPr>
            <w:r>
              <w:rPr/>
              <w:t>52,093</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2045" w:type="dxa"/>
            <w:tcBorders/>
            <w:shd w:fill="CCEEFF" w:val="clear"/>
            <w:vAlign w:val="center"/>
          </w:tcPr>
          <w:p>
            <w:pPr>
              <w:pStyle w:val="TableContents"/>
              <w:bidi w:val="0"/>
              <w:spacing w:before="0" w:after="283"/>
              <w:jc w:val="right"/>
              <w:rPr/>
            </w:pPr>
            <w:r>
              <w:rPr/>
              <w:t>4,788,118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3,986,663</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b/>
              </w:rPr>
            </w:pPr>
            <w:r>
              <w:rPr>
                <w:b/>
              </w:rPr>
              <w:t>Stockholders’ 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20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2045" w:type="dxa"/>
            <w:tcBorders/>
            <w:shd w:fill="CCEEFF" w:val="clear"/>
            <w:vAlign w:val="center"/>
          </w:tcPr>
          <w:p>
            <w:pPr>
              <w:pStyle w:val="TableContents"/>
              <w:bidi w:val="0"/>
              <w:spacing w:before="0" w:after="283"/>
              <w:jc w:val="right"/>
              <w:rPr/>
            </w:pPr>
            <w:r>
              <w:rPr/>
              <w:t>18,848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16,294</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2045" w:type="dxa"/>
            <w:tcBorders/>
            <w:vAlign w:val="center"/>
          </w:tcPr>
          <w:p>
            <w:pPr>
              <w:pStyle w:val="TableContents"/>
              <w:bidi w:val="0"/>
              <w:spacing w:before="0" w:after="283"/>
              <w:jc w:val="right"/>
              <w:rPr/>
            </w:pPr>
            <w:r>
              <w:rPr/>
              <w:t>195,307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right"/>
              <w:rPr/>
            </w:pPr>
            <w:r>
              <w:rPr/>
              <w:t>91,065</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Retained earnings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2045" w:type="dxa"/>
            <w:tcBorders/>
            <w:shd w:fill="CCEEFF" w:val="clear"/>
            <w:vAlign w:val="center"/>
          </w:tcPr>
          <w:p>
            <w:pPr>
              <w:pStyle w:val="TableContents"/>
              <w:bidi w:val="0"/>
              <w:spacing w:before="0" w:after="283"/>
              <w:jc w:val="right"/>
              <w:rPr/>
            </w:pPr>
            <w:r>
              <w:rPr/>
              <w:t>479,082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434,197</w:t>
            </w:r>
          </w:p>
        </w:tc>
        <w:tc>
          <w:tcPr>
            <w:tcW w:w="230"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Accumulated other comprehensive income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2045" w:type="dxa"/>
            <w:tcBorders>
              <w:bottom w:val="single" w:sz="6" w:space="0" w:color="000000"/>
            </w:tcBorders>
            <w:tcMar>
              <w:bottom w:w="28" w:type="dxa"/>
            </w:tcMar>
            <w:vAlign w:val="center"/>
          </w:tcPr>
          <w:p>
            <w:pPr>
              <w:pStyle w:val="TableContents"/>
              <w:bidi w:val="0"/>
              <w:spacing w:before="0" w:after="283"/>
              <w:jc w:val="right"/>
              <w:rPr/>
            </w:pPr>
            <w:r>
              <w:rPr/>
              <w:t>(70,481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85" w:type="dxa"/>
            <w:tcBorders>
              <w:bottom w:val="single" w:sz="6" w:space="0" w:color="000000"/>
            </w:tcBorders>
            <w:tcMar>
              <w:bottom w:w="28" w:type="dxa"/>
            </w:tcMar>
            <w:vAlign w:val="center"/>
          </w:tcPr>
          <w:p>
            <w:pPr>
              <w:pStyle w:val="TableContents"/>
              <w:bidi w:val="0"/>
              <w:spacing w:before="0" w:after="283"/>
              <w:jc w:val="right"/>
              <w:rPr/>
            </w:pPr>
            <w:r>
              <w:rPr/>
              <w:t>(47,719</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b/>
              </w:rPr>
            </w:pPr>
            <w:r>
              <w:rPr>
                <w:b/>
              </w:rPr>
              <w:t>Total stockholders’ equity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2045" w:type="dxa"/>
            <w:tcBorders>
              <w:bottom w:val="single" w:sz="6" w:space="0" w:color="000000"/>
            </w:tcBorders>
            <w:shd w:fill="CCEEFF" w:val="clear"/>
            <w:tcMar>
              <w:bottom w:w="28" w:type="dxa"/>
            </w:tcMar>
            <w:vAlign w:val="center"/>
          </w:tcPr>
          <w:p>
            <w:pPr>
              <w:pStyle w:val="TableContents"/>
              <w:bidi w:val="0"/>
              <w:spacing w:before="0" w:after="283"/>
              <w:jc w:val="right"/>
              <w:rPr/>
            </w:pPr>
            <w:r>
              <w:rPr/>
              <w:t>622,756</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493,837</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b/>
              </w:rPr>
            </w:pPr>
            <w:r>
              <w:rPr>
                <w:b/>
              </w:rPr>
              <w:t>Total liabilities and stockholders’ 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2045" w:type="dxa"/>
            <w:tcBorders>
              <w:bottom w:val="double" w:sz="6" w:space="0" w:color="000000"/>
            </w:tcBorders>
            <w:tcMar>
              <w:bottom w:w="28" w:type="dxa"/>
            </w:tcMar>
            <w:vAlign w:val="center"/>
          </w:tcPr>
          <w:p>
            <w:pPr>
              <w:pStyle w:val="TableContents"/>
              <w:bidi w:val="0"/>
              <w:spacing w:before="0" w:after="283"/>
              <w:jc w:val="right"/>
              <w:rPr/>
            </w:pPr>
            <w:r>
              <w:rPr/>
              <w:t>5,410,874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4,480,500</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Consolidated Statements of Income</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2603"/>
        <w:gridCol w:w="90"/>
        <w:gridCol w:w="170"/>
        <w:gridCol w:w="1471"/>
        <w:gridCol w:w="90"/>
        <w:gridCol w:w="90"/>
        <w:gridCol w:w="90"/>
        <w:gridCol w:w="170"/>
        <w:gridCol w:w="1471"/>
        <w:gridCol w:w="90"/>
        <w:gridCol w:w="90"/>
        <w:gridCol w:w="90"/>
        <w:gridCol w:w="170"/>
        <w:gridCol w:w="1471"/>
        <w:gridCol w:w="90"/>
        <w:gridCol w:w="90"/>
        <w:gridCol w:w="90"/>
        <w:gridCol w:w="170"/>
        <w:gridCol w:w="1471"/>
        <w:gridCol w:w="138"/>
      </w:tblGrid>
      <w:tr>
        <w:trPr/>
        <w:tc>
          <w:tcPr>
            <w:tcW w:w="2603" w:type="dxa"/>
            <w:tcBorders/>
            <w:vAlign w:val="center"/>
          </w:tcPr>
          <w:p>
            <w:pPr>
              <w:pStyle w:val="TableContents"/>
              <w:bidi w:val="0"/>
              <w:spacing w:before="0" w:after="283"/>
              <w:jc w:val="left"/>
              <w:rPr/>
            </w:pPr>
            <w:r>
              <w:rPr/>
              <w:t> </w:t>
            </w:r>
          </w:p>
        </w:tc>
        <w:tc>
          <w:tcPr>
            <w:tcW w:w="3732" w:type="dxa"/>
            <w:gridSpan w:val="9"/>
            <w:tcBorders>
              <w:bottom w:val="single" w:sz="6" w:space="0" w:color="000000"/>
            </w:tcBorders>
            <w:tcMar>
              <w:bottom w:w="28" w:type="dxa"/>
            </w:tcMar>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3780" w:type="dxa"/>
            <w:gridSpan w:val="9"/>
            <w:tcBorders>
              <w:bottom w:val="single" w:sz="6" w:space="0" w:color="000000"/>
            </w:tcBorders>
            <w:tcMar>
              <w:bottom w:w="28" w:type="dxa"/>
            </w:tcMar>
            <w:vAlign w:val="center"/>
          </w:tcPr>
          <w:p>
            <w:pPr>
              <w:pStyle w:val="TableContents"/>
              <w:bidi w:val="0"/>
              <w:spacing w:before="0" w:after="283"/>
              <w:jc w:val="center"/>
              <w:rPr>
                <w:b/>
              </w:rPr>
            </w:pPr>
            <w:r>
              <w:rPr>
                <w:b/>
              </w:rPr>
              <w:t>Nine Months Ended</w:t>
            </w:r>
          </w:p>
        </w:tc>
      </w:tr>
      <w:tr>
        <w:trPr/>
        <w:tc>
          <w:tcPr>
            <w:tcW w:w="26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1" w:type="dxa"/>
            <w:tcBorders>
              <w:bottom w:val="single" w:sz="6" w:space="0" w:color="000000"/>
            </w:tcBorders>
            <w:tcMar>
              <w:bottom w:w="28" w:type="dxa"/>
            </w:tcMar>
            <w:vAlign w:val="center"/>
          </w:tcPr>
          <w:p>
            <w:pPr>
              <w:pStyle w:val="TableContents"/>
              <w:bidi w:val="0"/>
              <w:spacing w:before="0" w:after="283"/>
              <w:jc w:val="center"/>
              <w:rPr>
                <w:b/>
              </w:rPr>
            </w:pPr>
            <w:r>
              <w:rPr>
                <w:b/>
              </w:rPr>
              <w:t>September 30,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1" w:type="dxa"/>
            <w:tcBorders>
              <w:bottom w:val="single" w:sz="6" w:space="0" w:color="000000"/>
            </w:tcBorders>
            <w:tcMar>
              <w:bottom w:w="28" w:type="dxa"/>
            </w:tcMar>
            <w:vAlign w:val="center"/>
          </w:tcPr>
          <w:p>
            <w:pPr>
              <w:pStyle w:val="TableContents"/>
              <w:bidi w:val="0"/>
              <w:spacing w:before="0" w:after="283"/>
              <w:jc w:val="center"/>
              <w:rPr>
                <w:b/>
              </w:rPr>
            </w:pPr>
            <w:r>
              <w:rPr>
                <w:b/>
              </w:rPr>
              <w:t>September 30, 2025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1" w:type="dxa"/>
            <w:tcBorders>
              <w:bottom w:val="single" w:sz="6" w:space="0" w:color="000000"/>
            </w:tcBorders>
            <w:tcMar>
              <w:bottom w:w="28" w:type="dxa"/>
            </w:tcMar>
            <w:vAlign w:val="center"/>
          </w:tcPr>
          <w:p>
            <w:pPr>
              <w:pStyle w:val="TableContents"/>
              <w:bidi w:val="0"/>
              <w:spacing w:before="0" w:after="283"/>
              <w:jc w:val="center"/>
              <w:rPr>
                <w:b/>
              </w:rPr>
            </w:pPr>
            <w:r>
              <w:rPr>
                <w:b/>
              </w:rPr>
              <w:t>September 30,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1" w:type="dxa"/>
            <w:tcBorders>
              <w:bottom w:val="single" w:sz="6" w:space="0" w:color="000000"/>
            </w:tcBorders>
            <w:tcMar>
              <w:bottom w:w="28" w:type="dxa"/>
            </w:tcMar>
            <w:vAlign w:val="center"/>
          </w:tcPr>
          <w:p>
            <w:pPr>
              <w:pStyle w:val="TableContents"/>
              <w:bidi w:val="0"/>
              <w:spacing w:before="0" w:after="283"/>
              <w:jc w:val="center"/>
              <w:rPr>
                <w:b/>
              </w:rPr>
            </w:pPr>
            <w:r>
              <w:rPr>
                <w:b/>
              </w:rPr>
              <w:t>September 30, 2025</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 </w:t>
            </w:r>
          </w:p>
        </w:tc>
        <w:tc>
          <w:tcPr>
            <w:tcW w:w="3732" w:type="dxa"/>
            <w:gridSpan w:val="9"/>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80" w:type="dxa"/>
            <w:gridSpan w:val="9"/>
            <w:tcBorders/>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b/>
              </w:rPr>
            </w:pPr>
            <w:r>
              <w:rPr>
                <w:b/>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Loans, including fees</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471" w:type="dxa"/>
            <w:tcBorders/>
            <w:shd w:fill="CCEEFF" w:val="clear"/>
            <w:vAlign w:val="center"/>
          </w:tcPr>
          <w:p>
            <w:pPr>
              <w:pStyle w:val="TableContents"/>
              <w:bidi w:val="0"/>
              <w:spacing w:before="0" w:after="283"/>
              <w:jc w:val="right"/>
              <w:rPr/>
            </w:pPr>
            <w:r>
              <w:rPr/>
              <w:t>65,495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471" w:type="dxa"/>
            <w:tcBorders/>
            <w:shd w:fill="CCEEFF" w:val="clear"/>
            <w:vAlign w:val="center"/>
          </w:tcPr>
          <w:p>
            <w:pPr>
              <w:pStyle w:val="TableContents"/>
              <w:bidi w:val="0"/>
              <w:spacing w:before="0" w:after="283"/>
              <w:jc w:val="right"/>
              <w:rPr/>
            </w:pPr>
            <w:r>
              <w:rPr/>
              <w:t>53,928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471" w:type="dxa"/>
            <w:tcBorders/>
            <w:shd w:fill="CCEEFF" w:val="clear"/>
            <w:vAlign w:val="center"/>
          </w:tcPr>
          <w:p>
            <w:pPr>
              <w:pStyle w:val="TableContents"/>
              <w:bidi w:val="0"/>
              <w:spacing w:before="0" w:after="283"/>
              <w:jc w:val="right"/>
              <w:rPr/>
            </w:pPr>
            <w:r>
              <w:rPr/>
              <w:t>182,278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471" w:type="dxa"/>
            <w:tcBorders/>
            <w:shd w:fill="CCEEFF" w:val="clear"/>
            <w:vAlign w:val="center"/>
          </w:tcPr>
          <w:p>
            <w:pPr>
              <w:pStyle w:val="TableContents"/>
              <w:bidi w:val="0"/>
              <w:spacing w:before="0" w:after="283"/>
              <w:jc w:val="right"/>
              <w:rPr/>
            </w:pPr>
            <w:r>
              <w:rPr/>
              <w:t>158,384</w:t>
            </w:r>
          </w:p>
        </w:tc>
        <w:tc>
          <w:tcPr>
            <w:tcW w:w="138" w:type="dxa"/>
            <w:tcBorders/>
            <w:shd w:fill="CCEEFF" w:val="cle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10,915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10,592</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31,767</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30,193</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Total 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76,410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64,520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214,045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188,577</w:t>
            </w:r>
          </w:p>
        </w:tc>
        <w:tc>
          <w:tcPr>
            <w:tcW w:w="138" w:type="dxa"/>
            <w:tcBorders/>
            <w:shd w:fill="CCEEFF" w:val="cle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b/>
              </w:rPr>
            </w:pPr>
            <w:r>
              <w:rPr>
                <w:b/>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Deposits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24,038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19,925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66,632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59,814</w:t>
            </w:r>
          </w:p>
        </w:tc>
        <w:tc>
          <w:tcPr>
            <w:tcW w:w="138" w:type="dxa"/>
            <w:tcBorders/>
            <w:shd w:fill="CCEEFF" w:val="cle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Subordinated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835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719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2,505</w:t>
            </w:r>
          </w:p>
        </w:tc>
        <w:tc>
          <w:tcPr>
            <w:tcW w:w="138" w:type="dxa"/>
            <w:tcBorders/>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Junior subordinated deferrable interest debentures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673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741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1,994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2,209</w:t>
            </w:r>
          </w:p>
        </w:tc>
        <w:tc>
          <w:tcPr>
            <w:tcW w:w="138" w:type="dxa"/>
            <w:tcBorders/>
            <w:shd w:fill="CCEEFF" w:val="cle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38</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Total 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24,949</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21,501</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69,383</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64,528</w:t>
            </w:r>
          </w:p>
        </w:tc>
        <w:tc>
          <w:tcPr>
            <w:tcW w:w="13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Net 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51,461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43,019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144,662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124,049</w:t>
            </w:r>
          </w:p>
        </w:tc>
        <w:tc>
          <w:tcPr>
            <w:tcW w:w="138" w:type="dxa"/>
            <w:tcBorders/>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b/>
              </w:rPr>
            </w:pPr>
            <w:r>
              <w:rPr>
                <w:b/>
              </w:rPr>
              <w:t>Provision for credit losses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830</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500</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1,440</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3,420</w:t>
            </w:r>
          </w:p>
        </w:tc>
        <w:tc>
          <w:tcPr>
            <w:tcW w:w="13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Net interest income after provision for credit losses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50,631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42,519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143,222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120,629</w:t>
            </w:r>
          </w:p>
        </w:tc>
        <w:tc>
          <w:tcPr>
            <w:tcW w:w="138" w:type="dxa"/>
            <w:tcBorders/>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b/>
              </w:rPr>
            </w:pPr>
            <w:r>
              <w:rPr>
                <w:b/>
              </w:rPr>
              <w:t>Noninterest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Service charges on deposits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2,531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2,266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7,152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6,505</w:t>
            </w:r>
          </w:p>
        </w:tc>
        <w:tc>
          <w:tcPr>
            <w:tcW w:w="138" w:type="dxa"/>
            <w:tcBorders/>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Mortgage banking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4,878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2,575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13,643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8,294</w:t>
            </w:r>
          </w:p>
        </w:tc>
        <w:tc>
          <w:tcPr>
            <w:tcW w:w="138" w:type="dxa"/>
            <w:tcBorders/>
            <w:shd w:fill="CCEEFF" w:val="cle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Bank card services and interchange fees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3,542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3,403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10,868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10,553</w:t>
            </w:r>
          </w:p>
        </w:tc>
        <w:tc>
          <w:tcPr>
            <w:tcW w:w="138" w:type="dxa"/>
            <w:tcBorders/>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2,859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2,921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7,585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8,603</w:t>
            </w:r>
          </w:p>
        </w:tc>
        <w:tc>
          <w:tcPr>
            <w:tcW w:w="138" w:type="dxa"/>
            <w:tcBorders/>
            <w:shd w:fill="CCEEFF" w:val="cle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Total noninterest income</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13,810</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11,165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39,248</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33,955</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b/>
              </w:rPr>
            </w:pPr>
            <w:r>
              <w:rPr>
                <w:b/>
              </w:rPr>
              <w:t>Noninterest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71"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Salaries and employee benefits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22,388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19,413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66,059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58,562</w:t>
            </w:r>
          </w:p>
        </w:tc>
        <w:tc>
          <w:tcPr>
            <w:tcW w:w="138" w:type="dxa"/>
            <w:tcBorders/>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Net occupancy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4,390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4,046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12,673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12,045</w:t>
            </w:r>
          </w:p>
        </w:tc>
        <w:tc>
          <w:tcPr>
            <w:tcW w:w="138" w:type="dxa"/>
            <w:tcBorders/>
            <w:shd w:fill="CCEEFF" w:val="cle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Professional services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1,940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1,293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6,745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4,897</w:t>
            </w:r>
          </w:p>
        </w:tc>
        <w:tc>
          <w:tcPr>
            <w:tcW w:w="138" w:type="dxa"/>
            <w:tcBorders/>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Marketing and development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1,028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979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3,061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471" w:type="dxa"/>
            <w:tcBorders/>
            <w:shd w:fill="CCEEFF" w:val="clear"/>
            <w:vAlign w:val="center"/>
          </w:tcPr>
          <w:p>
            <w:pPr>
              <w:pStyle w:val="TableContents"/>
              <w:bidi w:val="0"/>
              <w:spacing w:before="0" w:after="283"/>
              <w:jc w:val="right"/>
              <w:rPr/>
            </w:pPr>
            <w:r>
              <w:rPr/>
              <w:t>2,803</w:t>
            </w:r>
          </w:p>
        </w:tc>
        <w:tc>
          <w:tcPr>
            <w:tcW w:w="138" w:type="dxa"/>
            <w:tcBorders/>
            <w:shd w:fill="CCEEFF" w:val="cle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8,328</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7,293</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24,926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tcMar>
              <w:bottom w:w="28" w:type="dxa"/>
            </w:tcMar>
            <w:vAlign w:val="center"/>
          </w:tcPr>
          <w:p>
            <w:pPr>
              <w:pStyle w:val="TableContents"/>
              <w:bidi w:val="0"/>
              <w:spacing w:before="0" w:after="283"/>
              <w:jc w:val="right"/>
              <w:rPr/>
            </w:pPr>
            <w:r>
              <w:rPr/>
              <w:t>21,290</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Total noninterest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38,074</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33,024</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113,464</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99,597</w:t>
            </w:r>
          </w:p>
        </w:tc>
        <w:tc>
          <w:tcPr>
            <w:tcW w:w="13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b/>
              </w:rPr>
            </w:pPr>
            <w:r>
              <w:rPr>
                <w:b/>
              </w:rPr>
              <w:t>Income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26,367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20,660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69,006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71" w:type="dxa"/>
            <w:tcBorders/>
            <w:vAlign w:val="center"/>
          </w:tcPr>
          <w:p>
            <w:pPr>
              <w:pStyle w:val="TableContents"/>
              <w:bidi w:val="0"/>
              <w:spacing w:before="0" w:after="283"/>
              <w:jc w:val="right"/>
              <w:rPr/>
            </w:pPr>
            <w:r>
              <w:rPr/>
              <w:t>54,987</w:t>
            </w:r>
          </w:p>
        </w:tc>
        <w:tc>
          <w:tcPr>
            <w:tcW w:w="138" w:type="dxa"/>
            <w:tcBorders/>
            <w:vAlign w:val="center"/>
          </w:tcPr>
          <w:p>
            <w:pPr>
              <w:pStyle w:val="TableContents"/>
              <w:bidi w:val="0"/>
              <w:spacing w:before="0" w:after="283"/>
              <w:jc w:val="left"/>
              <w:rPr/>
            </w:pPr>
            <w:r>
              <w:rPr/>
              <w:t> </w:t>
            </w:r>
          </w:p>
        </w:tc>
      </w:tr>
      <w:tr>
        <w:trPr/>
        <w:tc>
          <w:tcPr>
            <w:tcW w:w="2603"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5,602</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4,342</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14,704</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71" w:type="dxa"/>
            <w:tcBorders>
              <w:bottom w:val="single" w:sz="6" w:space="0" w:color="000000"/>
            </w:tcBorders>
            <w:shd w:fill="CCEEFF" w:val="clear"/>
            <w:tcMar>
              <w:bottom w:w="28" w:type="dxa"/>
            </w:tcMar>
            <w:vAlign w:val="center"/>
          </w:tcPr>
          <w:p>
            <w:pPr>
              <w:pStyle w:val="TableContents"/>
              <w:bidi w:val="0"/>
              <w:spacing w:before="0" w:after="283"/>
              <w:jc w:val="right"/>
              <w:rPr/>
            </w:pPr>
            <w:r>
              <w:rPr/>
              <w:t>11,770</w:t>
            </w:r>
          </w:p>
        </w:tc>
        <w:tc>
          <w:tcPr>
            <w:tcW w:w="13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603" w:type="dxa"/>
            <w:tcBorders/>
            <w:vAlign w:val="center"/>
          </w:tcPr>
          <w:p>
            <w:pPr>
              <w:pStyle w:val="TableContents"/>
              <w:bidi w:val="0"/>
              <w:spacing w:before="0" w:after="283"/>
              <w:jc w:val="left"/>
              <w:rPr>
                <w:b/>
              </w:rPr>
            </w:pPr>
            <w:r>
              <w:rPr>
                <w:b/>
              </w:rPr>
              <w:t>Net income</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471" w:type="dxa"/>
            <w:tcBorders>
              <w:bottom w:val="double" w:sz="6" w:space="0" w:color="000000"/>
            </w:tcBorders>
            <w:tcMar>
              <w:bottom w:w="28" w:type="dxa"/>
            </w:tcMar>
            <w:vAlign w:val="center"/>
          </w:tcPr>
          <w:p>
            <w:pPr>
              <w:pStyle w:val="TableContents"/>
              <w:bidi w:val="0"/>
              <w:spacing w:before="0" w:after="283"/>
              <w:jc w:val="right"/>
              <w:rPr/>
            </w:pPr>
            <w:r>
              <w:rPr/>
              <w:t>20,765</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471" w:type="dxa"/>
            <w:tcBorders>
              <w:bottom w:val="double" w:sz="6" w:space="0" w:color="000000"/>
            </w:tcBorders>
            <w:tcMar>
              <w:bottom w:w="28" w:type="dxa"/>
            </w:tcMar>
            <w:vAlign w:val="center"/>
          </w:tcPr>
          <w:p>
            <w:pPr>
              <w:pStyle w:val="TableContents"/>
              <w:bidi w:val="0"/>
              <w:spacing w:before="0" w:after="283"/>
              <w:jc w:val="right"/>
              <w:rPr/>
            </w:pPr>
            <w:r>
              <w:rPr/>
              <w:t>16,318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471" w:type="dxa"/>
            <w:tcBorders>
              <w:bottom w:val="double" w:sz="6" w:space="0" w:color="000000"/>
            </w:tcBorders>
            <w:tcMar>
              <w:bottom w:w="28" w:type="dxa"/>
            </w:tcMar>
            <w:vAlign w:val="center"/>
          </w:tcPr>
          <w:p>
            <w:pPr>
              <w:pStyle w:val="TableContents"/>
              <w:bidi w:val="0"/>
              <w:spacing w:before="0" w:after="283"/>
              <w:jc w:val="right"/>
              <w:rPr/>
            </w:pPr>
            <w:r>
              <w:rPr/>
              <w:t>54,302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471" w:type="dxa"/>
            <w:tcBorders>
              <w:bottom w:val="double" w:sz="6" w:space="0" w:color="000000"/>
            </w:tcBorders>
            <w:tcMar>
              <w:bottom w:w="28" w:type="dxa"/>
            </w:tcMar>
            <w:vAlign w:val="center"/>
          </w:tcPr>
          <w:p>
            <w:pPr>
              <w:pStyle w:val="TableContents"/>
              <w:bidi w:val="0"/>
              <w:spacing w:before="0" w:after="283"/>
              <w:jc w:val="right"/>
              <w:rPr/>
            </w:pPr>
            <w:r>
              <w:rPr/>
              <w:t>43,217</w:t>
            </w:r>
          </w:p>
        </w:tc>
        <w:tc>
          <w:tcPr>
            <w:tcW w:w="138"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xml:space="preserve">  </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Loan and Deposit Composition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3205"/>
        <w:gridCol w:w="90"/>
        <w:gridCol w:w="170"/>
        <w:gridCol w:w="1928"/>
        <w:gridCol w:w="90"/>
        <w:gridCol w:w="90"/>
        <w:gridCol w:w="90"/>
        <w:gridCol w:w="170"/>
        <w:gridCol w:w="1868"/>
        <w:gridCol w:w="90"/>
        <w:gridCol w:w="90"/>
        <w:gridCol w:w="90"/>
        <w:gridCol w:w="170"/>
        <w:gridCol w:w="1928"/>
        <w:gridCol w:w="136"/>
      </w:tblGrid>
      <w:tr>
        <w:trPr/>
        <w:tc>
          <w:tcPr>
            <w:tcW w:w="3205" w:type="dxa"/>
            <w:tcBorders/>
            <w:vAlign w:val="center"/>
          </w:tcPr>
          <w:p>
            <w:pPr>
              <w:pStyle w:val="TableContents"/>
              <w:bidi w:val="0"/>
              <w:spacing w:before="0" w:after="283"/>
              <w:jc w:val="left"/>
              <w:rPr/>
            </w:pPr>
            <w:r>
              <w:rPr/>
              <w:t> </w:t>
            </w:r>
          </w:p>
        </w:tc>
        <w:tc>
          <w:tcPr>
            <w:tcW w:w="7000" w:type="dxa"/>
            <w:gridSpan w:val="14"/>
            <w:tcBorders>
              <w:bottom w:val="single" w:sz="6" w:space="0" w:color="000000"/>
            </w:tcBorders>
            <w:tcMar>
              <w:bottom w:w="28" w:type="dxa"/>
            </w:tcMar>
            <w:vAlign w:val="center"/>
          </w:tcPr>
          <w:p>
            <w:pPr>
              <w:pStyle w:val="TableContents"/>
              <w:bidi w:val="0"/>
              <w:spacing w:before="0" w:after="283"/>
              <w:jc w:val="center"/>
              <w:rPr>
                <w:b/>
              </w:rPr>
            </w:pPr>
            <w:r>
              <w:rPr>
                <w:b/>
              </w:rPr>
              <w:t>As of</w:t>
            </w:r>
          </w:p>
        </w:tc>
      </w:tr>
      <w:tr>
        <w:trPr/>
        <w:tc>
          <w:tcPr>
            <w:tcW w:w="3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28" w:type="dxa"/>
            <w:tcBorders>
              <w:bottom w:val="single" w:sz="6" w:space="0" w:color="000000"/>
            </w:tcBorders>
            <w:tcMar>
              <w:bottom w:w="28" w:type="dxa"/>
            </w:tcMar>
            <w:vAlign w:val="center"/>
          </w:tcPr>
          <w:p>
            <w:pPr>
              <w:pStyle w:val="TableContents"/>
              <w:bidi w:val="0"/>
              <w:spacing w:before="0" w:after="283"/>
              <w:jc w:val="center"/>
              <w:rPr>
                <w:b/>
              </w:rPr>
            </w:pPr>
            <w:r>
              <w:rPr>
                <w:b/>
              </w:rPr>
              <w:t>September 30,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68"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28" w:type="dxa"/>
            <w:tcBorders>
              <w:bottom w:val="single" w:sz="6" w:space="0" w:color="000000"/>
            </w:tcBorders>
            <w:tcMar>
              <w:bottom w:w="28" w:type="dxa"/>
            </w:tcMar>
            <w:vAlign w:val="center"/>
          </w:tcPr>
          <w:p>
            <w:pPr>
              <w:pStyle w:val="TableContents"/>
              <w:bidi w:val="0"/>
              <w:spacing w:before="0" w:after="283"/>
              <w:jc w:val="center"/>
              <w:rPr>
                <w:b/>
              </w:rPr>
            </w:pPr>
            <w:r>
              <w:rPr>
                <w:b/>
              </w:rPr>
              <w:t>September 30, 2025</w:t>
            </w:r>
          </w:p>
        </w:tc>
        <w:tc>
          <w:tcPr>
            <w:tcW w:w="136" w:type="dxa"/>
            <w:tcBorders/>
            <w:vAlign w:val="center"/>
          </w:tcPr>
          <w:p>
            <w:pPr>
              <w:pStyle w:val="TableContents"/>
              <w:bidi w:val="0"/>
              <w:spacing w:before="0" w:after="283"/>
              <w:jc w:val="left"/>
              <w:rPr/>
            </w:pPr>
            <w:r>
              <w:rPr/>
              <w:t> </w:t>
            </w:r>
          </w:p>
        </w:tc>
      </w:tr>
      <w:tr>
        <w:trPr/>
        <w:tc>
          <w:tcPr>
            <w:tcW w:w="3205" w:type="dxa"/>
            <w:tcBorders/>
            <w:vAlign w:val="center"/>
          </w:tcPr>
          <w:p>
            <w:pPr>
              <w:pStyle w:val="TableContents"/>
              <w:bidi w:val="0"/>
              <w:spacing w:before="0" w:after="283"/>
              <w:jc w:val="left"/>
              <w:rPr>
                <w:b/>
              </w:rPr>
            </w:pPr>
            <w:r>
              <w:rPr>
                <w:b/>
              </w:rPr>
              <w:t>Loans: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283"/>
              <w:jc w:val="left"/>
              <w:rPr/>
            </w:pPr>
            <w:r>
              <w:rPr/>
              <w:t>Commercial Real Estate</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928" w:type="dxa"/>
            <w:tcBorders/>
            <w:shd w:fill="CCEEFF" w:val="clear"/>
            <w:vAlign w:val="center"/>
          </w:tcPr>
          <w:p>
            <w:pPr>
              <w:pStyle w:val="TableContents"/>
              <w:bidi w:val="0"/>
              <w:spacing w:before="0" w:after="283"/>
              <w:jc w:val="right"/>
              <w:rPr/>
            </w:pPr>
            <w:r>
              <w:rPr/>
              <w:t>1,364,396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868" w:type="dxa"/>
            <w:tcBorders/>
            <w:shd w:fill="CCEEFF" w:val="clear"/>
            <w:vAlign w:val="center"/>
          </w:tcPr>
          <w:p>
            <w:pPr>
              <w:pStyle w:val="TableContents"/>
              <w:bidi w:val="0"/>
              <w:spacing w:before="0" w:after="283"/>
              <w:jc w:val="right"/>
              <w:rPr/>
            </w:pPr>
            <w:r>
              <w:rPr/>
              <w:t>1,064,625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928" w:type="dxa"/>
            <w:tcBorders/>
            <w:shd w:fill="CCEEFF" w:val="clear"/>
            <w:vAlign w:val="center"/>
          </w:tcPr>
          <w:p>
            <w:pPr>
              <w:pStyle w:val="TableContents"/>
              <w:bidi w:val="0"/>
              <w:spacing w:before="0" w:after="283"/>
              <w:jc w:val="right"/>
              <w:rPr/>
            </w:pPr>
            <w:r>
              <w:rPr/>
              <w:t>1,035,926</w:t>
            </w:r>
          </w:p>
        </w:tc>
        <w:tc>
          <w:tcPr>
            <w:tcW w:w="136" w:type="dxa"/>
            <w:tcBorders/>
            <w:shd w:fill="CCEEFF" w:val="clear"/>
            <w:vAlign w:val="center"/>
          </w:tcPr>
          <w:p>
            <w:pPr>
              <w:pStyle w:val="TableContents"/>
              <w:bidi w:val="0"/>
              <w:spacing w:before="0" w:after="283"/>
              <w:jc w:val="left"/>
              <w:rPr/>
            </w:pPr>
            <w:r>
              <w:rPr/>
              <w:t> </w:t>
            </w:r>
          </w:p>
        </w:tc>
      </w:tr>
      <w:tr>
        <w:trPr/>
        <w:tc>
          <w:tcPr>
            <w:tcW w:w="3205" w:type="dxa"/>
            <w:tcBorders/>
            <w:vAlign w:val="center"/>
          </w:tcPr>
          <w:p>
            <w:pPr>
              <w:pStyle w:val="TableContents"/>
              <w:bidi w:val="0"/>
              <w:spacing w:before="0" w:after="283"/>
              <w:jc w:val="left"/>
              <w:rPr/>
            </w:pPr>
            <w:r>
              <w:rPr/>
              <w:t>Commercial - Specialized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8" w:type="dxa"/>
            <w:tcBorders/>
            <w:vAlign w:val="center"/>
          </w:tcPr>
          <w:p>
            <w:pPr>
              <w:pStyle w:val="TableContents"/>
              <w:bidi w:val="0"/>
              <w:spacing w:before="0" w:after="283"/>
              <w:jc w:val="right"/>
              <w:rPr/>
            </w:pPr>
            <w:r>
              <w:rPr/>
              <w:t>435,051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868" w:type="dxa"/>
            <w:tcBorders/>
            <w:vAlign w:val="center"/>
          </w:tcPr>
          <w:p>
            <w:pPr>
              <w:pStyle w:val="TableContents"/>
              <w:bidi w:val="0"/>
              <w:spacing w:before="0" w:after="283"/>
              <w:jc w:val="right"/>
              <w:rPr/>
            </w:pPr>
            <w:r>
              <w:rPr/>
              <w:t>409,351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8" w:type="dxa"/>
            <w:tcBorders/>
            <w:vAlign w:val="center"/>
          </w:tcPr>
          <w:p>
            <w:pPr>
              <w:pStyle w:val="TableContents"/>
              <w:bidi w:val="0"/>
              <w:spacing w:before="0" w:after="283"/>
              <w:jc w:val="right"/>
              <w:rPr/>
            </w:pPr>
            <w:r>
              <w:rPr/>
              <w:t>377,783</w:t>
            </w:r>
          </w:p>
        </w:tc>
        <w:tc>
          <w:tcPr>
            <w:tcW w:w="136" w:type="dxa"/>
            <w:tcBorders/>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283"/>
              <w:jc w:val="left"/>
              <w:rPr/>
            </w:pPr>
            <w:r>
              <w:rPr/>
              <w:t>Commercial - General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8" w:type="dxa"/>
            <w:tcBorders/>
            <w:shd w:fill="CCEEFF" w:val="clear"/>
            <w:vAlign w:val="center"/>
          </w:tcPr>
          <w:p>
            <w:pPr>
              <w:pStyle w:val="TableContents"/>
              <w:bidi w:val="0"/>
              <w:spacing w:before="0" w:after="283"/>
              <w:jc w:val="right"/>
              <w:rPr/>
            </w:pPr>
            <w:r>
              <w:rPr/>
              <w:t>835,328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868" w:type="dxa"/>
            <w:tcBorders/>
            <w:shd w:fill="CCEEFF" w:val="clear"/>
            <w:vAlign w:val="center"/>
          </w:tcPr>
          <w:p>
            <w:pPr>
              <w:pStyle w:val="TableContents"/>
              <w:bidi w:val="0"/>
              <w:spacing w:before="0" w:after="283"/>
              <w:jc w:val="right"/>
              <w:rPr/>
            </w:pPr>
            <w:r>
              <w:rPr/>
              <w:t>659,323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8" w:type="dxa"/>
            <w:tcBorders/>
            <w:shd w:fill="CCEEFF" w:val="clear"/>
            <w:vAlign w:val="center"/>
          </w:tcPr>
          <w:p>
            <w:pPr>
              <w:pStyle w:val="TableContents"/>
              <w:bidi w:val="0"/>
              <w:spacing w:before="0" w:after="283"/>
              <w:jc w:val="right"/>
              <w:rPr/>
            </w:pPr>
            <w:r>
              <w:rPr/>
              <w:t>629,256</w:t>
            </w:r>
          </w:p>
        </w:tc>
        <w:tc>
          <w:tcPr>
            <w:tcW w:w="136" w:type="dxa"/>
            <w:tcBorders/>
            <w:shd w:fill="CCEEFF" w:val="clear"/>
            <w:vAlign w:val="center"/>
          </w:tcPr>
          <w:p>
            <w:pPr>
              <w:pStyle w:val="TableContents"/>
              <w:bidi w:val="0"/>
              <w:spacing w:before="0" w:after="283"/>
              <w:jc w:val="left"/>
              <w:rPr/>
            </w:pPr>
            <w:r>
              <w:rPr/>
              <w:t> </w:t>
            </w:r>
          </w:p>
        </w:tc>
      </w:tr>
      <w:tr>
        <w:trPr/>
        <w:tc>
          <w:tcPr>
            <w:tcW w:w="3205" w:type="dxa"/>
            <w:tcBorders/>
            <w:vAlign w:val="center"/>
          </w:tcPr>
          <w:p>
            <w:pPr>
              <w:pStyle w:val="TableContents"/>
              <w:bidi w:val="0"/>
              <w:spacing w:before="0" w:after="283"/>
              <w:jc w:val="left"/>
              <w:rPr/>
            </w:pPr>
            <w:r>
              <w:rPr/>
              <w:t>Consumer: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283"/>
              <w:jc w:val="left"/>
              <w:rPr/>
            </w:pPr>
            <w:r>
              <w:rPr/>
              <w:t>1-4 Family Residential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8" w:type="dxa"/>
            <w:tcBorders/>
            <w:shd w:fill="CCEEFF" w:val="clear"/>
            <w:vAlign w:val="center"/>
          </w:tcPr>
          <w:p>
            <w:pPr>
              <w:pStyle w:val="TableContents"/>
              <w:bidi w:val="0"/>
              <w:spacing w:before="0" w:after="283"/>
              <w:jc w:val="right"/>
              <w:rPr/>
            </w:pPr>
            <w:r>
              <w:rPr/>
              <w:t>711,700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868" w:type="dxa"/>
            <w:tcBorders/>
            <w:shd w:fill="CCEEFF" w:val="clear"/>
            <w:vAlign w:val="center"/>
          </w:tcPr>
          <w:p>
            <w:pPr>
              <w:pStyle w:val="TableContents"/>
              <w:bidi w:val="0"/>
              <w:spacing w:before="0" w:after="283"/>
              <w:jc w:val="right"/>
              <w:rPr/>
            </w:pPr>
            <w:r>
              <w:rPr/>
              <w:t>589,851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8" w:type="dxa"/>
            <w:tcBorders/>
            <w:shd w:fill="CCEEFF" w:val="clear"/>
            <w:vAlign w:val="center"/>
          </w:tcPr>
          <w:p>
            <w:pPr>
              <w:pStyle w:val="TableContents"/>
              <w:bidi w:val="0"/>
              <w:spacing w:before="0" w:after="283"/>
              <w:jc w:val="right"/>
              <w:rPr/>
            </w:pPr>
            <w:r>
              <w:rPr/>
              <w:t>592,578</w:t>
            </w:r>
          </w:p>
        </w:tc>
        <w:tc>
          <w:tcPr>
            <w:tcW w:w="136" w:type="dxa"/>
            <w:tcBorders/>
            <w:shd w:fill="CCEEFF" w:val="clear"/>
            <w:vAlign w:val="center"/>
          </w:tcPr>
          <w:p>
            <w:pPr>
              <w:pStyle w:val="TableContents"/>
              <w:bidi w:val="0"/>
              <w:spacing w:before="0" w:after="283"/>
              <w:jc w:val="left"/>
              <w:rPr/>
            </w:pPr>
            <w:r>
              <w:rPr/>
              <w:t> </w:t>
            </w:r>
          </w:p>
        </w:tc>
      </w:tr>
      <w:tr>
        <w:trPr/>
        <w:tc>
          <w:tcPr>
            <w:tcW w:w="3205" w:type="dxa"/>
            <w:tcBorders/>
            <w:vAlign w:val="center"/>
          </w:tcPr>
          <w:p>
            <w:pPr>
              <w:pStyle w:val="TableContents"/>
              <w:bidi w:val="0"/>
              <w:spacing w:before="0" w:after="283"/>
              <w:jc w:val="left"/>
              <w:rPr/>
            </w:pPr>
            <w:r>
              <w:rPr/>
              <w:t>Auto Loans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8" w:type="dxa"/>
            <w:tcBorders/>
            <w:vAlign w:val="center"/>
          </w:tcPr>
          <w:p>
            <w:pPr>
              <w:pStyle w:val="TableContents"/>
              <w:bidi w:val="0"/>
              <w:spacing w:before="0" w:after="283"/>
              <w:jc w:val="right"/>
              <w:rPr/>
            </w:pPr>
            <w:r>
              <w:rPr/>
              <w:t>270,688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868" w:type="dxa"/>
            <w:tcBorders/>
            <w:vAlign w:val="center"/>
          </w:tcPr>
          <w:p>
            <w:pPr>
              <w:pStyle w:val="TableContents"/>
              <w:bidi w:val="0"/>
              <w:spacing w:before="0" w:after="283"/>
              <w:jc w:val="right"/>
              <w:rPr/>
            </w:pPr>
            <w:r>
              <w:rPr/>
              <w:t>259,157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8" w:type="dxa"/>
            <w:tcBorders/>
            <w:vAlign w:val="center"/>
          </w:tcPr>
          <w:p>
            <w:pPr>
              <w:pStyle w:val="TableContents"/>
              <w:bidi w:val="0"/>
              <w:spacing w:before="0" w:after="283"/>
              <w:jc w:val="right"/>
              <w:rPr/>
            </w:pPr>
            <w:r>
              <w:rPr/>
              <w:t>256,281</w:t>
            </w:r>
          </w:p>
        </w:tc>
        <w:tc>
          <w:tcPr>
            <w:tcW w:w="136" w:type="dxa"/>
            <w:tcBorders/>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283"/>
              <w:jc w:val="left"/>
              <w:rPr/>
            </w:pPr>
            <w:r>
              <w:rPr/>
              <w:t>Other Consumer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8" w:type="dxa"/>
            <w:tcBorders/>
            <w:shd w:fill="CCEEFF" w:val="clear"/>
            <w:vAlign w:val="center"/>
          </w:tcPr>
          <w:p>
            <w:pPr>
              <w:pStyle w:val="TableContents"/>
              <w:bidi w:val="0"/>
              <w:spacing w:before="0" w:after="283"/>
              <w:jc w:val="right"/>
              <w:rPr/>
            </w:pPr>
            <w:r>
              <w:rPr/>
              <w:t>60,262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868" w:type="dxa"/>
            <w:tcBorders/>
            <w:shd w:fill="CCEEFF" w:val="clear"/>
            <w:vAlign w:val="center"/>
          </w:tcPr>
          <w:p>
            <w:pPr>
              <w:pStyle w:val="TableContents"/>
              <w:bidi w:val="0"/>
              <w:spacing w:before="0" w:after="283"/>
              <w:jc w:val="right"/>
              <w:rPr/>
            </w:pPr>
            <w:r>
              <w:rPr/>
              <w:t>62,092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8" w:type="dxa"/>
            <w:tcBorders/>
            <w:shd w:fill="CCEEFF" w:val="clear"/>
            <w:vAlign w:val="center"/>
          </w:tcPr>
          <w:p>
            <w:pPr>
              <w:pStyle w:val="TableContents"/>
              <w:bidi w:val="0"/>
              <w:spacing w:before="0" w:after="283"/>
              <w:jc w:val="right"/>
              <w:rPr/>
            </w:pPr>
            <w:r>
              <w:rPr/>
              <w:t>63,727</w:t>
            </w:r>
          </w:p>
        </w:tc>
        <w:tc>
          <w:tcPr>
            <w:tcW w:w="136" w:type="dxa"/>
            <w:tcBorders/>
            <w:shd w:fill="CCEEFF" w:val="clear"/>
            <w:vAlign w:val="center"/>
          </w:tcPr>
          <w:p>
            <w:pPr>
              <w:pStyle w:val="TableContents"/>
              <w:bidi w:val="0"/>
              <w:spacing w:before="0" w:after="283"/>
              <w:jc w:val="left"/>
              <w:rPr/>
            </w:pPr>
            <w:r>
              <w:rPr/>
              <w:t> </w:t>
            </w:r>
          </w:p>
        </w:tc>
      </w:tr>
      <w:tr>
        <w:trPr/>
        <w:tc>
          <w:tcPr>
            <w:tcW w:w="3205" w:type="dxa"/>
            <w:tcBorders/>
            <w:vAlign w:val="center"/>
          </w:tcPr>
          <w:p>
            <w:pPr>
              <w:pStyle w:val="TableContents"/>
              <w:bidi w:val="0"/>
              <w:spacing w:before="0" w:after="283"/>
              <w:jc w:val="left"/>
              <w:rPr/>
            </w:pPr>
            <w:r>
              <w:rPr/>
              <w:t>Construction</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28" w:type="dxa"/>
            <w:tcBorders>
              <w:bottom w:val="single" w:sz="6" w:space="0" w:color="000000"/>
            </w:tcBorders>
            <w:tcMar>
              <w:bottom w:w="28" w:type="dxa"/>
            </w:tcMar>
            <w:vAlign w:val="center"/>
          </w:tcPr>
          <w:p>
            <w:pPr>
              <w:pStyle w:val="TableContents"/>
              <w:bidi w:val="0"/>
              <w:spacing w:before="0" w:after="283"/>
              <w:jc w:val="right"/>
              <w:rPr/>
            </w:pPr>
            <w:r>
              <w:rPr/>
              <w:t>153,713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868" w:type="dxa"/>
            <w:tcBorders>
              <w:bottom w:val="single" w:sz="6" w:space="0" w:color="000000"/>
            </w:tcBorders>
            <w:tcMar>
              <w:bottom w:w="28" w:type="dxa"/>
            </w:tcMar>
            <w:vAlign w:val="center"/>
          </w:tcPr>
          <w:p>
            <w:pPr>
              <w:pStyle w:val="TableContents"/>
              <w:bidi w:val="0"/>
              <w:spacing w:before="0" w:after="283"/>
              <w:jc w:val="right"/>
              <w:rPr/>
            </w:pPr>
            <w:r>
              <w:rPr/>
              <w:t>100,103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28" w:type="dxa"/>
            <w:tcBorders>
              <w:bottom w:val="single" w:sz="6" w:space="0" w:color="000000"/>
            </w:tcBorders>
            <w:tcMar>
              <w:bottom w:w="28" w:type="dxa"/>
            </w:tcMar>
            <w:vAlign w:val="center"/>
          </w:tcPr>
          <w:p>
            <w:pPr>
              <w:pStyle w:val="TableContents"/>
              <w:bidi w:val="0"/>
              <w:spacing w:before="0" w:after="283"/>
              <w:jc w:val="right"/>
              <w:rPr/>
            </w:pPr>
            <w:r>
              <w:rPr/>
              <w:t>97,952</w:t>
            </w:r>
          </w:p>
        </w:tc>
        <w:tc>
          <w:tcPr>
            <w:tcW w:w="136" w:type="dxa"/>
            <w:tcBorders/>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283"/>
              <w:jc w:val="left"/>
              <w:rPr>
                <w:b/>
              </w:rPr>
            </w:pPr>
            <w:r>
              <w:rPr>
                <w:b/>
              </w:rPr>
              <w:t>Total loans held for investment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928" w:type="dxa"/>
            <w:tcBorders>
              <w:bottom w:val="double" w:sz="6" w:space="0" w:color="000000"/>
            </w:tcBorders>
            <w:shd w:fill="CCEEFF" w:val="clear"/>
            <w:tcMar>
              <w:bottom w:w="28" w:type="dxa"/>
            </w:tcMar>
            <w:vAlign w:val="center"/>
          </w:tcPr>
          <w:p>
            <w:pPr>
              <w:pStyle w:val="TableContents"/>
              <w:bidi w:val="0"/>
              <w:spacing w:before="0" w:after="283"/>
              <w:jc w:val="right"/>
              <w:rPr/>
            </w:pPr>
            <w:r>
              <w:rPr/>
              <w:t>3,831,138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868" w:type="dxa"/>
            <w:tcBorders>
              <w:bottom w:val="double" w:sz="6" w:space="0" w:color="000000"/>
            </w:tcBorders>
            <w:shd w:fill="CCEEFF" w:val="clear"/>
            <w:tcMar>
              <w:bottom w:w="28" w:type="dxa"/>
            </w:tcMar>
            <w:vAlign w:val="center"/>
          </w:tcPr>
          <w:p>
            <w:pPr>
              <w:pStyle w:val="TableContents"/>
              <w:bidi w:val="0"/>
              <w:spacing w:before="0" w:after="283"/>
              <w:jc w:val="right"/>
              <w:rPr/>
            </w:pPr>
            <w:r>
              <w:rPr/>
              <w:t>3,144,502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928" w:type="dxa"/>
            <w:tcBorders>
              <w:bottom w:val="double" w:sz="6" w:space="0" w:color="000000"/>
            </w:tcBorders>
            <w:shd w:fill="CCEEFF" w:val="clear"/>
            <w:tcMar>
              <w:bottom w:w="28" w:type="dxa"/>
            </w:tcMar>
            <w:vAlign w:val="center"/>
          </w:tcPr>
          <w:p>
            <w:pPr>
              <w:pStyle w:val="TableContents"/>
              <w:bidi w:val="0"/>
              <w:spacing w:before="0" w:after="283"/>
              <w:jc w:val="right"/>
              <w:rPr/>
            </w:pPr>
            <w:r>
              <w:rPr/>
              <w:t>3,053,503</w:t>
            </w:r>
          </w:p>
        </w:tc>
        <w:tc>
          <w:tcPr>
            <w:tcW w:w="136" w:type="dxa"/>
            <w:tcBorders/>
            <w:shd w:fill="CCEEFF" w:val="clear"/>
            <w:vAlign w:val="center"/>
          </w:tcPr>
          <w:p>
            <w:pPr>
              <w:pStyle w:val="TableContents"/>
              <w:bidi w:val="0"/>
              <w:spacing w:before="0" w:after="283"/>
              <w:jc w:val="left"/>
              <w:rPr/>
            </w:pPr>
            <w:r>
              <w:rPr/>
              <w:t> </w:t>
            </w:r>
          </w:p>
        </w:tc>
      </w:tr>
      <w:tr>
        <w:trPr/>
        <w:tc>
          <w:tcPr>
            <w:tcW w:w="3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2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3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283"/>
              <w:jc w:val="left"/>
              <w:rPr>
                <w:b/>
              </w:rPr>
            </w:pPr>
            <w:r>
              <w:rPr>
                <w:b/>
              </w:rPr>
              <w:t>Deposits: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2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2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3205" w:type="dxa"/>
            <w:tcBorders/>
            <w:vAlign w:val="center"/>
          </w:tcPr>
          <w:p>
            <w:pPr>
              <w:pStyle w:val="TableContents"/>
              <w:bidi w:val="0"/>
              <w:spacing w:before="0" w:after="283"/>
              <w:jc w:val="left"/>
              <w:rPr/>
            </w:pPr>
            <w:r>
              <w:rPr/>
              <w:t>Noninterest-bearing deposits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928" w:type="dxa"/>
            <w:tcBorders/>
            <w:vAlign w:val="center"/>
          </w:tcPr>
          <w:p>
            <w:pPr>
              <w:pStyle w:val="TableContents"/>
              <w:bidi w:val="0"/>
              <w:spacing w:before="0" w:after="283"/>
              <w:jc w:val="right"/>
              <w:rPr/>
            </w:pPr>
            <w:r>
              <w:rPr/>
              <w:t>1,179,107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868" w:type="dxa"/>
            <w:tcBorders/>
            <w:vAlign w:val="center"/>
          </w:tcPr>
          <w:p>
            <w:pPr>
              <w:pStyle w:val="TableContents"/>
              <w:bidi w:val="0"/>
              <w:spacing w:before="0" w:after="283"/>
              <w:jc w:val="right"/>
              <w:rPr/>
            </w:pPr>
            <w:r>
              <w:rPr/>
              <w:t>1,023,517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928" w:type="dxa"/>
            <w:tcBorders/>
            <w:vAlign w:val="center"/>
          </w:tcPr>
          <w:p>
            <w:pPr>
              <w:pStyle w:val="TableContents"/>
              <w:bidi w:val="0"/>
              <w:spacing w:before="0" w:after="283"/>
              <w:jc w:val="right"/>
              <w:rPr/>
            </w:pPr>
            <w:r>
              <w:rPr/>
              <w:t>1,049,501</w:t>
            </w:r>
          </w:p>
        </w:tc>
        <w:tc>
          <w:tcPr>
            <w:tcW w:w="136" w:type="dxa"/>
            <w:tcBorders/>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283"/>
              <w:jc w:val="left"/>
              <w:rPr/>
            </w:pPr>
            <w:r>
              <w:rPr/>
              <w:t>NOW &amp; other transaction accounts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8" w:type="dxa"/>
            <w:tcBorders/>
            <w:shd w:fill="CCEEFF" w:val="clear"/>
            <w:vAlign w:val="center"/>
          </w:tcPr>
          <w:p>
            <w:pPr>
              <w:pStyle w:val="TableContents"/>
              <w:bidi w:val="0"/>
              <w:spacing w:before="0" w:after="283"/>
              <w:jc w:val="right"/>
              <w:rPr/>
            </w:pPr>
            <w:r>
              <w:rPr/>
              <w:t>1,453,376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868" w:type="dxa"/>
            <w:tcBorders/>
            <w:shd w:fill="CCEEFF" w:val="clear"/>
            <w:vAlign w:val="center"/>
          </w:tcPr>
          <w:p>
            <w:pPr>
              <w:pStyle w:val="TableContents"/>
              <w:bidi w:val="0"/>
              <w:spacing w:before="0" w:after="283"/>
              <w:jc w:val="right"/>
              <w:rPr/>
            </w:pPr>
            <w:r>
              <w:rPr/>
              <w:t>1,307,596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928" w:type="dxa"/>
            <w:tcBorders/>
            <w:shd w:fill="CCEEFF" w:val="clear"/>
            <w:vAlign w:val="center"/>
          </w:tcPr>
          <w:p>
            <w:pPr>
              <w:pStyle w:val="TableContents"/>
              <w:bidi w:val="0"/>
              <w:spacing w:before="0" w:after="283"/>
              <w:jc w:val="right"/>
              <w:rPr/>
            </w:pPr>
            <w:r>
              <w:rPr/>
              <w:t>1,291,756</w:t>
            </w:r>
          </w:p>
        </w:tc>
        <w:tc>
          <w:tcPr>
            <w:tcW w:w="136" w:type="dxa"/>
            <w:tcBorders/>
            <w:shd w:fill="CCEEFF" w:val="clear"/>
            <w:vAlign w:val="center"/>
          </w:tcPr>
          <w:p>
            <w:pPr>
              <w:pStyle w:val="TableContents"/>
              <w:bidi w:val="0"/>
              <w:spacing w:before="0" w:after="283"/>
              <w:jc w:val="left"/>
              <w:rPr/>
            </w:pPr>
            <w:r>
              <w:rPr/>
              <w:t> </w:t>
            </w:r>
          </w:p>
        </w:tc>
      </w:tr>
      <w:tr>
        <w:trPr/>
        <w:tc>
          <w:tcPr>
            <w:tcW w:w="3205" w:type="dxa"/>
            <w:tcBorders/>
            <w:vAlign w:val="center"/>
          </w:tcPr>
          <w:p>
            <w:pPr>
              <w:pStyle w:val="TableContents"/>
              <w:bidi w:val="0"/>
              <w:spacing w:before="0" w:after="283"/>
              <w:jc w:val="left"/>
              <w:rPr/>
            </w:pPr>
            <w:r>
              <w:rPr/>
              <w:t>MMDA &amp; other savings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8" w:type="dxa"/>
            <w:tcBorders/>
            <w:vAlign w:val="center"/>
          </w:tcPr>
          <w:p>
            <w:pPr>
              <w:pStyle w:val="TableContents"/>
              <w:bidi w:val="0"/>
              <w:spacing w:before="0" w:after="283"/>
              <w:jc w:val="right"/>
              <w:rPr/>
            </w:pPr>
            <w:r>
              <w:rPr/>
              <w:t>1,462,222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868" w:type="dxa"/>
            <w:tcBorders/>
            <w:vAlign w:val="center"/>
          </w:tcPr>
          <w:p>
            <w:pPr>
              <w:pStyle w:val="TableContents"/>
              <w:bidi w:val="0"/>
              <w:spacing w:before="0" w:after="283"/>
              <w:jc w:val="right"/>
              <w:rPr/>
            </w:pPr>
            <w:r>
              <w:rPr/>
              <w:t>1,111,529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928" w:type="dxa"/>
            <w:tcBorders/>
            <w:vAlign w:val="center"/>
          </w:tcPr>
          <w:p>
            <w:pPr>
              <w:pStyle w:val="TableContents"/>
              <w:bidi w:val="0"/>
              <w:spacing w:before="0" w:after="283"/>
              <w:jc w:val="right"/>
              <w:rPr/>
            </w:pPr>
            <w:r>
              <w:rPr/>
              <w:t>1,114,945</w:t>
            </w:r>
          </w:p>
        </w:tc>
        <w:tc>
          <w:tcPr>
            <w:tcW w:w="136" w:type="dxa"/>
            <w:tcBorders/>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283"/>
              <w:jc w:val="left"/>
              <w:rPr/>
            </w:pPr>
            <w:r>
              <w:rPr/>
              <w:t>Time deposits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928" w:type="dxa"/>
            <w:tcBorders>
              <w:bottom w:val="single" w:sz="6" w:space="0" w:color="000000"/>
            </w:tcBorders>
            <w:shd w:fill="CCEEFF" w:val="clear"/>
            <w:tcMar>
              <w:bottom w:w="28" w:type="dxa"/>
            </w:tcMar>
            <w:vAlign w:val="center"/>
          </w:tcPr>
          <w:p>
            <w:pPr>
              <w:pStyle w:val="TableContents"/>
              <w:bidi w:val="0"/>
              <w:spacing w:before="0" w:after="283"/>
              <w:jc w:val="right"/>
              <w:rPr/>
            </w:pPr>
            <w:r>
              <w:rPr/>
              <w:t>565,986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868" w:type="dxa"/>
            <w:tcBorders>
              <w:bottom w:val="single" w:sz="6" w:space="0" w:color="000000"/>
            </w:tcBorders>
            <w:shd w:fill="CCEEFF" w:val="clear"/>
            <w:tcMar>
              <w:bottom w:w="28" w:type="dxa"/>
            </w:tcMar>
            <w:vAlign w:val="center"/>
          </w:tcPr>
          <w:p>
            <w:pPr>
              <w:pStyle w:val="TableContents"/>
              <w:bidi w:val="0"/>
              <w:spacing w:before="0" w:after="283"/>
              <w:jc w:val="right"/>
              <w:rPr/>
            </w:pPr>
            <w:r>
              <w:rPr/>
              <w:t>431,435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928" w:type="dxa"/>
            <w:tcBorders>
              <w:bottom w:val="single" w:sz="6" w:space="0" w:color="000000"/>
            </w:tcBorders>
            <w:shd w:fill="CCEEFF" w:val="clear"/>
            <w:tcMar>
              <w:bottom w:w="28" w:type="dxa"/>
            </w:tcMar>
            <w:vAlign w:val="center"/>
          </w:tcPr>
          <w:p>
            <w:pPr>
              <w:pStyle w:val="TableContents"/>
              <w:bidi w:val="0"/>
              <w:spacing w:before="0" w:after="283"/>
              <w:jc w:val="right"/>
              <w:rPr/>
            </w:pPr>
            <w:r>
              <w:rPr/>
              <w:t>424,941</w:t>
            </w:r>
          </w:p>
        </w:tc>
        <w:tc>
          <w:tcPr>
            <w:tcW w:w="136" w:type="dxa"/>
            <w:tcBorders/>
            <w:shd w:fill="CCEEFF" w:val="clear"/>
            <w:vAlign w:val="center"/>
          </w:tcPr>
          <w:p>
            <w:pPr>
              <w:pStyle w:val="TableContents"/>
              <w:bidi w:val="0"/>
              <w:spacing w:before="0" w:after="283"/>
              <w:jc w:val="left"/>
              <w:rPr/>
            </w:pPr>
            <w:r>
              <w:rPr/>
              <w:t> </w:t>
            </w:r>
          </w:p>
        </w:tc>
      </w:tr>
      <w:tr>
        <w:trPr/>
        <w:tc>
          <w:tcPr>
            <w:tcW w:w="3205" w:type="dxa"/>
            <w:tcBorders/>
            <w:vAlign w:val="center"/>
          </w:tcPr>
          <w:p>
            <w:pPr>
              <w:pStyle w:val="TableContents"/>
              <w:bidi w:val="0"/>
              <w:spacing w:before="0" w:after="283"/>
              <w:jc w:val="left"/>
              <w:rPr>
                <w:b/>
              </w:rPr>
            </w:pPr>
            <w:r>
              <w:rPr>
                <w:b/>
              </w:rPr>
              <w:t>Total deposits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928" w:type="dxa"/>
            <w:tcBorders>
              <w:bottom w:val="double" w:sz="6" w:space="0" w:color="000000"/>
            </w:tcBorders>
            <w:tcMar>
              <w:bottom w:w="28" w:type="dxa"/>
            </w:tcMar>
            <w:vAlign w:val="center"/>
          </w:tcPr>
          <w:p>
            <w:pPr>
              <w:pStyle w:val="TableContents"/>
              <w:bidi w:val="0"/>
              <w:spacing w:before="0" w:after="283"/>
              <w:jc w:val="right"/>
              <w:rPr/>
            </w:pPr>
            <w:r>
              <w:rPr/>
              <w:t>4,660,691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868" w:type="dxa"/>
            <w:tcBorders>
              <w:bottom w:val="double" w:sz="6" w:space="0" w:color="000000"/>
            </w:tcBorders>
            <w:tcMar>
              <w:bottom w:w="28" w:type="dxa"/>
            </w:tcMar>
            <w:vAlign w:val="center"/>
          </w:tcPr>
          <w:p>
            <w:pPr>
              <w:pStyle w:val="TableContents"/>
              <w:bidi w:val="0"/>
              <w:spacing w:before="0" w:after="283"/>
              <w:jc w:val="right"/>
              <w:rPr/>
            </w:pPr>
            <w:r>
              <w:rPr/>
              <w:t>3,874,077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928" w:type="dxa"/>
            <w:tcBorders>
              <w:bottom w:val="double" w:sz="6" w:space="0" w:color="000000"/>
            </w:tcBorders>
            <w:tcMar>
              <w:bottom w:w="28" w:type="dxa"/>
            </w:tcMar>
            <w:vAlign w:val="center"/>
          </w:tcPr>
          <w:p>
            <w:pPr>
              <w:pStyle w:val="TableContents"/>
              <w:bidi w:val="0"/>
              <w:spacing w:before="0" w:after="283"/>
              <w:jc w:val="right"/>
              <w:rPr/>
            </w:pPr>
            <w:r>
              <w:rPr/>
              <w:t>3,881,143</w:t>
            </w:r>
          </w:p>
        </w:tc>
        <w:tc>
          <w:tcPr>
            <w:tcW w:w="136"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xml:space="preserve">  </w:t>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Non-GAAP Financial Measures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1824"/>
        <w:gridCol w:w="90"/>
        <w:gridCol w:w="170"/>
        <w:gridCol w:w="1510"/>
        <w:gridCol w:w="90"/>
        <w:gridCol w:w="90"/>
        <w:gridCol w:w="170"/>
        <w:gridCol w:w="1008"/>
        <w:gridCol w:w="90"/>
        <w:gridCol w:w="90"/>
        <w:gridCol w:w="170"/>
        <w:gridCol w:w="1105"/>
        <w:gridCol w:w="90"/>
        <w:gridCol w:w="90"/>
        <w:gridCol w:w="170"/>
        <w:gridCol w:w="1450"/>
        <w:gridCol w:w="90"/>
        <w:gridCol w:w="90"/>
        <w:gridCol w:w="170"/>
        <w:gridCol w:w="1510"/>
        <w:gridCol w:w="138"/>
      </w:tblGrid>
      <w:tr>
        <w:trPr/>
        <w:tc>
          <w:tcPr>
            <w:tcW w:w="1824" w:type="dxa"/>
            <w:tcBorders/>
            <w:vAlign w:val="center"/>
          </w:tcPr>
          <w:p>
            <w:pPr>
              <w:pStyle w:val="TableContents"/>
              <w:bidi w:val="0"/>
              <w:spacing w:before="0" w:after="283"/>
              <w:jc w:val="left"/>
              <w:rPr/>
            </w:pPr>
            <w:r>
              <w:rPr/>
              <w:t> </w:t>
            </w:r>
          </w:p>
        </w:tc>
        <w:tc>
          <w:tcPr>
            <w:tcW w:w="8381" w:type="dxa"/>
            <w:gridSpan w:val="20"/>
            <w:tcBorders>
              <w:bottom w:val="single" w:sz="6" w:space="0" w:color="000000"/>
            </w:tcBorders>
            <w:tcMar>
              <w:bottom w:w="28" w:type="dxa"/>
            </w:tcMar>
            <w:vAlign w:val="center"/>
          </w:tcPr>
          <w:p>
            <w:pPr>
              <w:pStyle w:val="TableContents"/>
              <w:bidi w:val="0"/>
              <w:spacing w:before="0" w:after="283"/>
              <w:jc w:val="center"/>
              <w:rPr>
                <w:b/>
              </w:rPr>
            </w:pPr>
            <w:r>
              <w:rPr>
                <w:b/>
              </w:rPr>
              <w:t>For the three months ended</w:t>
            </w:r>
          </w:p>
        </w:tc>
      </w:tr>
      <w:tr>
        <w:trPr/>
        <w:tc>
          <w:tcPr>
            <w:tcW w:w="182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10" w:type="dxa"/>
            <w:tcBorders>
              <w:bottom w:val="single" w:sz="6" w:space="0" w:color="000000"/>
            </w:tcBorders>
            <w:tcMar>
              <w:bottom w:w="28" w:type="dxa"/>
            </w:tcMar>
            <w:vAlign w:val="center"/>
          </w:tcPr>
          <w:p>
            <w:pPr>
              <w:pStyle w:val="TableContents"/>
              <w:bidi w:val="0"/>
              <w:spacing w:before="0" w:after="283"/>
              <w:jc w:val="center"/>
              <w:rPr>
                <w:b/>
              </w:rPr>
            </w:pPr>
            <w:r>
              <w:rPr>
                <w:b/>
              </w:rPr>
              <w:t>September 30,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8" w:type="dxa"/>
            <w:tcBorders>
              <w:bottom w:val="single" w:sz="6" w:space="0" w:color="000000"/>
            </w:tcBorders>
            <w:tcMar>
              <w:bottom w:w="28" w:type="dxa"/>
            </w:tcMar>
            <w:vAlign w:val="center"/>
          </w:tcPr>
          <w:p>
            <w:pPr>
              <w:pStyle w:val="TableContents"/>
              <w:bidi w:val="0"/>
              <w:spacing w:before="0" w:after="283"/>
              <w:jc w:val="center"/>
              <w:rPr>
                <w:b/>
              </w:rPr>
            </w:pPr>
            <w:r>
              <w:rPr>
                <w:b/>
              </w:rPr>
              <w:t>June 30,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5" w:type="dxa"/>
            <w:tcBorders>
              <w:bottom w:val="single" w:sz="6" w:space="0" w:color="000000"/>
            </w:tcBorders>
            <w:tcMar>
              <w:bottom w:w="28" w:type="dxa"/>
            </w:tcMar>
            <w:vAlign w:val="center"/>
          </w:tcPr>
          <w:p>
            <w:pPr>
              <w:pStyle w:val="TableContents"/>
              <w:bidi w:val="0"/>
              <w:spacing w:before="0" w:after="283"/>
              <w:jc w:val="center"/>
              <w:rPr>
                <w:b/>
              </w:rPr>
            </w:pPr>
            <w:r>
              <w:rPr>
                <w:b/>
              </w:rPr>
              <w:t>March 31,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50"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10" w:type="dxa"/>
            <w:tcBorders>
              <w:bottom w:val="single" w:sz="6" w:space="0" w:color="000000"/>
            </w:tcBorders>
            <w:tcMar>
              <w:bottom w:w="28" w:type="dxa"/>
            </w:tcMar>
            <w:vAlign w:val="center"/>
          </w:tcPr>
          <w:p>
            <w:pPr>
              <w:pStyle w:val="TableContents"/>
              <w:bidi w:val="0"/>
              <w:spacing w:before="0" w:after="283"/>
              <w:jc w:val="center"/>
              <w:rPr>
                <w:b/>
              </w:rPr>
            </w:pPr>
            <w:r>
              <w:rPr>
                <w:b/>
              </w:rPr>
              <w:t>September 30, 2025</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824" w:type="dxa"/>
            <w:tcBorders/>
            <w:vAlign w:val="center"/>
          </w:tcPr>
          <w:p>
            <w:pPr>
              <w:pStyle w:val="TableContents"/>
              <w:bidi w:val="0"/>
              <w:spacing w:before="0" w:after="283"/>
              <w:jc w:val="left"/>
              <w:rPr>
                <w:b/>
              </w:rPr>
            </w:pPr>
            <w:r>
              <w:rPr>
                <w:b/>
              </w:rPr>
              <w:t>Pre-tax, pre-provision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1824"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510" w:type="dxa"/>
            <w:tcBorders/>
            <w:shd w:fill="CCEEFF" w:val="clear"/>
            <w:vAlign w:val="center"/>
          </w:tcPr>
          <w:p>
            <w:pPr>
              <w:pStyle w:val="TableContents"/>
              <w:bidi w:val="0"/>
              <w:spacing w:before="0" w:after="283"/>
              <w:jc w:val="right"/>
              <w:rPr/>
            </w:pPr>
            <w:r>
              <w:rPr/>
              <w:t>20,765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008" w:type="dxa"/>
            <w:tcBorders/>
            <w:shd w:fill="CCEEFF" w:val="clear"/>
            <w:vAlign w:val="center"/>
          </w:tcPr>
          <w:p>
            <w:pPr>
              <w:pStyle w:val="TableContents"/>
              <w:bidi w:val="0"/>
              <w:spacing w:before="0" w:after="283"/>
              <w:jc w:val="right"/>
              <w:rPr/>
            </w:pPr>
            <w:r>
              <w:rPr/>
              <w:t>18,992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105" w:type="dxa"/>
            <w:tcBorders/>
            <w:shd w:fill="CCEEFF" w:val="clear"/>
            <w:vAlign w:val="center"/>
          </w:tcPr>
          <w:p>
            <w:pPr>
              <w:pStyle w:val="TableContents"/>
              <w:bidi w:val="0"/>
              <w:spacing w:before="0" w:after="283"/>
              <w:jc w:val="right"/>
              <w:rPr/>
            </w:pPr>
            <w:r>
              <w:rPr/>
              <w:t>14,545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450" w:type="dxa"/>
            <w:tcBorders/>
            <w:shd w:fill="CCEEFF" w:val="clear"/>
            <w:vAlign w:val="center"/>
          </w:tcPr>
          <w:p>
            <w:pPr>
              <w:pStyle w:val="TableContents"/>
              <w:bidi w:val="0"/>
              <w:spacing w:before="0" w:after="283"/>
              <w:jc w:val="right"/>
              <w:rPr/>
            </w:pPr>
            <w:r>
              <w:rPr/>
              <w:t>15,254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510" w:type="dxa"/>
            <w:tcBorders/>
            <w:shd w:fill="CCEEFF" w:val="clear"/>
            <w:vAlign w:val="center"/>
          </w:tcPr>
          <w:p>
            <w:pPr>
              <w:pStyle w:val="TableContents"/>
              <w:bidi w:val="0"/>
              <w:spacing w:before="0" w:after="283"/>
              <w:jc w:val="right"/>
              <w:rPr/>
            </w:pPr>
            <w:r>
              <w:rPr/>
              <w:t>16,318</w:t>
            </w:r>
          </w:p>
        </w:tc>
        <w:tc>
          <w:tcPr>
            <w:tcW w:w="138" w:type="dxa"/>
            <w:tcBorders/>
            <w:shd w:fill="CCEEFF" w:val="clear"/>
            <w:vAlign w:val="center"/>
          </w:tcPr>
          <w:p>
            <w:pPr>
              <w:pStyle w:val="TableContents"/>
              <w:bidi w:val="0"/>
              <w:spacing w:before="0" w:after="283"/>
              <w:jc w:val="left"/>
              <w:rPr/>
            </w:pPr>
            <w:r>
              <w:rPr/>
              <w:t> </w:t>
            </w:r>
          </w:p>
        </w:tc>
      </w:tr>
      <w:tr>
        <w:trPr/>
        <w:tc>
          <w:tcPr>
            <w:tcW w:w="1824" w:type="dxa"/>
            <w:tcBorders/>
            <w:vAlign w:val="center"/>
          </w:tcPr>
          <w:p>
            <w:pPr>
              <w:pStyle w:val="TableContents"/>
              <w:bidi w:val="0"/>
              <w:spacing w:before="0" w:after="283"/>
              <w:jc w:val="left"/>
              <w:rPr/>
            </w:pPr>
            <w:r>
              <w:rPr/>
              <w:t>Income tax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510" w:type="dxa"/>
            <w:tcBorders/>
            <w:vAlign w:val="center"/>
          </w:tcPr>
          <w:p>
            <w:pPr>
              <w:pStyle w:val="TableContents"/>
              <w:bidi w:val="0"/>
              <w:spacing w:before="0" w:after="283"/>
              <w:jc w:val="right"/>
              <w:rPr/>
            </w:pPr>
            <w:r>
              <w:rPr/>
              <w:t>5,602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008" w:type="dxa"/>
            <w:tcBorders/>
            <w:vAlign w:val="center"/>
          </w:tcPr>
          <w:p>
            <w:pPr>
              <w:pStyle w:val="TableContents"/>
              <w:bidi w:val="0"/>
              <w:spacing w:before="0" w:after="283"/>
              <w:jc w:val="right"/>
              <w:rPr/>
            </w:pPr>
            <w:r>
              <w:rPr/>
              <w:t>5,286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05" w:type="dxa"/>
            <w:tcBorders/>
            <w:vAlign w:val="center"/>
          </w:tcPr>
          <w:p>
            <w:pPr>
              <w:pStyle w:val="TableContents"/>
              <w:bidi w:val="0"/>
              <w:spacing w:before="0" w:after="283"/>
              <w:jc w:val="right"/>
              <w:rPr/>
            </w:pPr>
            <w:r>
              <w:rPr/>
              <w:t>3,816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450" w:type="dxa"/>
            <w:tcBorders/>
            <w:vAlign w:val="center"/>
          </w:tcPr>
          <w:p>
            <w:pPr>
              <w:pStyle w:val="TableContents"/>
              <w:bidi w:val="0"/>
              <w:spacing w:before="0" w:after="283"/>
              <w:jc w:val="right"/>
              <w:rPr/>
            </w:pPr>
            <w:r>
              <w:rPr/>
              <w:t>3,832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510" w:type="dxa"/>
            <w:tcBorders/>
            <w:vAlign w:val="center"/>
          </w:tcPr>
          <w:p>
            <w:pPr>
              <w:pStyle w:val="TableContents"/>
              <w:bidi w:val="0"/>
              <w:spacing w:before="0" w:after="283"/>
              <w:jc w:val="right"/>
              <w:rPr/>
            </w:pPr>
            <w:r>
              <w:rPr/>
              <w:t>4,342</w:t>
            </w:r>
          </w:p>
        </w:tc>
        <w:tc>
          <w:tcPr>
            <w:tcW w:w="138" w:type="dxa"/>
            <w:tcBorders/>
            <w:vAlign w:val="center"/>
          </w:tcPr>
          <w:p>
            <w:pPr>
              <w:pStyle w:val="TableContents"/>
              <w:bidi w:val="0"/>
              <w:spacing w:before="0" w:after="283"/>
              <w:jc w:val="left"/>
              <w:rPr/>
            </w:pPr>
            <w:r>
              <w:rPr/>
              <w:t> </w:t>
            </w:r>
          </w:p>
        </w:tc>
      </w:tr>
      <w:tr>
        <w:trPr/>
        <w:tc>
          <w:tcPr>
            <w:tcW w:w="1824" w:type="dxa"/>
            <w:tcBorders/>
            <w:shd w:fill="CCEEFF" w:val="clear"/>
            <w:vAlign w:val="center"/>
          </w:tcPr>
          <w:p>
            <w:pPr>
              <w:pStyle w:val="TableContents"/>
              <w:bidi w:val="0"/>
              <w:spacing w:before="0" w:after="283"/>
              <w:jc w:val="left"/>
              <w:rPr/>
            </w:pPr>
            <w:r>
              <w:rPr/>
              <w:t>Provision for credit losses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510" w:type="dxa"/>
            <w:tcBorders>
              <w:bottom w:val="single" w:sz="6" w:space="0" w:color="000000"/>
            </w:tcBorders>
            <w:shd w:fill="CCEEFF" w:val="clear"/>
            <w:tcMar>
              <w:bottom w:w="28" w:type="dxa"/>
            </w:tcMar>
            <w:vAlign w:val="center"/>
          </w:tcPr>
          <w:p>
            <w:pPr>
              <w:pStyle w:val="TableContents"/>
              <w:bidi w:val="0"/>
              <w:spacing w:before="0" w:after="283"/>
              <w:jc w:val="right"/>
              <w:rPr/>
            </w:pPr>
            <w:r>
              <w:rPr/>
              <w:t>830</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008" w:type="dxa"/>
            <w:tcBorders>
              <w:bottom w:val="single" w:sz="6" w:space="0" w:color="000000"/>
            </w:tcBorders>
            <w:shd w:fill="CCEEFF" w:val="clear"/>
            <w:tcMar>
              <w:bottom w:w="28" w:type="dxa"/>
            </w:tcMar>
            <w:vAlign w:val="center"/>
          </w:tcPr>
          <w:p>
            <w:pPr>
              <w:pStyle w:val="TableContents"/>
              <w:bidi w:val="0"/>
              <w:spacing w:before="0" w:after="283"/>
              <w:jc w:val="right"/>
              <w:rPr/>
            </w:pPr>
            <w:r>
              <w:rPr/>
              <w:t>350</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105" w:type="dxa"/>
            <w:tcBorders>
              <w:bottom w:val="single" w:sz="6" w:space="0" w:color="000000"/>
            </w:tcBorders>
            <w:shd w:fill="CCEEFF" w:val="clear"/>
            <w:tcMar>
              <w:bottom w:w="28" w:type="dxa"/>
            </w:tcMar>
            <w:vAlign w:val="center"/>
          </w:tcPr>
          <w:p>
            <w:pPr>
              <w:pStyle w:val="TableContents"/>
              <w:bidi w:val="0"/>
              <w:spacing w:before="0" w:after="283"/>
              <w:jc w:val="right"/>
              <w:rPr/>
            </w:pPr>
            <w:r>
              <w:rPr/>
              <w:t>260</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450" w:type="dxa"/>
            <w:tcBorders>
              <w:bottom w:val="single" w:sz="6" w:space="0" w:color="000000"/>
            </w:tcBorders>
            <w:shd w:fill="CCEEFF" w:val="clear"/>
            <w:tcMar>
              <w:bottom w:w="28" w:type="dxa"/>
            </w:tcMar>
            <w:vAlign w:val="center"/>
          </w:tcPr>
          <w:p>
            <w:pPr>
              <w:pStyle w:val="TableContents"/>
              <w:bidi w:val="0"/>
              <w:spacing w:before="0" w:after="283"/>
              <w:jc w:val="right"/>
              <w:rPr/>
            </w:pPr>
            <w:r>
              <w:rPr/>
              <w:t>1,775</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right"/>
              <w:rPr/>
            </w:pPr>
            <w:r>
              <w:rPr/>
              <w:t> </w:t>
            </w:r>
          </w:p>
        </w:tc>
        <w:tc>
          <w:tcPr>
            <w:tcW w:w="1510" w:type="dxa"/>
            <w:tcBorders>
              <w:bottom w:val="single" w:sz="6" w:space="0" w:color="000000"/>
            </w:tcBorders>
            <w:shd w:fill="CCEEFF" w:val="clear"/>
            <w:tcMar>
              <w:bottom w:w="28" w:type="dxa"/>
            </w:tcMar>
            <w:vAlign w:val="center"/>
          </w:tcPr>
          <w:p>
            <w:pPr>
              <w:pStyle w:val="TableContents"/>
              <w:bidi w:val="0"/>
              <w:spacing w:before="0" w:after="283"/>
              <w:jc w:val="right"/>
              <w:rPr/>
            </w:pPr>
            <w:r>
              <w:rPr/>
              <w:t>500</w:t>
            </w:r>
          </w:p>
        </w:tc>
        <w:tc>
          <w:tcPr>
            <w:tcW w:w="13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82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1824" w:type="dxa"/>
            <w:tcBorders/>
            <w:shd w:fill="CCEEFF" w:val="clear"/>
            <w:vAlign w:val="center"/>
          </w:tcPr>
          <w:p>
            <w:pPr>
              <w:pStyle w:val="TableContents"/>
              <w:bidi w:val="0"/>
              <w:spacing w:before="0" w:after="283"/>
              <w:jc w:val="left"/>
              <w:rPr>
                <w:b/>
              </w:rPr>
            </w:pPr>
            <w:r>
              <w:rPr>
                <w:b/>
              </w:rPr>
              <w:t>Pre-tax, pre-provision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510" w:type="dxa"/>
            <w:tcBorders>
              <w:bottom w:val="double" w:sz="6" w:space="0" w:color="000000"/>
            </w:tcBorders>
            <w:shd w:fill="CCEEFF" w:val="clear"/>
            <w:tcMar>
              <w:bottom w:w="28" w:type="dxa"/>
            </w:tcMar>
            <w:vAlign w:val="center"/>
          </w:tcPr>
          <w:p>
            <w:pPr>
              <w:pStyle w:val="TableContents"/>
              <w:bidi w:val="0"/>
              <w:spacing w:before="0" w:after="283"/>
              <w:jc w:val="right"/>
              <w:rPr/>
            </w:pPr>
            <w:r>
              <w:rPr/>
              <w:t>27,197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24,628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jc w:val="right"/>
              <w:rPr/>
            </w:pPr>
            <w:r>
              <w:rPr/>
              <w:t>18,621</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450" w:type="dxa"/>
            <w:tcBorders>
              <w:bottom w:val="double" w:sz="6" w:space="0" w:color="000000"/>
            </w:tcBorders>
            <w:shd w:fill="CCEEFF" w:val="clear"/>
            <w:tcMar>
              <w:bottom w:w="28" w:type="dxa"/>
            </w:tcMar>
            <w:vAlign w:val="center"/>
          </w:tcPr>
          <w:p>
            <w:pPr>
              <w:pStyle w:val="TableContents"/>
              <w:bidi w:val="0"/>
              <w:spacing w:before="0" w:after="283"/>
              <w:jc w:val="right"/>
              <w:rPr/>
            </w:pPr>
            <w:r>
              <w:rPr/>
              <w:t>20,861</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510" w:type="dxa"/>
            <w:tcBorders>
              <w:bottom w:val="double" w:sz="6" w:space="0" w:color="000000"/>
            </w:tcBorders>
            <w:shd w:fill="CCEEFF" w:val="clear"/>
            <w:tcMar>
              <w:bottom w:w="28" w:type="dxa"/>
            </w:tcMar>
            <w:vAlign w:val="center"/>
          </w:tcPr>
          <w:p>
            <w:pPr>
              <w:pStyle w:val="TableContents"/>
              <w:bidi w:val="0"/>
              <w:spacing w:before="0" w:after="283"/>
              <w:jc w:val="right"/>
              <w:rPr/>
            </w:pPr>
            <w:r>
              <w:rPr/>
              <w:t>21,160</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603"/>
        <w:gridCol w:w="90"/>
        <w:gridCol w:w="170"/>
        <w:gridCol w:w="1235"/>
        <w:gridCol w:w="245"/>
        <w:gridCol w:w="90"/>
        <w:gridCol w:w="170"/>
        <w:gridCol w:w="1161"/>
        <w:gridCol w:w="245"/>
        <w:gridCol w:w="90"/>
        <w:gridCol w:w="170"/>
        <w:gridCol w:w="1181"/>
        <w:gridCol w:w="245"/>
        <w:gridCol w:w="90"/>
        <w:gridCol w:w="170"/>
        <w:gridCol w:w="1216"/>
        <w:gridCol w:w="245"/>
        <w:gridCol w:w="90"/>
        <w:gridCol w:w="170"/>
        <w:gridCol w:w="1235"/>
        <w:gridCol w:w="294"/>
      </w:tblGrid>
      <w:tr>
        <w:trPr/>
        <w:tc>
          <w:tcPr>
            <w:tcW w:w="1603" w:type="dxa"/>
            <w:tcBorders/>
            <w:vAlign w:val="center"/>
          </w:tcPr>
          <w:p>
            <w:pPr>
              <w:pStyle w:val="TableContents"/>
              <w:bidi w:val="0"/>
              <w:spacing w:before="0" w:after="283"/>
              <w:jc w:val="left"/>
              <w:rPr/>
            </w:pPr>
            <w:r>
              <w:rPr/>
              <w:t> </w:t>
            </w:r>
          </w:p>
        </w:tc>
        <w:tc>
          <w:tcPr>
            <w:tcW w:w="8602" w:type="dxa"/>
            <w:gridSpan w:val="20"/>
            <w:tcBorders>
              <w:bottom w:val="single" w:sz="6" w:space="0" w:color="000000"/>
            </w:tcBorders>
            <w:tcMar>
              <w:bottom w:w="28" w:type="dxa"/>
            </w:tcMar>
            <w:vAlign w:val="center"/>
          </w:tcPr>
          <w:p>
            <w:pPr>
              <w:pStyle w:val="TableContents"/>
              <w:bidi w:val="0"/>
              <w:spacing w:before="0" w:after="283"/>
              <w:jc w:val="center"/>
              <w:rPr>
                <w:b/>
              </w:rPr>
            </w:pPr>
            <w:r>
              <w:rPr>
                <w:b/>
              </w:rPr>
              <w:t>As of</w:t>
            </w:r>
          </w:p>
        </w:tc>
      </w:tr>
      <w:tr>
        <w:trPr/>
        <w:tc>
          <w:tcPr>
            <w:tcW w:w="160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b/>
              </w:rPr>
            </w:pPr>
            <w:r>
              <w:rPr>
                <w:b/>
              </w:rPr>
              <w:t>September 30, 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1" w:type="dxa"/>
            <w:tcBorders>
              <w:bottom w:val="single" w:sz="6" w:space="0" w:color="000000"/>
            </w:tcBorders>
            <w:tcMar>
              <w:bottom w:w="28" w:type="dxa"/>
            </w:tcMar>
            <w:vAlign w:val="center"/>
          </w:tcPr>
          <w:p>
            <w:pPr>
              <w:pStyle w:val="TableContents"/>
              <w:bidi w:val="0"/>
              <w:spacing w:before="0" w:after="283"/>
              <w:jc w:val="center"/>
              <w:rPr>
                <w:b/>
              </w:rPr>
            </w:pPr>
            <w:r>
              <w:rPr>
                <w:b/>
              </w:rPr>
              <w:t>June 30, 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81" w:type="dxa"/>
            <w:tcBorders>
              <w:bottom w:val="single" w:sz="6" w:space="0" w:color="000000"/>
            </w:tcBorders>
            <w:tcMar>
              <w:bottom w:w="28" w:type="dxa"/>
            </w:tcMar>
            <w:vAlign w:val="center"/>
          </w:tcPr>
          <w:p>
            <w:pPr>
              <w:pStyle w:val="TableContents"/>
              <w:bidi w:val="0"/>
              <w:spacing w:before="0" w:after="283"/>
              <w:jc w:val="center"/>
              <w:rPr>
                <w:b/>
              </w:rPr>
            </w:pPr>
            <w:r>
              <w:rPr>
                <w:b/>
              </w:rPr>
              <w:t>March 31, 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16"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b/>
              </w:rPr>
            </w:pPr>
            <w:r>
              <w:rPr>
                <w:b/>
              </w:rPr>
              <w:t>September 30, 2025</w:t>
            </w:r>
          </w:p>
        </w:tc>
        <w:tc>
          <w:tcPr>
            <w:tcW w:w="294"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1603" w:type="dxa"/>
            <w:tcBorders/>
            <w:vAlign w:val="center"/>
          </w:tcPr>
          <w:p>
            <w:pPr>
              <w:pStyle w:val="TableContents"/>
              <w:bidi w:val="0"/>
              <w:spacing w:before="0" w:after="283"/>
              <w:jc w:val="left"/>
              <w:rPr/>
            </w:pPr>
            <w:r>
              <w:rPr/>
              <w:t> </w:t>
            </w:r>
          </w:p>
        </w:tc>
        <w:tc>
          <w:tcPr>
            <w:tcW w:w="3406" w:type="dxa"/>
            <w:gridSpan w:val="8"/>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b/>
              </w:rPr>
            </w:pPr>
            <w:r>
              <w:rPr>
                <w:b/>
              </w:rPr>
              <w:t>Tangible common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pPr>
            <w:r>
              <w:rPr/>
              <w:t>Total common stockholders’ equity</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235" w:type="dxa"/>
            <w:tcBorders/>
            <w:shd w:fill="CCEEFF" w:val="clear"/>
            <w:vAlign w:val="center"/>
          </w:tcPr>
          <w:p>
            <w:pPr>
              <w:pStyle w:val="TableContents"/>
              <w:bidi w:val="0"/>
              <w:spacing w:before="0" w:after="283"/>
              <w:jc w:val="right"/>
              <w:rPr/>
            </w:pPr>
            <w:r>
              <w:rPr/>
              <w:t>622,756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161" w:type="dxa"/>
            <w:tcBorders/>
            <w:shd w:fill="CCEEFF" w:val="clear"/>
            <w:vAlign w:val="center"/>
          </w:tcPr>
          <w:p>
            <w:pPr>
              <w:pStyle w:val="TableContents"/>
              <w:bidi w:val="0"/>
              <w:spacing w:before="0" w:after="283"/>
              <w:jc w:val="right"/>
              <w:rPr/>
            </w:pPr>
            <w:r>
              <w:rPr/>
              <w:t>629,765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181" w:type="dxa"/>
            <w:tcBorders/>
            <w:shd w:fill="CCEEFF" w:val="clear"/>
            <w:vAlign w:val="center"/>
          </w:tcPr>
          <w:p>
            <w:pPr>
              <w:pStyle w:val="TableContents"/>
              <w:bidi w:val="0"/>
              <w:spacing w:before="0" w:after="283"/>
              <w:jc w:val="right"/>
              <w:rPr/>
            </w:pPr>
            <w:r>
              <w:rPr/>
              <w:t>504,939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216" w:type="dxa"/>
            <w:tcBorders/>
            <w:shd w:fill="CCEEFF" w:val="clear"/>
            <w:vAlign w:val="center"/>
          </w:tcPr>
          <w:p>
            <w:pPr>
              <w:pStyle w:val="TableContents"/>
              <w:bidi w:val="0"/>
              <w:spacing w:before="0" w:after="283"/>
              <w:jc w:val="right"/>
              <w:rPr/>
            </w:pPr>
            <w:r>
              <w:rPr/>
              <w:t>493,837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w:t>
            </w:r>
          </w:p>
        </w:tc>
        <w:tc>
          <w:tcPr>
            <w:tcW w:w="1235" w:type="dxa"/>
            <w:tcBorders/>
            <w:shd w:fill="CCEEFF" w:val="clear"/>
            <w:vAlign w:val="center"/>
          </w:tcPr>
          <w:p>
            <w:pPr>
              <w:pStyle w:val="TableContents"/>
              <w:bidi w:val="0"/>
              <w:spacing w:before="0" w:after="283"/>
              <w:jc w:val="right"/>
              <w:rPr/>
            </w:pPr>
            <w:r>
              <w:rPr/>
              <w:t>477,802</w:t>
            </w:r>
          </w:p>
        </w:tc>
        <w:tc>
          <w:tcPr>
            <w:tcW w:w="294"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pPr>
            <w:r>
              <w:rPr/>
              <w:t>Less: goodwill and other intangibles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(71,857</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61" w:type="dxa"/>
            <w:tcBorders>
              <w:bottom w:val="single" w:sz="6" w:space="0" w:color="000000"/>
            </w:tcBorders>
            <w:tcMar>
              <w:bottom w:w="28" w:type="dxa"/>
            </w:tcMar>
            <w:vAlign w:val="center"/>
          </w:tcPr>
          <w:p>
            <w:pPr>
              <w:pStyle w:val="TableContents"/>
              <w:bidi w:val="0"/>
              <w:spacing w:before="0" w:after="283"/>
              <w:jc w:val="right"/>
              <w:rPr/>
            </w:pPr>
            <w:r>
              <w:rPr/>
              <w:t>(72,218</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81" w:type="dxa"/>
            <w:tcBorders>
              <w:bottom w:val="single" w:sz="6" w:space="0" w:color="000000"/>
            </w:tcBorders>
            <w:tcMar>
              <w:bottom w:w="28" w:type="dxa"/>
            </w:tcMar>
            <w:vAlign w:val="center"/>
          </w:tcPr>
          <w:p>
            <w:pPr>
              <w:pStyle w:val="TableContents"/>
              <w:bidi w:val="0"/>
              <w:spacing w:before="0" w:after="283"/>
              <w:jc w:val="right"/>
              <w:rPr/>
            </w:pPr>
            <w:r>
              <w:rPr/>
              <w:t>(20,327</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16" w:type="dxa"/>
            <w:tcBorders>
              <w:bottom w:val="single" w:sz="6" w:space="0" w:color="000000"/>
            </w:tcBorders>
            <w:tcMar>
              <w:bottom w:w="28" w:type="dxa"/>
            </w:tcMar>
            <w:vAlign w:val="center"/>
          </w:tcPr>
          <w:p>
            <w:pPr>
              <w:pStyle w:val="TableContents"/>
              <w:bidi w:val="0"/>
              <w:spacing w:before="0" w:after="283"/>
              <w:jc w:val="right"/>
              <w:rPr/>
            </w:pPr>
            <w:r>
              <w:rPr/>
              <w:t>(20,448</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(20,580</w:t>
            </w:r>
          </w:p>
        </w:tc>
        <w:tc>
          <w:tcPr>
            <w:tcW w:w="29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b/>
              </w:rPr>
            </w:pPr>
            <w:r>
              <w:rPr>
                <w:b/>
              </w:rPr>
              <w:t>Tangible common equity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550,899</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161" w:type="dxa"/>
            <w:tcBorders>
              <w:bottom w:val="double" w:sz="6" w:space="0" w:color="000000"/>
            </w:tcBorders>
            <w:tcMar>
              <w:bottom w:w="28" w:type="dxa"/>
            </w:tcMar>
            <w:vAlign w:val="center"/>
          </w:tcPr>
          <w:p>
            <w:pPr>
              <w:pStyle w:val="TableContents"/>
              <w:bidi w:val="0"/>
              <w:spacing w:before="0" w:after="283"/>
              <w:jc w:val="right"/>
              <w:rPr/>
            </w:pPr>
            <w:r>
              <w:rPr/>
              <w:t>557,547</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181" w:type="dxa"/>
            <w:tcBorders>
              <w:bottom w:val="double" w:sz="6" w:space="0" w:color="000000"/>
            </w:tcBorders>
            <w:tcMar>
              <w:bottom w:w="28" w:type="dxa"/>
            </w:tcMar>
            <w:vAlign w:val="center"/>
          </w:tcPr>
          <w:p>
            <w:pPr>
              <w:pStyle w:val="TableContents"/>
              <w:bidi w:val="0"/>
              <w:spacing w:before="0" w:after="283"/>
              <w:jc w:val="right"/>
              <w:rPr/>
            </w:pPr>
            <w:r>
              <w:rPr/>
              <w:t>484,612</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216" w:type="dxa"/>
            <w:tcBorders>
              <w:bottom w:val="double" w:sz="6" w:space="0" w:color="000000"/>
            </w:tcBorders>
            <w:tcMar>
              <w:bottom w:w="28" w:type="dxa"/>
            </w:tcMar>
            <w:vAlign w:val="center"/>
          </w:tcPr>
          <w:p>
            <w:pPr>
              <w:pStyle w:val="TableContents"/>
              <w:bidi w:val="0"/>
              <w:spacing w:before="0" w:after="283"/>
              <w:jc w:val="right"/>
              <w:rPr/>
            </w:pPr>
            <w:r>
              <w:rPr/>
              <w:t>473,389</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457,222</w:t>
            </w:r>
          </w:p>
        </w:tc>
        <w:tc>
          <w:tcPr>
            <w:tcW w:w="294"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b/>
              </w:rPr>
            </w:pPr>
            <w:r>
              <w:rPr>
                <w:b/>
              </w:rPr>
              <w:t>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235" w:type="dxa"/>
            <w:tcBorders/>
            <w:shd w:fill="CCEEFF" w:val="clear"/>
            <w:vAlign w:val="center"/>
          </w:tcPr>
          <w:p>
            <w:pPr>
              <w:pStyle w:val="TableContents"/>
              <w:bidi w:val="0"/>
              <w:spacing w:before="0" w:after="283"/>
              <w:jc w:val="right"/>
              <w:rPr/>
            </w:pPr>
            <w:r>
              <w:rPr/>
              <w:t>5,410,874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161" w:type="dxa"/>
            <w:tcBorders/>
            <w:shd w:fill="CCEEFF" w:val="clear"/>
            <w:vAlign w:val="center"/>
          </w:tcPr>
          <w:p>
            <w:pPr>
              <w:pStyle w:val="TableContents"/>
              <w:bidi w:val="0"/>
              <w:spacing w:before="0" w:after="283"/>
              <w:jc w:val="right"/>
              <w:rPr/>
            </w:pPr>
            <w:r>
              <w:rPr/>
              <w:t>5,391,206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181" w:type="dxa"/>
            <w:tcBorders/>
            <w:shd w:fill="CCEEFF" w:val="clear"/>
            <w:vAlign w:val="center"/>
          </w:tcPr>
          <w:p>
            <w:pPr>
              <w:pStyle w:val="TableContents"/>
              <w:bidi w:val="0"/>
              <w:spacing w:before="0" w:after="283"/>
              <w:jc w:val="right"/>
              <w:rPr/>
            </w:pPr>
            <w:r>
              <w:rPr/>
              <w:t>4,646,374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216" w:type="dxa"/>
            <w:tcBorders/>
            <w:shd w:fill="CCEEFF" w:val="clear"/>
            <w:vAlign w:val="center"/>
          </w:tcPr>
          <w:p>
            <w:pPr>
              <w:pStyle w:val="TableContents"/>
              <w:bidi w:val="0"/>
              <w:spacing w:before="0" w:after="283"/>
              <w:jc w:val="right"/>
              <w:rPr/>
            </w:pPr>
            <w:r>
              <w:rPr/>
              <w:t>4,480,500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235" w:type="dxa"/>
            <w:tcBorders/>
            <w:shd w:fill="CCEEFF" w:val="clear"/>
            <w:vAlign w:val="center"/>
          </w:tcPr>
          <w:p>
            <w:pPr>
              <w:pStyle w:val="TableContents"/>
              <w:bidi w:val="0"/>
              <w:spacing w:before="0" w:after="283"/>
              <w:jc w:val="right"/>
              <w:rPr/>
            </w:pPr>
            <w:r>
              <w:rPr/>
              <w:t>4,479,437</w:t>
            </w:r>
          </w:p>
        </w:tc>
        <w:tc>
          <w:tcPr>
            <w:tcW w:w="294"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pPr>
            <w:r>
              <w:rPr/>
              <w:t>Less: goodwill and other intangibles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(71,857</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61" w:type="dxa"/>
            <w:tcBorders>
              <w:bottom w:val="single" w:sz="6" w:space="0" w:color="000000"/>
            </w:tcBorders>
            <w:tcMar>
              <w:bottom w:w="28" w:type="dxa"/>
            </w:tcMar>
            <w:vAlign w:val="center"/>
          </w:tcPr>
          <w:p>
            <w:pPr>
              <w:pStyle w:val="TableContents"/>
              <w:bidi w:val="0"/>
              <w:spacing w:before="0" w:after="283"/>
              <w:jc w:val="right"/>
              <w:rPr/>
            </w:pPr>
            <w:r>
              <w:rPr/>
              <w:t>(72,218</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81" w:type="dxa"/>
            <w:tcBorders>
              <w:bottom w:val="single" w:sz="6" w:space="0" w:color="000000"/>
            </w:tcBorders>
            <w:tcMar>
              <w:bottom w:w="28" w:type="dxa"/>
            </w:tcMar>
            <w:vAlign w:val="center"/>
          </w:tcPr>
          <w:p>
            <w:pPr>
              <w:pStyle w:val="TableContents"/>
              <w:bidi w:val="0"/>
              <w:spacing w:before="0" w:after="283"/>
              <w:jc w:val="right"/>
              <w:rPr/>
            </w:pPr>
            <w:r>
              <w:rPr/>
              <w:t>(20,327</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16" w:type="dxa"/>
            <w:tcBorders>
              <w:bottom w:val="single" w:sz="6" w:space="0" w:color="000000"/>
            </w:tcBorders>
            <w:tcMar>
              <w:bottom w:w="28" w:type="dxa"/>
            </w:tcMar>
            <w:vAlign w:val="center"/>
          </w:tcPr>
          <w:p>
            <w:pPr>
              <w:pStyle w:val="TableContents"/>
              <w:bidi w:val="0"/>
              <w:spacing w:before="0" w:after="283"/>
              <w:jc w:val="right"/>
              <w:rPr/>
            </w:pPr>
            <w:r>
              <w:rPr/>
              <w:t>(20,448</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(20,580</w:t>
            </w:r>
          </w:p>
        </w:tc>
        <w:tc>
          <w:tcPr>
            <w:tcW w:w="29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b/>
              </w:rPr>
            </w:pPr>
            <w:r>
              <w:rPr>
                <w:b/>
              </w:rPr>
              <w:t>Tangible assets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5,339,017</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161" w:type="dxa"/>
            <w:tcBorders>
              <w:bottom w:val="double" w:sz="6" w:space="0" w:color="000000"/>
            </w:tcBorders>
            <w:tcMar>
              <w:bottom w:w="28" w:type="dxa"/>
            </w:tcMar>
            <w:vAlign w:val="center"/>
          </w:tcPr>
          <w:p>
            <w:pPr>
              <w:pStyle w:val="TableContents"/>
              <w:bidi w:val="0"/>
              <w:spacing w:before="0" w:after="283"/>
              <w:jc w:val="right"/>
              <w:rPr/>
            </w:pPr>
            <w:r>
              <w:rPr/>
              <w:t>5,318,988</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181" w:type="dxa"/>
            <w:tcBorders>
              <w:bottom w:val="double" w:sz="6" w:space="0" w:color="000000"/>
            </w:tcBorders>
            <w:tcMar>
              <w:bottom w:w="28" w:type="dxa"/>
            </w:tcMar>
            <w:vAlign w:val="center"/>
          </w:tcPr>
          <w:p>
            <w:pPr>
              <w:pStyle w:val="TableContents"/>
              <w:bidi w:val="0"/>
              <w:spacing w:before="0" w:after="283"/>
              <w:jc w:val="right"/>
              <w:rPr/>
            </w:pPr>
            <w:r>
              <w:rPr/>
              <w:t>4,626,047</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216" w:type="dxa"/>
            <w:tcBorders>
              <w:bottom w:val="double" w:sz="6" w:space="0" w:color="000000"/>
            </w:tcBorders>
            <w:tcMar>
              <w:bottom w:w="28" w:type="dxa"/>
            </w:tcMar>
            <w:vAlign w:val="center"/>
          </w:tcPr>
          <w:p>
            <w:pPr>
              <w:pStyle w:val="TableContents"/>
              <w:bidi w:val="0"/>
              <w:spacing w:before="0" w:after="283"/>
              <w:jc w:val="right"/>
              <w:rPr/>
            </w:pPr>
            <w:r>
              <w:rPr/>
              <w:t>4,460,052</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4,458,857</w:t>
            </w:r>
          </w:p>
        </w:tc>
        <w:tc>
          <w:tcPr>
            <w:tcW w:w="294"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pPr>
            <w:r>
              <w:rPr/>
              <w:t>Shares outstanding</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 </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18,847,573</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 </w:t>
            </w:r>
          </w:p>
        </w:tc>
        <w:tc>
          <w:tcPr>
            <w:tcW w:w="1161" w:type="dxa"/>
            <w:tcBorders>
              <w:bottom w:val="double" w:sz="6" w:space="0" w:color="000000"/>
            </w:tcBorders>
            <w:tcMar>
              <w:bottom w:w="28" w:type="dxa"/>
            </w:tcMar>
            <w:vAlign w:val="center"/>
          </w:tcPr>
          <w:p>
            <w:pPr>
              <w:pStyle w:val="TableContents"/>
              <w:bidi w:val="0"/>
              <w:spacing w:before="0" w:after="283"/>
              <w:jc w:val="right"/>
              <w:rPr/>
            </w:pPr>
            <w:r>
              <w:rPr/>
              <w:t>18,839,105</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 </w:t>
            </w:r>
          </w:p>
        </w:tc>
        <w:tc>
          <w:tcPr>
            <w:tcW w:w="1181" w:type="dxa"/>
            <w:tcBorders>
              <w:bottom w:val="double" w:sz="6" w:space="0" w:color="000000"/>
            </w:tcBorders>
            <w:tcMar>
              <w:bottom w:w="28" w:type="dxa"/>
            </w:tcMar>
            <w:vAlign w:val="center"/>
          </w:tcPr>
          <w:p>
            <w:pPr>
              <w:pStyle w:val="TableContents"/>
              <w:bidi w:val="0"/>
              <w:spacing w:before="0" w:after="283"/>
              <w:jc w:val="right"/>
              <w:rPr/>
            </w:pPr>
            <w:r>
              <w:rPr/>
              <w:t>16,342,219</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 </w:t>
            </w:r>
          </w:p>
        </w:tc>
        <w:tc>
          <w:tcPr>
            <w:tcW w:w="1216" w:type="dxa"/>
            <w:tcBorders>
              <w:bottom w:val="double" w:sz="6" w:space="0" w:color="000000"/>
            </w:tcBorders>
            <w:tcMar>
              <w:bottom w:w="28" w:type="dxa"/>
            </w:tcMar>
            <w:vAlign w:val="center"/>
          </w:tcPr>
          <w:p>
            <w:pPr>
              <w:pStyle w:val="TableContents"/>
              <w:bidi w:val="0"/>
              <w:spacing w:before="0" w:after="283"/>
              <w:jc w:val="right"/>
              <w:rPr/>
            </w:pPr>
            <w:r>
              <w:rPr/>
              <w:t>16,293,577</w:t>
            </w:r>
          </w:p>
        </w:tc>
        <w:tc>
          <w:tcPr>
            <w:tcW w:w="24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right"/>
              <w:rPr/>
            </w:pPr>
            <w:r>
              <w:rPr/>
              <w:t> </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16,247,839</w:t>
            </w:r>
          </w:p>
        </w:tc>
        <w:tc>
          <w:tcPr>
            <w:tcW w:w="294"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1603" w:type="dxa"/>
            <w:tcBorders/>
            <w:vAlign w:val="center"/>
          </w:tcPr>
          <w:p>
            <w:pPr>
              <w:pStyle w:val="TableContents"/>
              <w:bidi w:val="0"/>
              <w:spacing w:before="0" w:after="283"/>
              <w:jc w:val="left"/>
              <w:rPr/>
            </w:pPr>
            <w:r>
              <w:rPr/>
              <w:t>Total stockholders’ equity to total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35" w:type="dxa"/>
            <w:tcBorders/>
            <w:vAlign w:val="center"/>
          </w:tcPr>
          <w:p>
            <w:pPr>
              <w:pStyle w:val="TableContents"/>
              <w:bidi w:val="0"/>
              <w:spacing w:before="0" w:after="283"/>
              <w:jc w:val="right"/>
              <w:rPr/>
            </w:pPr>
            <w:r>
              <w:rPr/>
              <w:t>11.51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61" w:type="dxa"/>
            <w:tcBorders/>
            <w:vAlign w:val="center"/>
          </w:tcPr>
          <w:p>
            <w:pPr>
              <w:pStyle w:val="TableContents"/>
              <w:bidi w:val="0"/>
              <w:spacing w:before="0" w:after="283"/>
              <w:jc w:val="right"/>
              <w:rPr/>
            </w:pPr>
            <w:r>
              <w:rPr/>
              <w:t>11.68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181" w:type="dxa"/>
            <w:tcBorders/>
            <w:vAlign w:val="center"/>
          </w:tcPr>
          <w:p>
            <w:pPr>
              <w:pStyle w:val="TableContents"/>
              <w:bidi w:val="0"/>
              <w:spacing w:before="0" w:after="283"/>
              <w:jc w:val="right"/>
              <w:rPr/>
            </w:pPr>
            <w:r>
              <w:rPr/>
              <w:t>10.87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16" w:type="dxa"/>
            <w:tcBorders/>
            <w:vAlign w:val="center"/>
          </w:tcPr>
          <w:p>
            <w:pPr>
              <w:pStyle w:val="TableContents"/>
              <w:bidi w:val="0"/>
              <w:spacing w:before="0" w:after="283"/>
              <w:jc w:val="right"/>
              <w:rPr/>
            </w:pPr>
            <w:r>
              <w:rPr/>
              <w:t>11.02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 </w:t>
            </w:r>
          </w:p>
        </w:tc>
        <w:tc>
          <w:tcPr>
            <w:tcW w:w="1235" w:type="dxa"/>
            <w:tcBorders/>
            <w:vAlign w:val="center"/>
          </w:tcPr>
          <w:p>
            <w:pPr>
              <w:pStyle w:val="TableContents"/>
              <w:bidi w:val="0"/>
              <w:spacing w:before="0" w:after="283"/>
              <w:jc w:val="right"/>
              <w:rPr/>
            </w:pPr>
            <w:r>
              <w:rPr/>
              <w:t>10.67</w:t>
            </w:r>
          </w:p>
        </w:tc>
        <w:tc>
          <w:tcPr>
            <w:tcW w:w="294" w:type="dxa"/>
            <w:tcBorders/>
            <w:vAlign w:val="center"/>
          </w:tcPr>
          <w:p>
            <w:pPr>
              <w:pStyle w:val="TableContents"/>
              <w:bidi w:val="0"/>
              <w:spacing w:before="0" w:after="283"/>
              <w:jc w:val="left"/>
              <w:rPr/>
            </w:pPr>
            <w:r>
              <w:rPr/>
              <w:t>%</w:t>
            </w:r>
          </w:p>
        </w:tc>
      </w:tr>
      <w:tr>
        <w:trPr/>
        <w:tc>
          <w:tcPr>
            <w:tcW w:w="1603" w:type="dxa"/>
            <w:tcBorders/>
            <w:shd w:fill="CCEEFF" w:val="clear"/>
            <w:vAlign w:val="center"/>
          </w:tcPr>
          <w:p>
            <w:pPr>
              <w:pStyle w:val="TableContents"/>
              <w:bidi w:val="0"/>
              <w:spacing w:before="0" w:after="283"/>
              <w:jc w:val="left"/>
              <w:rPr/>
            </w:pPr>
            <w:r>
              <w:rPr/>
              <w:t>Tangible common equity to tangible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35" w:type="dxa"/>
            <w:tcBorders/>
            <w:shd w:fill="CCEEFF" w:val="clear"/>
            <w:vAlign w:val="center"/>
          </w:tcPr>
          <w:p>
            <w:pPr>
              <w:pStyle w:val="TableContents"/>
              <w:bidi w:val="0"/>
              <w:spacing w:before="0" w:after="283"/>
              <w:jc w:val="right"/>
              <w:rPr/>
            </w:pPr>
            <w:r>
              <w:rPr/>
              <w:t>10.32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61" w:type="dxa"/>
            <w:tcBorders/>
            <w:shd w:fill="CCEEFF" w:val="clear"/>
            <w:vAlign w:val="center"/>
          </w:tcPr>
          <w:p>
            <w:pPr>
              <w:pStyle w:val="TableContents"/>
              <w:bidi w:val="0"/>
              <w:spacing w:before="0" w:after="283"/>
              <w:jc w:val="right"/>
              <w:rPr/>
            </w:pPr>
            <w:r>
              <w:rPr/>
              <w:t>10.48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181" w:type="dxa"/>
            <w:tcBorders/>
            <w:shd w:fill="CCEEFF" w:val="clear"/>
            <w:vAlign w:val="center"/>
          </w:tcPr>
          <w:p>
            <w:pPr>
              <w:pStyle w:val="TableContents"/>
              <w:bidi w:val="0"/>
              <w:spacing w:before="0" w:after="283"/>
              <w:jc w:val="right"/>
              <w:rPr/>
            </w:pPr>
            <w:r>
              <w:rPr/>
              <w:t>10.48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16" w:type="dxa"/>
            <w:tcBorders/>
            <w:shd w:fill="CCEEFF" w:val="clear"/>
            <w:vAlign w:val="center"/>
          </w:tcPr>
          <w:p>
            <w:pPr>
              <w:pStyle w:val="TableContents"/>
              <w:bidi w:val="0"/>
              <w:spacing w:before="0" w:after="283"/>
              <w:jc w:val="right"/>
              <w:rPr/>
            </w:pPr>
            <w:r>
              <w:rPr/>
              <w:t>10.61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 </w:t>
            </w:r>
          </w:p>
        </w:tc>
        <w:tc>
          <w:tcPr>
            <w:tcW w:w="1235" w:type="dxa"/>
            <w:tcBorders/>
            <w:shd w:fill="CCEEFF" w:val="clear"/>
            <w:vAlign w:val="center"/>
          </w:tcPr>
          <w:p>
            <w:pPr>
              <w:pStyle w:val="TableContents"/>
              <w:bidi w:val="0"/>
              <w:spacing w:before="0" w:after="283"/>
              <w:jc w:val="right"/>
              <w:rPr/>
            </w:pPr>
            <w:r>
              <w:rPr/>
              <w:t>10.25</w:t>
            </w:r>
          </w:p>
        </w:tc>
        <w:tc>
          <w:tcPr>
            <w:tcW w:w="294" w:type="dxa"/>
            <w:tcBorders/>
            <w:shd w:fill="CCEEFF" w:val="clear"/>
            <w:vAlign w:val="center"/>
          </w:tcPr>
          <w:p>
            <w:pPr>
              <w:pStyle w:val="TableContents"/>
              <w:bidi w:val="0"/>
              <w:spacing w:before="0" w:after="283"/>
              <w:jc w:val="left"/>
              <w:rPr/>
            </w:pPr>
            <w:r>
              <w:rPr/>
              <w:t>%</w:t>
            </w:r>
          </w:p>
        </w:tc>
      </w:tr>
      <w:tr>
        <w:trPr/>
        <w:tc>
          <w:tcPr>
            <w:tcW w:w="1603" w:type="dxa"/>
            <w:tcBorders/>
            <w:vAlign w:val="center"/>
          </w:tcPr>
          <w:p>
            <w:pPr>
              <w:pStyle w:val="TableContents"/>
              <w:bidi w:val="0"/>
              <w:spacing w:before="0" w:after="283"/>
              <w:jc w:val="left"/>
              <w:rPr/>
            </w:pPr>
            <w:r>
              <w:rPr/>
              <w:t>Book value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235" w:type="dxa"/>
            <w:tcBorders/>
            <w:vAlign w:val="center"/>
          </w:tcPr>
          <w:p>
            <w:pPr>
              <w:pStyle w:val="TableContents"/>
              <w:bidi w:val="0"/>
              <w:spacing w:before="0" w:after="283"/>
              <w:jc w:val="right"/>
              <w:rPr/>
            </w:pPr>
            <w:r>
              <w:rPr/>
              <w:t>33.04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161" w:type="dxa"/>
            <w:tcBorders/>
            <w:vAlign w:val="center"/>
          </w:tcPr>
          <w:p>
            <w:pPr>
              <w:pStyle w:val="TableContents"/>
              <w:bidi w:val="0"/>
              <w:spacing w:before="0" w:after="283"/>
              <w:jc w:val="right"/>
              <w:rPr/>
            </w:pPr>
            <w:r>
              <w:rPr/>
              <w:t>33.43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181" w:type="dxa"/>
            <w:tcBorders/>
            <w:vAlign w:val="center"/>
          </w:tcPr>
          <w:p>
            <w:pPr>
              <w:pStyle w:val="TableContents"/>
              <w:bidi w:val="0"/>
              <w:spacing w:before="0" w:after="283"/>
              <w:jc w:val="right"/>
              <w:rPr/>
            </w:pPr>
            <w:r>
              <w:rPr/>
              <w:t>30.90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30.31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right"/>
              <w:rPr/>
            </w:pPr>
            <w:r>
              <w:rPr/>
              <w:t>$</w:t>
            </w:r>
          </w:p>
        </w:tc>
        <w:tc>
          <w:tcPr>
            <w:tcW w:w="1235" w:type="dxa"/>
            <w:tcBorders/>
            <w:vAlign w:val="center"/>
          </w:tcPr>
          <w:p>
            <w:pPr>
              <w:pStyle w:val="TableContents"/>
              <w:bidi w:val="0"/>
              <w:spacing w:before="0" w:after="283"/>
              <w:jc w:val="right"/>
              <w:rPr/>
            </w:pPr>
            <w:r>
              <w:rPr/>
              <w:t>29.41</w:t>
            </w:r>
          </w:p>
        </w:tc>
        <w:tc>
          <w:tcPr>
            <w:tcW w:w="294" w:type="dxa"/>
            <w:tcBorders/>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283"/>
              <w:jc w:val="left"/>
              <w:rPr/>
            </w:pPr>
            <w:r>
              <w:rPr/>
              <w:t>Tangible book value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235" w:type="dxa"/>
            <w:tcBorders/>
            <w:shd w:fill="CCEEFF" w:val="clear"/>
            <w:vAlign w:val="center"/>
          </w:tcPr>
          <w:p>
            <w:pPr>
              <w:pStyle w:val="TableContents"/>
              <w:bidi w:val="0"/>
              <w:spacing w:before="0" w:after="283"/>
              <w:jc w:val="right"/>
              <w:rPr/>
            </w:pPr>
            <w:r>
              <w:rPr/>
              <w:t>29.23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161" w:type="dxa"/>
            <w:tcBorders/>
            <w:shd w:fill="CCEEFF" w:val="clear"/>
            <w:vAlign w:val="center"/>
          </w:tcPr>
          <w:p>
            <w:pPr>
              <w:pStyle w:val="TableContents"/>
              <w:bidi w:val="0"/>
              <w:spacing w:before="0" w:after="283"/>
              <w:jc w:val="right"/>
              <w:rPr/>
            </w:pPr>
            <w:r>
              <w:rPr/>
              <w:t>29.60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181" w:type="dxa"/>
            <w:tcBorders/>
            <w:shd w:fill="CCEEFF" w:val="clear"/>
            <w:vAlign w:val="center"/>
          </w:tcPr>
          <w:p>
            <w:pPr>
              <w:pStyle w:val="TableContents"/>
              <w:bidi w:val="0"/>
              <w:spacing w:before="0" w:after="283"/>
              <w:jc w:val="right"/>
              <w:rPr/>
            </w:pPr>
            <w:r>
              <w:rPr/>
              <w:t>29.65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216" w:type="dxa"/>
            <w:tcBorders/>
            <w:shd w:fill="CCEEFF" w:val="clear"/>
            <w:vAlign w:val="center"/>
          </w:tcPr>
          <w:p>
            <w:pPr>
              <w:pStyle w:val="TableContents"/>
              <w:bidi w:val="0"/>
              <w:spacing w:before="0" w:after="283"/>
              <w:jc w:val="right"/>
              <w:rPr/>
            </w:pPr>
            <w:r>
              <w:rPr/>
              <w:t>29.05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right"/>
              <w:rPr/>
            </w:pPr>
            <w:r>
              <w:rPr/>
              <w:t>$</w:t>
            </w:r>
          </w:p>
        </w:tc>
        <w:tc>
          <w:tcPr>
            <w:tcW w:w="1235" w:type="dxa"/>
            <w:tcBorders/>
            <w:shd w:fill="CCEEFF" w:val="clear"/>
            <w:vAlign w:val="center"/>
          </w:tcPr>
          <w:p>
            <w:pPr>
              <w:pStyle w:val="TableContents"/>
              <w:bidi w:val="0"/>
              <w:spacing w:before="0" w:after="283"/>
              <w:jc w:val="right"/>
              <w:rPr/>
            </w:pPr>
            <w:r>
              <w:rPr/>
              <w:t>28.14</w:t>
            </w:r>
          </w:p>
        </w:tc>
        <w:tc>
          <w:tcPr>
            <w:tcW w:w="294"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2" w:name="ef20084210_ex99-2.htm"/>
      <w:bookmarkStart w:id="3" w:name="ksef20084210_ex992"/>
      <w:bookmarkStart w:id="4" w:name="ef20084210_ex99-2.htm"/>
      <w:bookmarkStart w:id="5" w:name="ksef20084210_ex992"/>
      <w:bookmarkEnd w:id="4"/>
      <w:bookmarkEnd w:id="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99.2</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South Plains Financial  Investor Presentation  October 22,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Safe Harbor Statement and Other Disclosures   FORWARD-LOOKING STATEMENTS  This presentation contains, and future oral and written statements of South Plains Financial, Inc. (“South Plains”, “SPFI”, or the “Company”) and City Bank (“City Bank” or the “Bank”) may contain, statements about future events that constitute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Forward-looking statements include, but are not limited to: (i) projections and estimates of revenues, expenses, income or loss, earnings or loss per share, and other financial items, (ii) statements of plans, objectives and expectations of South Plains or its management, (iii) statements of future economic performance, and (iv) statements of assumptions underlying such statements. Forward-looking statements should not be relied on because they involve known and unknown risks, uncertainties and other factors, some of which are beyond the control of South Plains and City Bank. These risks, uncertainties and other factors may cause the actual results, performance, and achievements of South Plains and City Bank to be materially different from the anticipated future results, performance or achievements expressed in, or implied by, the forward-looking statements. Factors that could cause such changes include, but are not limited to, the impact on us and our customers of a decline in general economic conditions and any regulatory responses thereto; slower economic growth rates or potential recession in the United States and our market areas; uncertainty or perceived instability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further increases in interest rates, or future reductions in interest rates and a resulting decline in net interest income; the persistent inflationary pressures in the United States; the uncertain impacts of current and future monetary policies of the Board of Governors of the Federal Reserve System; a deterioration of credit quality; changes in unemployment rates in the United States and our market areas; adverse changes in customer sentiment, spending, borrowing and savings habits; elevated asset prices; declines in housing and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military conflicts (including the conflicts in the Middle East, the possible expansion of such conflicts and potential geopolitical and economic consequences), acts of terrorism, geopolitical instability, domestic civil unrest or other external events, including as a result of the impact of the policies of the current U.S. presidential administration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our ability to keep pace with changes in, and the risks related to the development, implementation, use and management of, emerging technologies, including digital assets, artificial intelligence and machine learning; potential costs related to the impacts of climate change; current or future litigation, regulatory examinations or other legal and/or regulatory actions; our ability to successfully make and integrate acquisitions, which may include regulatory approvals and conditions, and our ability to recognize the expected benefits and synergies of our completed acquisitions; changes in accounting principles and standards, including those related to loan loss recognition under the current expected credit loss, or CECL, methodology; and changes in applicable laws, regulations, or policies in the United States.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  NON-GAAP FINANCIAL MEASURES  Management believes that certain non-GAAP performance measures used in this presentation provide meaningful information about underlying trends in its business and operations and provide both management and investors a more complete understanding of the Company’s financial position and performance. Non-GAAP financial measures should be viewed in addition to, and not as an alternative for, SPFI’s reported results prepared in accordance with GAAP. Non-GAAP financial measures have limitations as analytical tools, and investors should not consider them in isolation or as a substitute for analysis of the results or financial condition of the Company as reported under GAAP. Numbers in this presentation may not sum due to rounding.  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Today’s Speakers   Curtis C. Griffith Chairman &amp; Chief Executive Officer  Elected to the board of directors of First State Bank of Morton, Texas, in 1972 and employed by it in 1979  Elected Chairman of the First State Bank of Morton board in 1984  Chairman of the Board of City Bank and the Company since 1993  Steven B. Crockett Chief Financial Officer &amp; Treasurer  Appointed Chief Financial Officer in 2015  Previously Controller of City Bank and the Company for 14 and 5 years respectively  Began career in public accounting in 1994 by serving for seven years with a local firm in Lubbock, Texas  Cory T. Newsom President  Entire banking career with the Company focused on lending and operations  Appointed President and Chief Executive Officer of the Bank in 2008  Joined the Board in 2008  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Third Quarter 2026 Highlights  Net income for 3Q’26 was $20.8 million, compared to $19.0 million for 2Q’26  Diluted earnings per share for 3Q’26 was $1.06, compared to $0.96 for 2Q’26  Net interest margin was 4.00% for 3Q’26, compared to 4.00% for 2Q’26  Loans HFI were $3.83 billion as of September 30, 2026, compared to $3.77 billion as of June 30, 2026  Deposits totaled $4.66 billion as of September 30, 2026, compared to $4.64 billion as of June 30, 2026  Nonperforming assets to total assets was 0.31% as of September 30, 2026, compared to 0.19% as of June 30, 2026  Tangible book value (non-GAAP) per share(2) was $29.23 as of September 30,2026, compared to $29.60 as of June 30, 2026  Integration and system conversion efforts with BOH Holdings, Inc. (“BOH”) fully completed during the third quarter. Houston bankers focused on driving business development and growth opportunities in attractive Texas banking markets.   4  Source: Company documents  Net interest margin is calculated on a tax-equivalent basis  Tangible book value per share is a non-GAAP measure. See appendix for the reconciliation of non-GAAP measures to GAAP  Loans Held for Investment  (“HFI”) $3.83 B  Average Yield on Loans  6.75%  Net Income   $20.8 M  EPS - Diluted  $1.06  Net Interest Margin (1)  (“NIM”) 4.00%  Total Deposits  $4.66 B  Return on Average Assets (“ROAA”) 1.53%  Efficiency Ratio   58.12%  Third Quarter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Attractive Markets Poised for Organic Growth  Permian Basin Basin  Dallas / Ft. Worth  The Permian Basin is the largest oil producing region in the U.S., spanning West Texas and southeastern New Mexico  Current oil production of ~6.6 million barrels per day, representing ~48% of total U.S. production   Top operators in the region include ExxonMobil, Chevron, Occidental Petroleum, ConocoPhillips and EOG Resources  Largest MSA in Texas and fourth largest in the nation  Steadily expanding population that accounts for over 26% of the state’s population  Created the third most new jobs of any metro area in the U.S. in 2024  Generated more than $790 billion in GDP in 2024 accounting for ~30% of Texas’ total GDP  Houston   Second largest MSA in Texas and fifth largest in the nation  The 6th largest metro economy in the U.S.   Would rank as the 21st largest economy in the world with GDP of more than $750 billion in 2024  Called the “Energy Capital of the World,” the area also boasts the world’s largest medical center and busiest port in the U.S. in 2025  Lubbock Basin  11th largest Texas city with MSA population exceeding 360,000 people  Major industries in agribusiness, education &amp; research, and healthcare &amp; life sciences, among others  More than 53,000 college students enrolled with ~14,000 graduates annually   A large share graduate with degrees in healthcare, engineering, agriculture and business providing a strong labor pool  5  DFW and Houston data from the BEA, BLS and US Census Bureau  Permian Basin Data from the U.S. EIA  Lubbock data from US Census Bureau, Dallas Fed, and St. Louis Fed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Loan Portfolio  3Q’26 Highlights  Loans HFI increased by $59.7 million from 2Q’26, primarily resulting from organic loan growth broadly across markets during the quarter.   The organic growth was net of one early loan payoff of $25.0 million during the quarter, which was fully secured by the borrower’s deposit account.  The average yield on loans was 6.75% for 3Q’26, compared to 6.81% for 2Q’26. Excluding problem loan interest and fee recoveries, noted below, loan yields have remained steady:  1Q’26 - $545 thousand; +7 bps  3Q’25 - $640 thousand; +8 bps  Total Loans HFI  $ in Millions  6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Major Metropolitan Market Loan Growth  3Q’26 Highlights  Loans HFI in our major metropolitan markets(1) increased $23 million in 3Q’26 as compared to 2Q’26  Completed acquisition of Bank of Houston has provided important scale in Houston, Texas - one of the fastest growing MSAs in the country  Our major metropolitan market loan portfolio represents 44.6% of the Bank’s total loans HFI on September 30, 2026  Total Metropolitan Market(1) Loans  $ in Millions  7  5.00%  Source: Company documents  (1) The Bank defines its “major metropolitan markets” to include Dallas, Houston and El Paso, Texas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Loan HFI Portfolio  Loan Mix  Loan Portfolio ($ in millions)     Commercial C&amp;D  $  217.1  Residential C&amp;D  $  263.4  CRE Owner/Occ.  $  557.9  Other CRE Non Owner/Occ.   $  824.9  Multi-Family   $  212.7  C&amp;I   $  547.9  Agriculture   $  164.5  1-4 Family   $  711.7  Auto   $  270.7  Other Consumer   $  60.3        Total  $  3,831.1  Fixed vs. Variable Rate   8  Source: Company documents  Data as of September 30,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Non-Owner Occupied CRE Portfolio  9  Details  NOO CRE was 39.6% of loans HFI, an increase from 39.1% at June 30, 2026  NOO CRE portfolio is made up of $1.04 billion of income producing loans, and $477.3 million of construction, acquisition, and development loans  Estimated weighted average LTV of income-producing NOO CRE was 57%  Office NOO CRE loans were 12% of loans HFI and had a weighted average LTV of 55%  NOO CRE loans past due 90+ days or nonaccrual: 61 basis points of portfolio  NOO CRE(1) Sector Breakdown  Source: Company documents  Data as of September 30, 2026  (1) Non-owner occupied commercial real estate (“NOO CRE”)  Property Type ($ in millions)     Income-producing:   Multi-family  $  212.8   Retail  $  286.8   Office   $  187.0   Industrial   $  194.0   Storage facilities  $  64.2   Hospitality   $  42.8   Other   $  53.2  Construction, acquisition, and development:      Residential construction   $  153.7   Other   $  323.6        Total  $  1,518.1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Indirect Auto Overview  Indirect Auto Highlights  Indirect auto loans increased to $253.9 million on September 30, 2026, compared to $246.7 million on June 30, 2026  Strong credit quality in the sector, positioned for resiliency across economic cycles(1):  Super Prime Credit (&gt;719): $184.7 million  Prime Credit (719-660): $43.9 million  Near Prime Credit (659-620): $12.3 million  Sub-Prime Credit (619-580): $5.3 million  Deep Sub-Prime Credit (&lt;580): $7.7 million  Loans past due 30+ days: 16 bps of the portfolio  Non-car/truck (RV, boat, etc.): less than 1% of this portfolio  Indirect Auto Credit Breakdown  10  Source: Company documents  Data as of September 30, 2026  (1) Credit score level most recently obtained, at least annually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Noninterest Income Overview  Noninterest Income  $ in Millions  3Q’26 Highlights  Noninterest income was $13.8 million for 3Q’26, compared to $14.1 million for 2Q’26. The decrease was primarily due to:   A decrease of $568 thousand in bank card services and interchange revenue, mainly as a result of incentives received during 2Q’26  Mortgage banking activities revenue was relatively flat, with variances noted on slide 12  11  Source: Company documents  Note: Mortgage servicing rights fair value (“MSR FV”)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Mortgage Banking Revenue  Mortgage Servicing Rights Adjustments  $ in Thousands  3Q’26 Highlights  Mortgage banking revenues relatively flat during the quarter  In 3Q’26, MSRs were written up by $1.6 million as compared to a write up of $515 thousand in 2Q’26   Originations of mortgage loans held for sale declined to $54.0 million from $78.8 million in 2Q’26  12  Source: Company documents  Note: Mortgage servicing rights (“MSR”); Mortgage Banking Revenue (“MBR”); MSR Fair Value (“MSR FV”)     3Q’26  2Q’26  1Q’26  4Q'25  3Q'25  Mortgage Banking Revenue  $  4,878  4,847  3,918  2,390  2,575                    MSR FV Adj.  $  1,570  515  250  (665)  (925)        MBR Excluding MSR FV Adj  $  3,308  4,332  3,668  3,055  3,500        MSR FV Adj. QoQ Delta  $  1,055  265  915  260  (769)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Diversified Revenue Stream  Nine Months Ended September 30, 2026  Total Revenues  $183.9 million  Noninterest Income  $39.2 million  13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Net Interest Income and Margin  Net Interest Income &amp; Margin(1)   $ in Millions  3Q’26 Highlights  Net interest income (“NII”) of $51.5 million, compared to $50.3 million in 2Q’26  Interest income was $76.4 million as compared to $75.0 million in 2Q’26. The $1.4 million quarterly increase was mainly due to an increase of $53.4 million in average interest-bearing assets.   NIM held steady at 4.00% from 2Q’26. Problem loan interest and fee recoveries impacted NIM as noted:  1Q’26 - $545 thousand; +5 bps  3Q’25 - $640 thousand; +6 bps  14  3.54%  Source: Company documents  (1) Net interest margin is calculated on a tax-equivalent basis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Deposit Portfolio  Total Deposits  $ in Millions  3Q’26 Highlights  Total deposits increased $20.1 million from 2Q’26  Total deposits increased $779.5 million from 3Q’25, primarily due to $595.6 million in deposits acquired through the BOH acquisition and organic growth broadly across the deposit portfolio.   Cost of interest-bearing deposits declined slightly to 2.73% from 2.74% in 2Q’26  Cost of deposits declined slightly 207 basis points for 3Q’26, compared to 208 basis points for 2Q’26  Noninterest-bearing deposits to total deposits were 25.3% at September 30, 2026 as compared to 24.8% at June 30, 2026  15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Granular Deposit Base &amp; Ample Liquidity  Total Borrowing Capacity  $2.5 Billion  16  Total Deposit Base Breakdown  Average deposit account size is approximately $43 thousand  City Bank’s percentage of estimated uninsured or uncollateralized deposits is 29% of total deposits  City Bank had $2.5 billion of available borrowing capacity through the Federal Home Loan Bank of Dallas (“FHLB”) and the Federal Reserve Bank of Dallas (“FRB”)  No new borrowings utilized from these sources during 3Q’26.  Source: Company documents  Data as of September 30, 2026  Note: The Bank defines its “major metropolitan markets” to include Dallas, Houston and El Paso, Texas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Credit Quality  3Q’26 Highlights  Nonperforming Ratios  Net Charge-Offs to Average Loans  ACL(1) to Total Loans HFI  17  Provision for credit losses of $830 thousand compared to $350 thousand for 2Q’26  Classified loans of $77.0 million, compared to $80.3 million at June 30, 2026  Nonperforming loans increased by $5.8 million from June 30, 2026; ratio of nonperforming loans to total loans of 0.40%  Source: Company documents  Allowance for Credit Losses (“ACL”)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Investment Securities  3Q’26 Highlights  Investment securities totaled $518.3 million, a $37.1 million decrease from 2Q’26  All securities are classified as available for sale  All municipal bonds are in Texas; fair value hedges of $116 million  All MBS, CMO, and Asset Backed securities are U.S. Government or GSE  Duration of the securities portfolio was 6.37 years at September 30, 2026  3Q’26 Securities Composition  $602.9  million  Securities &amp; Cash  $ in Millions  18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Noninterest Expense and Efficiency  3Q’26 Highlights  Noninterest expense decreased to $38.1 million from 2Q’26, largely attributable to:  A decrease of $1.1 million in acquisition-related expenses  A decline of $326 thousand in mortgage commissions  Efficiency ratio of 58.1% in 3Q’26, compared to 61.6% in 2Q’26  19  Source: Company documents     Noninterest Expense  $ in Millions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Balance Sheet Growth and Development  Balance Sheet Highlights  $ in Millions  Tangible Book Value Per Share(1)  20  Source: Company documents  (1) Tangible book value per share is a non-GAAP measure. See appendix for the reconciliation of non-GAAP measures to GAAP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Strong Capital Base  Common Equity Tier 1 Ratio  Tier 1 Capital to Average Assets Ratio  Total Capital to Risk-Weighted Assets Ratio  21  Source: Company documents  (1) Tangible common equity to tangible assets ratio is a non-GAAP measure. See appendix for the reconciliation of non-GAAP measures to GAAP      Tangible Common Equity to Tangible Assets Ratio(1)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SPFI’s Core Purpose and Values Align Centered on Relationship-Based Business  Our Core Purpose is:   To use the power of relationships to help people succeed and live better  HELP ALL STAKEHOLDERS SUCCEED  Employees  great benefits and opportunities to grow and make a difference.  Customers  personalized advice and solutions to achieve their goals.  Partners  responsive, trusted win-win partnerships enabling both parties to succeed together.  Shareholders  share in the prosperity and performance of the Bank.  THE POWER OF RELATIONSHIPS  At SPFI, we build lifelong, trusted relationships so you know you always have someone in your corner that understands you, cares about you, and stands ready to help.   LIVE BETTER  We want to help everyone live better.   At the end of the day, we do what we do to help enhance lives. We create a great place to work, help people achieve their goals, and invest generously in our communities because there’s nothing more rewarding than helping people succeed and live better.   22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Appendix  23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72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058400" cy="77724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Merger with BOH Holdings, Inc. Completed  Building a Bank for the Future  Houston  Odessa  Austin  Midland  &gt; 1.4%  Situated in some of the highest growth markets in the country  Projected 5-Year Population CAGR  &gt; 1.0%  TX  NM  Lubbock  Dallas  South Plains Branch  (24)  BOH Branch  (2)  24  Strengthens Position in Houston Market  Enhances a top-tier community banking presence in Houston, one of the fastest-growing MSAs in the U.S.  Creates a more balanced, diversified Texas franchise  Expands SPFI’s commercial and private banking relationships across Houston and surrounding counties  11% accretive to EPS with tangible book value earnback under 3 years  Drives improved profitability metrics and enhances long-term shareholder value  Well-structured transaction providing attractive valuation and low execution risk  Financially Compelling Transaction  Preserves a shared focus on relationship-based client service  Provides leadership depth to support continued expansion across high-growth markets  Strong cultural compatibility ensuring smooth integration and sustained franchise momentum  Adds Key Talent With Aligned Community Values  Source: Company documents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0058400" cy="776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058400" cy="776287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Non-GAAP Financial Measures  25  Source: Company documents  $ in thousands, except per share data     For the three months ended           September 30, 2026           June 30, 2026           March 31, 2026           December 31, 2025           September 30, 2025     Pre-tax, pre-provision income                                                              Net income  $  20,765     $  18,992     $  14,545     $  15,254     $  16,318     Income tax expense        5,602           5,286           3,816           3,832           4,342     Provision for credit losses        830           350           260           1,775           500                                                                    Pre-tax, pre-provision income     $  27,197        $  24,628        $  18,621        $  20,861        $  21,160        As of           September 30, 2026           June 30, 2026           March 31, 2026           December 31, 2025           September 30, 2025                                               Tangible common equity                                                              Total common stockholders’ equity  $  622,756     $  629,765     $  504,939     $  493,837     $  477,802     Less: goodwill and other intangibles        (71,857  )         (72,218  )         (20,327  )         (20,448  )         (20,580  )                                                                  Tangible common equity     $  550,899        $  557,547        $  484,612        $  473,389        $  457,222                                                                    Tangible assets                                                              Total assets     $  5,410,874        $  5,391,206        $  4,646,374        $  4,480,500        $  4,479,437     Less: goodwill and other intangibles        (71,857  )         (72,218  )         (20,327  )         (20,448  )         (20,580  )                                                                  Tangible assets     $  5,339,017        $  5,318,988        $  4,626,047        $  4,460,052        $  4,458,857                                                                    Shares outstanding        18,847,573           18,839,105           16,342,219           16,293,577           16,247,839                                                                    Total stockholders’ equity to total assets        11.51  %        11.68  %        10.87  %        11.02  %        10.67  %  Tangible common equity to tangible assets        10.32  %        10.48  %        10.48  %        10.61  %        10.25  %  Book value per share     $  33.04        $  33.43        $  30.90        $  30.31        $  29.41     Tangible book value per share     $  29.23        $  29.60        $  29.65        $  29.05        $  28.14    </w:t>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 w:name="ef20084210_ex99-3.htm"/>
      <w:bookmarkStart w:id="7" w:name="ksef20084210_ex993"/>
      <w:bookmarkStart w:id="8" w:name="ef20084210_ex99-3.htm"/>
      <w:bookmarkStart w:id="9" w:name="ksef20084210_ex993"/>
      <w:bookmarkEnd w:id="8"/>
      <w:bookmarkEnd w:id="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99.3</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3819525" cy="552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819525" cy="5524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South Plains Financial, Inc. Announces 6% Increase to Quarterly Cash Dividend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LUBBOCK, Texas, October 22, 2026 (GLOBE NEWSWIRE) -- South Plains Financial, Inc. (NASDAQ:SPFI) (“South Plains”), the parent company of City Bank, today announced that its Board of Directors has declared a quarterly cash dividend of $0.19 per share of common stock, a 6% increase from the most recent quarterly cash dividend declared in July 2026. The dividend is payable on November 16, 2026 to shareholders of record as of the close of business on November 2, 2026.</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About South Plains Financial, Inc.</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https://www.spfi.bank for more information.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Contact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Mikella Newsom, Chief Risk Officer and Secretary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(866) 771-3347</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investors@city.bank</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Source: South Plains Financial, Inc.</w:t>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9578</Words>
  <Characters>52418</Characters>
  <CharactersWithSpaces>66390</CharactersWithSpaces>
  <Paragraphs>5163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