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Griffith Curtis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980" w:type="dxa"/>
            <w:vAlign w:val="bottom"/>
            <w:gridSpan w:val="4"/>
            <w:vMerge w:val="restart"/>
          </w:tcPr>
          <w:p>
            <w:pPr>
              <w:ind w:left="80"/>
              <w:spacing w:after="0" w:line="22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SPFI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880" w:type="dxa"/>
            <w:vAlign w:val="bottom"/>
            <w:vMerge w:val="restart"/>
          </w:tcPr>
          <w:p>
            <w:pPr>
              <w:jc w:val="right"/>
              <w:ind w:right="20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12/18/2019</w:t>
            </w:r>
          </w:p>
        </w:tc>
        <w:tc>
          <w:tcPr>
            <w:tcW w:w="336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21,955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87,955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were granted pursuant to the Employment Agreement between the Issuer and the Reporting Person. One-fourth of the stock options vest on the 1st anniversary of January 1, 2019, and the remaining three-fourths shall vest pro rata on a monthly basis over the 36 months following January 1, 2020.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17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Curtis C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Griffith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35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195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2019-12-20T14:23:19Z</dcterms:created>
  <dcterms:modified xsi:type="dcterms:W3CDTF">2019-12-20T14:23:19Z</dcterms:modified>
</cp:coreProperties>
</file>