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22, 2019</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64770</wp:posOffset>
            </wp:positionV>
            <wp:extent cx="7289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74295</wp:posOffset>
            </wp:positionV>
            <wp:extent cx="7289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189" w:lineRule="exact"/>
        <w:rPr>
          <w:sz w:val="24"/>
          <w:szCs w:val="24"/>
          <w:color w:val="auto"/>
        </w:rPr>
      </w:pPr>
    </w:p>
    <w:p>
      <w:pPr>
        <w:ind w:left="2540"/>
        <w:spacing w:after="0"/>
        <w:rPr>
          <w:sz w:val="20"/>
          <w:szCs w:val="20"/>
          <w:color w:val="auto"/>
        </w:rPr>
      </w:pPr>
      <w:r>
        <w:rPr>
          <w:rFonts w:ascii="Arial" w:cs="Arial" w:eastAsia="Arial" w:hAnsi="Arial"/>
          <w:sz w:val="43"/>
          <w:szCs w:val="43"/>
          <w:b w:val="1"/>
          <w:bCs w:val="1"/>
          <w:color w:val="auto"/>
        </w:rPr>
        <w:t>SOUTH PLAINS FINANCIAL, INC.</w:t>
      </w:r>
    </w:p>
    <w:p>
      <w:pPr>
        <w:spacing w:after="0" w:line="50" w:lineRule="exact"/>
        <w:rPr>
          <w:sz w:val="24"/>
          <w:szCs w:val="24"/>
          <w:color w:val="auto"/>
        </w:rPr>
      </w:pPr>
    </w:p>
    <w:tbl>
      <w:tblPr>
        <w:tblLayout w:type="fixed"/>
        <w:tblInd w:w="1400" w:type="dxa"/>
        <w:tblCellMar>
          <w:top w:w="0" w:type="dxa"/>
          <w:left w:w="0" w:type="dxa"/>
          <w:bottom w:w="0" w:type="dxa"/>
          <w:right w:w="0" w:type="dxa"/>
        </w:tblCellMar>
      </w:tblPr>
      <w:tr>
        <w:trPr>
          <w:trHeight w:val="230"/>
        </w:trPr>
        <w:tc>
          <w:tcPr>
            <w:tcW w:w="6260" w:type="dxa"/>
            <w:vAlign w:val="bottom"/>
          </w:tcPr>
          <w:p>
            <w:pPr>
              <w:ind w:left="2460"/>
              <w:spacing w:after="0"/>
              <w:rPr>
                <w:sz w:val="20"/>
                <w:szCs w:val="20"/>
                <w:color w:val="auto"/>
              </w:rPr>
            </w:pPr>
            <w:r>
              <w:rPr>
                <w:rFonts w:ascii="Arial" w:cs="Arial" w:eastAsia="Arial" w:hAnsi="Arial"/>
                <w:sz w:val="18"/>
                <w:szCs w:val="18"/>
                <w:color w:val="auto"/>
                <w:w w:val="92"/>
              </w:rPr>
              <w:t>(Exact name of registrant as specified in its charter)</w:t>
            </w:r>
          </w:p>
        </w:tc>
        <w:tc>
          <w:tcPr>
            <w:tcW w:w="1740" w:type="dxa"/>
            <w:vAlign w:val="bottom"/>
          </w:tcPr>
          <w:p>
            <w:pPr>
              <w:spacing w:after="0"/>
              <w:rPr>
                <w:sz w:val="20"/>
                <w:szCs w:val="20"/>
                <w:color w:val="auto"/>
              </w:rPr>
            </w:pPr>
          </w:p>
        </w:tc>
      </w:tr>
      <w:tr>
        <w:trPr>
          <w:trHeight w:val="429"/>
        </w:trPr>
        <w:tc>
          <w:tcPr>
            <w:tcW w:w="6260" w:type="dxa"/>
            <w:vAlign w:val="bottom"/>
          </w:tcPr>
          <w:p>
            <w:pPr>
              <w:jc w:val="center"/>
              <w:ind w:right="3250"/>
              <w:spacing w:after="0"/>
              <w:rPr>
                <w:sz w:val="20"/>
                <w:szCs w:val="20"/>
                <w:color w:val="auto"/>
              </w:rPr>
            </w:pPr>
            <w:r>
              <w:rPr>
                <w:rFonts w:ascii="Arial" w:cs="Arial" w:eastAsia="Arial" w:hAnsi="Arial"/>
                <w:sz w:val="18"/>
                <w:szCs w:val="18"/>
                <w:b w:val="1"/>
                <w:bCs w:val="1"/>
                <w:color w:val="auto"/>
                <w:w w:val="86"/>
              </w:rPr>
              <w:t>Texas</w:t>
            </w:r>
          </w:p>
        </w:tc>
        <w:tc>
          <w:tcPr>
            <w:tcW w:w="1740" w:type="dxa"/>
            <w:vAlign w:val="bottom"/>
          </w:tcPr>
          <w:p>
            <w:pPr>
              <w:jc w:val="right"/>
              <w:ind w:right="310"/>
              <w:spacing w:after="0"/>
              <w:rPr>
                <w:sz w:val="20"/>
                <w:szCs w:val="20"/>
                <w:color w:val="auto"/>
              </w:rPr>
            </w:pPr>
            <w:r>
              <w:rPr>
                <w:rFonts w:ascii="Arial" w:cs="Arial" w:eastAsia="Arial" w:hAnsi="Arial"/>
                <w:sz w:val="18"/>
                <w:szCs w:val="18"/>
                <w:b w:val="1"/>
                <w:bCs w:val="1"/>
                <w:color w:val="auto"/>
              </w:rPr>
              <w:t>75-2453320</w:t>
            </w:r>
          </w:p>
        </w:tc>
      </w:tr>
      <w:tr>
        <w:trPr>
          <w:trHeight w:val="216"/>
        </w:trPr>
        <w:tc>
          <w:tcPr>
            <w:tcW w:w="6260" w:type="dxa"/>
            <w:vAlign w:val="bottom"/>
          </w:tcPr>
          <w:p>
            <w:pPr>
              <w:jc w:val="center"/>
              <w:ind w:right="3230"/>
              <w:spacing w:after="0"/>
              <w:rPr>
                <w:sz w:val="20"/>
                <w:szCs w:val="20"/>
                <w:color w:val="auto"/>
              </w:rPr>
            </w:pPr>
            <w:r>
              <w:rPr>
                <w:rFonts w:ascii="Arial" w:cs="Arial" w:eastAsia="Arial" w:hAnsi="Arial"/>
                <w:sz w:val="18"/>
                <w:szCs w:val="18"/>
                <w:color w:val="auto"/>
                <w:w w:val="92"/>
              </w:rPr>
              <w:t>(State or other jurisdiction</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6260" w:type="dxa"/>
            <w:vAlign w:val="bottom"/>
          </w:tcPr>
          <w:p>
            <w:pPr>
              <w:jc w:val="center"/>
              <w:ind w:right="3250"/>
              <w:spacing w:after="0"/>
              <w:rPr>
                <w:sz w:val="20"/>
                <w:szCs w:val="20"/>
                <w:color w:val="auto"/>
              </w:rPr>
            </w:pPr>
            <w:r>
              <w:rPr>
                <w:rFonts w:ascii="Arial" w:cs="Arial" w:eastAsia="Arial" w:hAnsi="Arial"/>
                <w:sz w:val="18"/>
                <w:szCs w:val="18"/>
                <w:color w:val="auto"/>
                <w:w w:val="92"/>
              </w:rPr>
              <w:t>of incorporation or organization)</w:t>
            </w: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6260" w:type="dxa"/>
            <w:vAlign w:val="bottom"/>
          </w:tcPr>
          <w:p>
            <w:pPr>
              <w:jc w:val="center"/>
              <w:ind w:right="3250"/>
              <w:spacing w:after="0"/>
              <w:rPr>
                <w:sz w:val="20"/>
                <w:szCs w:val="20"/>
                <w:color w:val="auto"/>
              </w:rPr>
            </w:pPr>
            <w:r>
              <w:rPr>
                <w:rFonts w:ascii="Arial" w:cs="Arial" w:eastAsia="Arial" w:hAnsi="Arial"/>
                <w:sz w:val="18"/>
                <w:szCs w:val="18"/>
                <w:b w:val="1"/>
                <w:bCs w:val="1"/>
                <w:color w:val="auto"/>
                <w:w w:val="93"/>
              </w:rPr>
              <w:t>5219 City Bank Parkway</w:t>
            </w:r>
          </w:p>
        </w:tc>
        <w:tc>
          <w:tcPr>
            <w:tcW w:w="1740" w:type="dxa"/>
            <w:vAlign w:val="bottom"/>
          </w:tcPr>
          <w:p>
            <w:pPr>
              <w:spacing w:after="0"/>
              <w:rPr>
                <w:sz w:val="24"/>
                <w:szCs w:val="24"/>
                <w:color w:val="auto"/>
              </w:rPr>
            </w:pPr>
          </w:p>
        </w:tc>
      </w:tr>
      <w:tr>
        <w:trPr>
          <w:trHeight w:val="220"/>
        </w:trPr>
        <w:tc>
          <w:tcPr>
            <w:tcW w:w="6260" w:type="dxa"/>
            <w:vAlign w:val="bottom"/>
          </w:tcPr>
          <w:p>
            <w:pPr>
              <w:jc w:val="center"/>
              <w:ind w:right="3190"/>
              <w:spacing w:after="0"/>
              <w:rPr>
                <w:sz w:val="20"/>
                <w:szCs w:val="20"/>
                <w:color w:val="auto"/>
              </w:rPr>
            </w:pPr>
            <w:r>
              <w:rPr>
                <w:rFonts w:ascii="Arial" w:cs="Arial" w:eastAsia="Arial" w:hAnsi="Arial"/>
                <w:sz w:val="18"/>
                <w:szCs w:val="18"/>
                <w:b w:val="1"/>
                <w:bCs w:val="1"/>
                <w:color w:val="auto"/>
                <w:w w:val="89"/>
              </w:rPr>
              <w:t>Lubbock, Texas</w:t>
            </w:r>
          </w:p>
        </w:tc>
        <w:tc>
          <w:tcPr>
            <w:tcW w:w="1740" w:type="dxa"/>
            <w:vAlign w:val="bottom"/>
          </w:tcPr>
          <w:p>
            <w:pPr>
              <w:jc w:val="right"/>
              <w:ind w:right="510"/>
              <w:spacing w:after="0"/>
              <w:rPr>
                <w:sz w:val="20"/>
                <w:szCs w:val="20"/>
                <w:color w:val="auto"/>
              </w:rPr>
            </w:pPr>
            <w:r>
              <w:rPr>
                <w:rFonts w:ascii="Arial" w:cs="Arial" w:eastAsia="Arial" w:hAnsi="Arial"/>
                <w:sz w:val="18"/>
                <w:szCs w:val="18"/>
                <w:b w:val="1"/>
                <w:bCs w:val="1"/>
                <w:color w:val="auto"/>
              </w:rPr>
              <w:t>79407</w:t>
            </w:r>
          </w:p>
        </w:tc>
      </w:tr>
      <w:tr>
        <w:trPr>
          <w:trHeight w:val="230"/>
        </w:trPr>
        <w:tc>
          <w:tcPr>
            <w:tcW w:w="6260" w:type="dxa"/>
            <w:vAlign w:val="bottom"/>
          </w:tcPr>
          <w:p>
            <w:pPr>
              <w:jc w:val="center"/>
              <w:ind w:right="3230"/>
              <w:spacing w:after="0"/>
              <w:rPr>
                <w:sz w:val="20"/>
                <w:szCs w:val="20"/>
                <w:color w:val="auto"/>
              </w:rPr>
            </w:pPr>
            <w:r>
              <w:rPr>
                <w:rFonts w:ascii="Arial" w:cs="Arial" w:eastAsia="Arial" w:hAnsi="Arial"/>
                <w:sz w:val="18"/>
                <w:szCs w:val="18"/>
                <w:color w:val="auto"/>
                <w:w w:val="92"/>
              </w:rPr>
              <w:t>(Address of Principal Executive Offices)</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2019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Curtis C. Griffith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5219 City Bank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Lubbock, Texas 79407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3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(806) 792-7101</w:t>
      </w:r>
    </w:p>
    <w:p>
      <w:pPr>
        <w:spacing w:after="0" w:line="40"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83185</wp:posOffset>
            </wp:positionV>
            <wp:extent cx="7289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28" w:lineRule="exact"/>
        <w:rPr>
          <w:sz w:val="24"/>
          <w:szCs w:val="24"/>
          <w:color w:val="auto"/>
        </w:rPr>
      </w:pPr>
    </w:p>
    <w:p>
      <w:pPr>
        <w:ind w:left="5320"/>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Peter G. Weinstock</w:t>
      </w:r>
    </w:p>
    <w:p>
      <w:pPr>
        <w:spacing w:after="0" w:line="9"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Heather A. Eastep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Hunton Andrews Kurth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1445 Ross Avenue, Suite 3700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Dallas, Texas 75202</w:t>
      </w:r>
    </w:p>
    <w:p>
      <w:pPr>
        <w:spacing w:after="0" w:line="9" w:lineRule="exact"/>
        <w:rPr>
          <w:sz w:val="24"/>
          <w:szCs w:val="24"/>
          <w:color w:val="auto"/>
        </w:rPr>
      </w:pPr>
    </w:p>
    <w:p>
      <w:pPr>
        <w:ind w:left="5600" w:hanging="430"/>
        <w:spacing w:after="0"/>
        <w:tabs>
          <w:tab w:leader="none" w:pos="560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979-3000</w:t>
      </w:r>
    </w:p>
    <w:p>
      <w:pPr>
        <w:spacing w:after="0" w:line="9" w:lineRule="exact"/>
        <w:rPr>
          <w:rFonts w:ascii="Arial" w:cs="Arial" w:eastAsia="Arial" w:hAnsi="Arial"/>
          <w:sz w:val="18"/>
          <w:szCs w:val="18"/>
          <w:b w:val="1"/>
          <w:bCs w:val="1"/>
          <w:color w:val="auto"/>
        </w:rPr>
      </w:pPr>
    </w:p>
    <w:p>
      <w:pPr>
        <w:ind w:left="5180" w:hanging="428"/>
        <w:spacing w:after="0"/>
        <w:tabs>
          <w:tab w:leader="none" w:pos="5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880-0011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74295</wp:posOffset>
            </wp:positionV>
            <wp:extent cx="7289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18"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6220" w:type="dxa"/>
            <w:vAlign w:val="bottom"/>
            <w:gridSpan w:val="2"/>
          </w:tcPr>
          <w:p>
            <w:pPr>
              <w:ind w:left="100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(Do not check if a smaller reporting 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2620" w:type="dxa"/>
            <w:vAlign w:val="bottom"/>
          </w:tcPr>
          <w:p>
            <w:pPr>
              <w:spacing w:after="0"/>
              <w:rPr>
                <w:sz w:val="23"/>
                <w:szCs w:val="23"/>
                <w:color w:val="auto"/>
              </w:rPr>
            </w:pPr>
          </w:p>
        </w:tc>
        <w:tc>
          <w:tcPr>
            <w:tcW w:w="2780" w:type="dxa"/>
            <w:vAlign w:val="bottom"/>
          </w:tcPr>
          <w:p>
            <w:pPr>
              <w:ind w:left="1000"/>
              <w:spacing w:after="0"/>
              <w:rPr>
                <w:sz w:val="20"/>
                <w:szCs w:val="20"/>
                <w:color w:val="auto"/>
              </w:rPr>
            </w:pPr>
            <w:r>
              <w:rPr>
                <w:rFonts w:ascii="Arial" w:cs="Arial" w:eastAsia="Arial" w:hAnsi="Arial"/>
                <w:sz w:val="18"/>
                <w:szCs w:val="18"/>
                <w:color w:val="auto"/>
              </w:rPr>
              <w:t>company)</w:t>
            </w:r>
          </w:p>
        </w:tc>
        <w:tc>
          <w:tcPr>
            <w:tcW w:w="3440" w:type="dxa"/>
            <w:vAlign w:val="bottom"/>
          </w:tcPr>
          <w:p>
            <w:pPr>
              <w:ind w:left="106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160" w:type="dxa"/>
            <w:vAlign w:val="bottom"/>
            <w:tcBorders>
              <w:top w:val="single" w:sz="8" w:color="auto"/>
              <w:left w:val="single" w:sz="8" w:color="auto"/>
              <w:right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spacing w:after="0"/>
              <w:rPr>
                <w:sz w:val="18"/>
                <w:szCs w:val="18"/>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4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Securities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Aggregate Offering</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r>
      <w:tr>
        <w:trPr>
          <w:trHeight w:val="241"/>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to be Registered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r>
      <w:tr>
        <w:trPr>
          <w:trHeight w:val="223"/>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par value $1.00 per share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xml:space="preserve">3,188,000 shares </w:t>
            </w:r>
            <w:r>
              <w:rPr>
                <w:rFonts w:ascii="Arial" w:cs="Arial" w:eastAsia="Arial" w:hAnsi="Arial"/>
                <w:sz w:val="18"/>
                <w:szCs w:val="18"/>
                <w:b w:val="1"/>
                <w:bCs w:val="1"/>
                <w:color w:val="auto"/>
                <w:w w:val="89"/>
              </w:rPr>
              <w:t>(1)</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 xml:space="preserve">$17.50 </w:t>
            </w:r>
            <w:r>
              <w:rPr>
                <w:rFonts w:ascii="Arial" w:cs="Arial" w:eastAsia="Arial" w:hAnsi="Arial"/>
                <w:sz w:val="18"/>
                <w:szCs w:val="18"/>
                <w:b w:val="1"/>
                <w:bCs w:val="1"/>
                <w:color w:val="auto"/>
                <w:w w:val="92"/>
              </w:rPr>
              <w:t>(2)</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 xml:space="preserve">$55,790,000 </w:t>
            </w:r>
            <w:r>
              <w:rPr>
                <w:rFonts w:ascii="Arial" w:cs="Arial" w:eastAsia="Arial" w:hAnsi="Arial"/>
                <w:sz w:val="18"/>
                <w:szCs w:val="18"/>
                <w:b w:val="1"/>
                <w:bCs w:val="1"/>
                <w:color w:val="auto"/>
                <w:w w:val="91"/>
              </w:rPr>
              <w:t>(2)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$6,761.75</w:t>
            </w:r>
          </w:p>
        </w:tc>
      </w:tr>
    </w:tbl>
    <w:p>
      <w:pPr>
        <w:spacing w:after="0" w:line="229" w:lineRule="exact"/>
        <w:rPr>
          <w:sz w:val="24"/>
          <w:szCs w:val="24"/>
          <w:color w:val="auto"/>
        </w:rPr>
      </w:pPr>
    </w:p>
    <w:p>
      <w:pPr>
        <w:jc w:val="both"/>
        <w:ind w:left="660" w:hanging="652"/>
        <w:spacing w:after="0" w:line="29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Registration Statement on Form S-8 (this “Registration Statement”) covers an aggregate of 3,188,000 shares of common stock, par value $1.00 per share (the “Common Stock”) of South Plains Financial, Inc., a Texas corporation (the “Registrant”) reserved for issuance under the South Plains Financial, Inc. 2019 Equity Incentive Plan (the “Plan”). The number of shares to be registered under the plan is: the Plan—2,300,000, plus 888,000 shares that may be added in the future pursuant to the “evergreen” provisions of the Plan. The “evergreen” provision in the Plan provides that on the first day of each fiscal year, an additional number of shares equal to the lesser of: (i) three percent (3%) of the total issued and outstanding common shares of the Registrant on the first day of such fiscal year, or (ii) such lesser amount determined by the board of directors will be added to the shares of Common Stock authorized for issuance under the Plan. Pursuant to Rule 416 under the Securities Act of 1933, as amended (the “Securities Act”),</w:t>
      </w:r>
    </w:p>
    <w:p>
      <w:pPr>
        <w:sectPr>
          <w:pgSz w:w="11900" w:h="16865" w:orient="portrait"/>
          <w:cols w:equalWidth="0" w:num="1">
            <w:col w:w="11420"/>
          </w:cols>
          <w:pgMar w:left="240" w:top="229" w:right="239" w:bottom="0" w:gutter="0" w:footer="0" w:header="0"/>
        </w:sectPr>
      </w:pPr>
    </w:p>
    <w:bookmarkStart w:id="1" w:name="page2"/>
    <w:bookmarkEnd w:id="1"/>
    <w:p>
      <w:pPr>
        <w:jc w:val="both"/>
        <w:ind w:left="652" w:right="20"/>
        <w:spacing w:after="0" w:line="256" w:lineRule="auto"/>
        <w:rPr>
          <w:sz w:val="20"/>
          <w:szCs w:val="20"/>
          <w:color w:val="auto"/>
        </w:rPr>
      </w:pPr>
      <w:r>
        <w:rPr>
          <w:rFonts w:ascii="Arial" w:cs="Arial" w:eastAsia="Arial" w:hAnsi="Arial"/>
          <w:sz w:val="18"/>
          <w:szCs w:val="18"/>
          <w:color w:val="auto"/>
        </w:rPr>
        <w:t>this Registration Statement also covers an indeterminate number of additional shares of Common Stock that become issuable under the Plan as may be necessary to adjust the number of shares being offered or issued pursuant to the Plan as a result of stock splits, stock dividends or similar transactions.</w:t>
      </w:r>
    </w:p>
    <w:p>
      <w:pPr>
        <w:jc w:val="both"/>
        <w:ind w:left="652" w:hanging="652"/>
        <w:spacing w:after="0" w:line="254"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solely for the purposes of calculating the amount of the registration fee pursuant to Rule 457(h) of the Securities Act. The proposed maximum offering price per share and the proposed maximum aggregate offering price are based upon a price of $17.50 per share of Common Stock, which is the initial public offering price set forth on the cover page of the Registrant’s final prospectus pursuant to Rule 424(b) under the Securities Act, dated May 8, 2019, relating to its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309880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455295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Registrant will send or give to all participants in the Plan document(s) containing the information required in Part I of Form S-8, as specified in Rule 428(b)(1) promulgated by the Securities and Exchange Commission (the “Commission”) under the Securities Act. In accordance with Rule 428(b)(2), the Registrant has not filed such document(s) with the Commission, but such document(s) (along with the documents incorporated by reference into this Registration Statement pursuant to Item 3 of Part II hereof) shall constitute a prospectus that meets the requirements of Section 10(a) of the Securities Act. The Registrant shall make available, without charge, upon written or oral request, additional copies of documents required to be delivered to participants pursuant to Rule 428(b).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7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Except to the extent that information is deemed furnished and not filed pursuant to securities laws and regulations, the Registrant incorporates by reference in this Registration Statement the following documents and information previously filed with the Commission, which shall be deemed a part hereof:</w:t>
      </w:r>
    </w:p>
    <w:p>
      <w:pPr>
        <w:spacing w:after="0" w:line="151" w:lineRule="exact"/>
        <w:rPr>
          <w:sz w:val="20"/>
          <w:szCs w:val="20"/>
          <w:color w:val="auto"/>
        </w:rPr>
      </w:pPr>
    </w:p>
    <w:p>
      <w:pPr>
        <w:jc w:val="both"/>
        <w:ind w:firstLine="656"/>
        <w:spacing w:after="0" w:line="342" w:lineRule="auto"/>
        <w:tabs>
          <w:tab w:leader="none" w:pos="921"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Registrant’s prospectus filed pursuant to </w:t>
      </w:r>
      <w:hyperlink r:id="rId18">
        <w:r>
          <w:rPr>
            <w:rFonts w:ascii="Arial" w:cs="Arial" w:eastAsia="Arial" w:hAnsi="Arial"/>
            <w:sz w:val="16"/>
            <w:szCs w:val="16"/>
            <w:u w:val="single" w:color="auto"/>
            <w:color w:val="0000EE"/>
          </w:rPr>
          <w:t>Rule 424(b)</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under the Securities Act filed with the Commission on May 9, 2019 relating to the Registrant’s registration statement on </w:t>
      </w:r>
      <w:hyperlink r:id="rId19">
        <w:r>
          <w:rPr>
            <w:rFonts w:ascii="Arial" w:cs="Arial" w:eastAsia="Arial" w:hAnsi="Arial"/>
            <w:sz w:val="16"/>
            <w:szCs w:val="16"/>
            <w:u w:val="single" w:color="auto"/>
            <w:color w:val="0000EE"/>
          </w:rPr>
          <w:t>Form S-1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by the Registrant on April 12, 2019 (File No. 333-230851) (the “Form S-1 Registration Statement”); and</w:t>
      </w:r>
    </w:p>
    <w:p>
      <w:pPr>
        <w:spacing w:after="0" w:line="150" w:lineRule="exact"/>
        <w:rPr>
          <w:rFonts w:ascii="Arial" w:cs="Arial" w:eastAsia="Arial" w:hAnsi="Arial"/>
          <w:sz w:val="16"/>
          <w:szCs w:val="16"/>
          <w:color w:val="auto"/>
        </w:rPr>
      </w:pPr>
    </w:p>
    <w:p>
      <w:pPr>
        <w:jc w:val="both"/>
        <w:ind w:firstLine="656"/>
        <w:spacing w:after="0" w:line="259" w:lineRule="auto"/>
        <w:tabs>
          <w:tab w:leader="none" w:pos="940" w:val="left"/>
        </w:tabs>
        <w:numPr>
          <w:ilvl w:val="0"/>
          <w:numId w:val="5"/>
        </w:numPr>
        <w:rPr>
          <w:rFonts w:ascii="Arial" w:cs="Arial" w:eastAsia="Arial" w:hAnsi="Arial"/>
          <w:sz w:val="18"/>
          <w:szCs w:val="18"/>
          <w:color w:val="0000EE"/>
        </w:rPr>
      </w:pPr>
      <w:r>
        <w:rPr>
          <w:rFonts w:ascii="Arial" w:cs="Arial" w:eastAsia="Arial" w:hAnsi="Arial"/>
          <w:sz w:val="18"/>
          <w:szCs w:val="18"/>
          <w:color w:val="auto"/>
        </w:rPr>
        <w:t xml:space="preserve">The description of the Common Stock under the caption “Description of Capital Stock” contained in the prospectus forming part of the Registrant’s Form S-1 Registration Statement, which description has been incorporated by reference in Item 1 of the Registrant’s Registration Statement on </w:t>
      </w:r>
      <w:hyperlink r:id="rId20">
        <w:r>
          <w:rPr>
            <w:rFonts w:ascii="Arial" w:cs="Arial" w:eastAsia="Arial" w:hAnsi="Arial"/>
            <w:sz w:val="18"/>
            <w:szCs w:val="18"/>
            <w:u w:val="single" w:color="auto"/>
            <w:color w:val="0000EE"/>
          </w:rPr>
          <w:t>Form 8-A</w:t>
        </w:r>
        <w:r>
          <w:rPr>
            <w:rFonts w:ascii="Arial" w:cs="Arial" w:eastAsia="Arial" w:hAnsi="Arial"/>
            <w:sz w:val="18"/>
            <w:szCs w:val="18"/>
            <w:color w:val="0000EE"/>
          </w:rPr>
          <w:t xml:space="preserve"> </w:t>
        </w:r>
      </w:hyperlink>
      <w:r>
        <w:rPr>
          <w:rFonts w:ascii="Arial" w:cs="Arial" w:eastAsia="Arial" w:hAnsi="Arial"/>
          <w:sz w:val="18"/>
          <w:szCs w:val="18"/>
          <w:color w:val="000000"/>
        </w:rPr>
        <w:t>(File</w:t>
      </w:r>
      <w:r>
        <w:rPr>
          <w:rFonts w:ascii="Arial" w:cs="Arial" w:eastAsia="Arial" w:hAnsi="Arial"/>
          <w:sz w:val="18"/>
          <w:szCs w:val="18"/>
          <w:color w:val="0000EE"/>
        </w:rPr>
        <w:t xml:space="preserve"> </w:t>
      </w:r>
      <w:r>
        <w:rPr>
          <w:rFonts w:ascii="Arial" w:cs="Arial" w:eastAsia="Arial" w:hAnsi="Arial"/>
          <w:sz w:val="18"/>
          <w:szCs w:val="18"/>
          <w:color w:val="000000"/>
        </w:rPr>
        <w:t>No. 001-38895), filed pursuant to Section 12 of the Exchange Act, on May 6, 2019, including any amendment or report filed for the purpose</w:t>
      </w:r>
      <w:r>
        <w:rPr>
          <w:rFonts w:ascii="Arial" w:cs="Arial" w:eastAsia="Arial" w:hAnsi="Arial"/>
          <w:sz w:val="18"/>
          <w:szCs w:val="18"/>
          <w:color w:val="0000EE"/>
        </w:rPr>
        <w:t xml:space="preserve"> </w:t>
      </w:r>
      <w:r>
        <w:rPr>
          <w:rFonts w:ascii="Arial" w:cs="Arial" w:eastAsia="Arial" w:hAnsi="Arial"/>
          <w:sz w:val="18"/>
          <w:szCs w:val="18"/>
          <w:color w:val="000000"/>
        </w:rPr>
        <w:t>of updating such description.</w:t>
      </w:r>
    </w:p>
    <w:p>
      <w:pPr>
        <w:spacing w:after="0" w:line="214" w:lineRule="exact"/>
        <w:rPr>
          <w:rFonts w:ascii="Arial" w:cs="Arial" w:eastAsia="Arial" w:hAnsi="Arial"/>
          <w:sz w:val="16"/>
          <w:szCs w:val="16"/>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to the extent that information is deemed furnished and not filed pursuant to securities laws and regulations, all documents filed with the Commission by the Registrant pursuant to Sections 13(a), 13(c), 14 or 15(d) of the Exchange Act and all reports on Form 8-K subsequent to the date of this Registration Statement and prior to the filing of a post-effective amendment to this Registration Statement that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215" w:lineRule="exact"/>
        <w:rPr>
          <w:rFonts w:ascii="Arial" w:cs="Arial" w:eastAsia="Arial" w:hAnsi="Arial"/>
          <w:sz w:val="16"/>
          <w:szCs w:val="16"/>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statement contained herein or in a document incorporated or deemed to be incorporated herein by reference shall be deemed to be modified or superseded for purposes of this Registration Statement to the extent that a statement contained herein or in any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1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56"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56"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56" w:lineRule="exact"/>
        <w:rPr>
          <w:rFonts w:ascii="Arial" w:cs="Arial" w:eastAsia="Arial" w:hAnsi="Arial"/>
          <w:sz w:val="16"/>
          <w:szCs w:val="16"/>
          <w:color w:val="auto"/>
        </w:rPr>
      </w:pPr>
    </w:p>
    <w:p>
      <w:pPr>
        <w:ind w:right="40" w:firstLine="648"/>
        <w:spacing w:after="0" w:line="312" w:lineRule="auto"/>
        <w:rPr>
          <w:sz w:val="20"/>
          <w:szCs w:val="20"/>
          <w:color w:val="auto"/>
        </w:rPr>
      </w:pPr>
      <w:r>
        <w:rPr>
          <w:rFonts w:ascii="Arial" w:cs="Arial" w:eastAsia="Arial" w:hAnsi="Arial"/>
          <w:sz w:val="16"/>
          <w:szCs w:val="16"/>
          <w:color w:val="auto"/>
        </w:rPr>
        <w:t>The Texas Business Organizations Code (“TBOC”) permits a Texas corporation to limit in its charter the liability of the corporation’s directors to the corporation or its shareholders for conduct in the performance of such director’s duties. However, Texas law does not permit any limitation of liability of a director who is found liable to the corporation or is found liable because the director improperly received a personal benefit for: (1) breaching a</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both"/>
        <w:spacing w:after="0" w:line="286" w:lineRule="auto"/>
        <w:rPr>
          <w:sz w:val="20"/>
          <w:szCs w:val="20"/>
          <w:color w:val="auto"/>
        </w:rPr>
      </w:pPr>
      <w:r>
        <w:rPr>
          <w:rFonts w:ascii="Arial" w:cs="Arial" w:eastAsia="Arial" w:hAnsi="Arial"/>
          <w:sz w:val="17"/>
          <w:szCs w:val="17"/>
          <w:color w:val="auto"/>
        </w:rPr>
        <w:t>duty of loyalty owed to the corporation; (2) failing to act in good faith that constitutes a breach of a duty owed by the person to the corporation; or (3) engaging in willful or intentional misconduct in the performance of a director’s duty to the corporation. The Registrant’s amended and restated certificate of formation provides that a director of the Registrant will not be liable to the Registrant or its shareholders to the fullest extent permitted by Texas law.</w:t>
      </w:r>
    </w:p>
    <w:p>
      <w:pPr>
        <w:spacing w:after="0" w:line="19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Sections 8.101 and 8.103 of the TBOC provide that a Texas corporation may indemnify a person who was, is, or is threatened to be a named defendant or respondent in a proceeding because the person is or was a director only if a determination is made that such indemnification is permissible under the TBOC: (1) by a majority vote of the directors who at the time of the vote are disinterested and independent, regardless of whether such directors constitute a quorum; (2) by a majority vote of a board committee designated by a majority of disinterested and independent directors and consisting solely of disinterested and independent directors; (3) by special legal counsel selected by the board of directors or a committee of the board of directors as set forth in</w:t>
      </w:r>
    </w:p>
    <w:p>
      <w:pPr>
        <w:spacing w:after="0" w:line="2" w:lineRule="exact"/>
        <w:rPr>
          <w:sz w:val="20"/>
          <w:szCs w:val="20"/>
          <w:color w:val="auto"/>
        </w:rPr>
      </w:pPr>
    </w:p>
    <w:p>
      <w:pPr>
        <w:jc w:val="both"/>
        <w:ind w:firstLine="8"/>
        <w:spacing w:after="0" w:line="253"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or (2); (4) by the shareholders in a vote that excludes the shares held by directors who are not disinterested and independent; or, (5) by unanimous vote of the shareholders. The power to indemnify applies only if such person acted in good faith and, in the case of conduct in the person’s official capacity as a director, in a manner he reasonably believed to be in the best interest of the corporation, and, in all other cases, that the person’s conduct was not opposed to the best interest of the corporation, and with respect to any criminal action or proceeding, that such person had no reasonable cause to believe his conduct was unlawful.</w:t>
      </w:r>
    </w:p>
    <w:p>
      <w:pPr>
        <w:spacing w:after="0" w:line="21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Section 8.104 of the TBOC provides that a Texas corporation may pay or reimburse, in advance of the final disposition of the proceeding, reasonable expenses incurred by a present director who was, is, or is threatened to be made a named defendant or respondent in a proceeding after the corporation receives a written affirmation by the director of his good faith belief that he has met the standard of conduct necessary for indemnification under Section 8.101 of the TBOC and a written undertaking by or on behalf of the director to repay the amount paid or reimbursed if it is ultimately determined that he has not met that standard or if it is ultimately determined that indemnification of the director is not otherwise permitted under the TBOC. Section 8.105 of the TBOC also provides that reasonable expenses incurred by a former director or officer, or a present or former employee or agent of the corporation, who was, is, or is threatened to be made a named defendant or respondent in a proceeding may be paid or reimbursed by the corporation, in advance of the final disposition of the action, as the corporation considers appropriate.</w:t>
      </w:r>
    </w:p>
    <w:p>
      <w:pPr>
        <w:spacing w:after="0" w:line="20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Section 8.105 of the TBOC provides that a corporation may indemnify and advance expenses to a person who is not a director, including an officer, employee, or agent of the corporation as provided by: (1) the corporation’s governing documents; (2) an action by the corporation’s governing authority; (3) resolution by the shareholders; (4) contract; or (5) common law. As consistent with Section 8.105 of the TBOC, a corporation may indemnify and advance expenses to persons who are not directors to the same extent that a corporation may indemnify and advance expenses to directors.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Registrant’s amended and restated certificate of formation provides that, to the fullest extent and under the circumstances permitted by Chapter 8 of the TBOC, (1) the Registrant must indemnify and advance expenses to directors and officers, and (2) the Registrant may purchase and maintain insurance on behalf of our directors and officers.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Registrant also maintains directors’ and officers’ liability insurance.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form of Underwriting Agreement filed as Exhibit 1.1 to the Form S-1 Registration Statement obligates the underwriters to indemnify our directors, officers and controlling persons under limited circumstances against certain liabilities under the Securities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exhibits to this Registration Statement are listed in the Exhibit Index that immediately precedes such exhibits and are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968" w:hanging="320"/>
        <w:spacing w:after="0"/>
        <w:tabs>
          <w:tab w:leader="none" w:pos="968"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sz w:val="20"/>
          <w:szCs w:val="20"/>
          <w:color w:val="auto"/>
        </w:rPr>
      </w:pPr>
    </w:p>
    <w:p>
      <w:pPr>
        <w:ind w:left="2268" w:hanging="809"/>
        <w:spacing w:after="0"/>
        <w:tabs>
          <w:tab w:leader="none" w:pos="22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52" w:lineRule="exact"/>
        <w:rPr>
          <w:sz w:val="20"/>
          <w:szCs w:val="20"/>
          <w:color w:val="auto"/>
        </w:rPr>
      </w:pPr>
    </w:p>
    <w:p>
      <w:pPr>
        <w:jc w:val="both"/>
        <w:ind w:left="2268" w:hanging="809"/>
        <w:spacing w:after="0" w:line="271" w:lineRule="auto"/>
        <w:tabs>
          <w:tab w:leader="none" w:pos="2268"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206" w:lineRule="exact"/>
        <w:rPr>
          <w:sz w:val="20"/>
          <w:szCs w:val="20"/>
          <w:color w:val="auto"/>
        </w:rPr>
      </w:pPr>
    </w:p>
    <w:p>
      <w:pPr>
        <w:ind w:left="2268" w:hanging="809"/>
        <w:spacing w:after="0" w:line="277" w:lineRule="auto"/>
        <w:tabs>
          <w:tab w:leader="none" w:pos="22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jc w:val="both"/>
        <w:ind w:left="968" w:firstLine="324"/>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section do not apply if the information required to be included in a</w:t>
      </w:r>
      <w:r>
        <w:rPr>
          <w:rFonts w:ascii="Arial" w:cs="Arial" w:eastAsia="Arial" w:hAnsi="Arial"/>
          <w:sz w:val="18"/>
          <w:szCs w:val="18"/>
          <w:i w:val="1"/>
          <w:iCs w:val="1"/>
          <w:color w:val="auto"/>
        </w:rPr>
        <w:t xml:space="preserve"> </w:t>
      </w:r>
      <w:r>
        <w:rPr>
          <w:rFonts w:ascii="Arial" w:cs="Arial" w:eastAsia="Arial" w:hAnsi="Arial"/>
          <w:sz w:val="18"/>
          <w:szCs w:val="18"/>
          <w:color w:val="auto"/>
        </w:rPr>
        <w:t>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214" w:lineRule="exact"/>
        <w:rPr>
          <w:sz w:val="20"/>
          <w:szCs w:val="20"/>
          <w:color w:val="auto"/>
        </w:rPr>
      </w:pPr>
    </w:p>
    <w:p>
      <w:pPr>
        <w:jc w:val="both"/>
        <w:ind w:left="968" w:right="20" w:hanging="320"/>
        <w:spacing w:after="0" w:line="264"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jc w:val="both"/>
        <w:ind w:left="328" w:hanging="328"/>
        <w:spacing w:after="0" w:line="257"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5" w:lineRule="exact"/>
        <w:rPr>
          <w:rFonts w:ascii="Arial" w:cs="Arial" w:eastAsia="Arial" w:hAnsi="Arial"/>
          <w:sz w:val="18"/>
          <w:szCs w:val="18"/>
          <w:color w:val="auto"/>
        </w:rPr>
      </w:pPr>
    </w:p>
    <w:p>
      <w:pPr>
        <w:jc w:val="both"/>
        <w:ind w:left="328" w:hanging="328"/>
        <w:spacing w:after="0" w:line="271"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97155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36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Lubbock, State of Texas, on May 22, 2019.</w:t>
      </w:r>
    </w:p>
    <w:p>
      <w:pPr>
        <w:spacing w:after="0" w:line="204"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ind w:left="576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18180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Curtis C. Griffith and Cory T. Newsom, and each of them (with full power to each of them to act alone), his or her true and lawful attorneys-in-fact and agents, with full power of substitution and resubstitution, for him or her and in his or her name, place and stead, in any and all capacities, to sign any and all amendments (including, without limitation, post-effective amendments) to this Registration Statement on Form S-8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or her substitute or substitutes, may lawfully do or cause to be done by virtue hereof. This power of attorney may be executed in counterparts.</w:t>
      </w:r>
    </w:p>
    <w:p>
      <w:pPr>
        <w:spacing w:after="0" w:line="20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May 22,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ind w:left="120"/>
              <w:spacing w:after="0"/>
              <w:rPr>
                <w:sz w:val="20"/>
                <w:szCs w:val="20"/>
                <w:color w:val="auto"/>
              </w:rPr>
            </w:pPr>
            <w:r>
              <w:rPr>
                <w:rFonts w:ascii="Arial" w:cs="Arial" w:eastAsia="Arial" w:hAnsi="Arial"/>
                <w:sz w:val="18"/>
                <w:szCs w:val="18"/>
                <w:b w:val="1"/>
                <w:bCs w:val="1"/>
                <w:color w:val="auto"/>
              </w:rPr>
              <w:t>Signature</w:t>
            </w:r>
          </w:p>
        </w:tc>
        <w:tc>
          <w:tcPr>
            <w:tcW w:w="5560" w:type="dxa"/>
            <w:vAlign w:val="bottom"/>
          </w:tcPr>
          <w:p>
            <w:pPr>
              <w:ind w:left="12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75"/>
        </w:trPr>
        <w:tc>
          <w:tcPr>
            <w:tcW w:w="5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35"/>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/s/ Curtis C. Griffith</w:t>
            </w:r>
          </w:p>
        </w:tc>
        <w:tc>
          <w:tcPr>
            <w:tcW w:w="5560" w:type="dxa"/>
            <w:vAlign w:val="bottom"/>
          </w:tcPr>
          <w:p>
            <w:pPr>
              <w:ind w:left="120"/>
              <w:spacing w:after="0"/>
              <w:rPr>
                <w:sz w:val="20"/>
                <w:szCs w:val="20"/>
                <w:color w:val="auto"/>
              </w:rPr>
            </w:pPr>
            <w:r>
              <w:rPr>
                <w:rFonts w:ascii="Arial" w:cs="Arial" w:eastAsia="Arial" w:hAnsi="Arial"/>
                <w:sz w:val="18"/>
                <w:szCs w:val="18"/>
                <w:color w:val="auto"/>
                <w:w w:val="95"/>
              </w:rPr>
              <w:t>Director (Chairman); Chief Executive Officer (principal executive officer)</w:t>
            </w:r>
          </w:p>
        </w:tc>
        <w:tc>
          <w:tcPr>
            <w:tcW w:w="0" w:type="dxa"/>
            <w:vAlign w:val="bottom"/>
          </w:tcPr>
          <w:p>
            <w:pPr>
              <w:spacing w:after="0"/>
              <w:rPr>
                <w:sz w:val="1"/>
                <w:szCs w:val="1"/>
                <w:color w:val="auto"/>
              </w:rPr>
            </w:pPr>
          </w:p>
        </w:tc>
      </w:tr>
      <w:tr>
        <w:trPr>
          <w:trHeight w:val="75"/>
        </w:trPr>
        <w:tc>
          <w:tcPr>
            <w:tcW w:w="5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Curtis C. Griffith</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/s/ Cory T. Newsom</w:t>
            </w:r>
          </w:p>
        </w:tc>
        <w:tc>
          <w:tcPr>
            <w:tcW w:w="5560" w:type="dxa"/>
            <w:vAlign w:val="bottom"/>
          </w:tcPr>
          <w:p>
            <w:pPr>
              <w:ind w:left="120"/>
              <w:spacing w:after="0"/>
              <w:rPr>
                <w:sz w:val="20"/>
                <w:szCs w:val="20"/>
                <w:color w:val="auto"/>
              </w:rPr>
            </w:pPr>
            <w:r>
              <w:rPr>
                <w:rFonts w:ascii="Arial" w:cs="Arial" w:eastAsia="Arial" w:hAnsi="Arial"/>
                <w:sz w:val="18"/>
                <w:szCs w:val="18"/>
                <w:color w:val="auto"/>
              </w:rPr>
              <w:t>Director and President</w:t>
            </w:r>
          </w:p>
        </w:tc>
        <w:tc>
          <w:tcPr>
            <w:tcW w:w="0" w:type="dxa"/>
            <w:vAlign w:val="bottom"/>
          </w:tcPr>
          <w:p>
            <w:pPr>
              <w:spacing w:after="0"/>
              <w:rPr>
                <w:sz w:val="1"/>
                <w:szCs w:val="1"/>
                <w:color w:val="auto"/>
              </w:rPr>
            </w:pPr>
          </w:p>
        </w:tc>
      </w:tr>
      <w:tr>
        <w:trPr>
          <w:trHeight w:val="75"/>
        </w:trPr>
        <w:tc>
          <w:tcPr>
            <w:tcW w:w="5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Cory T. Newsom</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/s/ Steven B. Crockett</w:t>
            </w:r>
          </w:p>
        </w:tc>
        <w:tc>
          <w:tcPr>
            <w:tcW w:w="5560" w:type="dxa"/>
            <w:vAlign w:val="bottom"/>
          </w:tcPr>
          <w:p>
            <w:pPr>
              <w:ind w:left="120"/>
              <w:spacing w:after="0"/>
              <w:rPr>
                <w:sz w:val="20"/>
                <w:szCs w:val="20"/>
                <w:color w:val="auto"/>
              </w:rPr>
            </w:pPr>
            <w:r>
              <w:rPr>
                <w:rFonts w:ascii="Arial" w:cs="Arial" w:eastAsia="Arial" w:hAnsi="Arial"/>
                <w:sz w:val="18"/>
                <w:szCs w:val="18"/>
                <w:color w:val="auto"/>
                <w:w w:val="94"/>
              </w:rPr>
              <w:t>Chief Financial Officer and Treasurer (principal financial and accounting</w:t>
            </w:r>
          </w:p>
        </w:tc>
        <w:tc>
          <w:tcPr>
            <w:tcW w:w="0" w:type="dxa"/>
            <w:vAlign w:val="bottom"/>
          </w:tcPr>
          <w:p>
            <w:pPr>
              <w:spacing w:after="0"/>
              <w:rPr>
                <w:sz w:val="1"/>
                <w:szCs w:val="1"/>
                <w:color w:val="auto"/>
              </w:rPr>
            </w:pPr>
          </w:p>
        </w:tc>
      </w:tr>
      <w:tr>
        <w:trPr>
          <w:trHeight w:val="89"/>
        </w:trPr>
        <w:tc>
          <w:tcPr>
            <w:tcW w:w="5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560" w:type="dxa"/>
            <w:vAlign w:val="bottom"/>
            <w:vMerge w:val="restart"/>
          </w:tcPr>
          <w:p>
            <w:pPr>
              <w:ind w:left="1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122"/>
        </w:trPr>
        <w:tc>
          <w:tcPr>
            <w:tcW w:w="5860" w:type="dxa"/>
            <w:vAlign w:val="bottom"/>
            <w:gridSpan w:val="2"/>
            <w:vMerge w:val="restart"/>
          </w:tcPr>
          <w:p>
            <w:pPr>
              <w:ind w:left="120"/>
              <w:spacing w:after="0"/>
              <w:rPr>
                <w:sz w:val="20"/>
                <w:szCs w:val="20"/>
                <w:color w:val="auto"/>
              </w:rPr>
            </w:pPr>
            <w:r>
              <w:rPr>
                <w:rFonts w:ascii="Arial" w:cs="Arial" w:eastAsia="Arial" w:hAnsi="Arial"/>
                <w:sz w:val="18"/>
                <w:szCs w:val="18"/>
                <w:color w:val="auto"/>
              </w:rPr>
              <w:t>Steven B. Crockett</w:t>
            </w:r>
          </w:p>
        </w:tc>
        <w:tc>
          <w:tcPr>
            <w:tcW w:w="5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860" w:type="dxa"/>
            <w:vAlign w:val="bottom"/>
            <w:gridSpan w:val="2"/>
            <w:vMerge w:val="continue"/>
          </w:tcPr>
          <w:p>
            <w:pPr>
              <w:spacing w:after="0"/>
              <w:rPr>
                <w:sz w:val="14"/>
                <w:szCs w:val="14"/>
                <w:color w:val="auto"/>
              </w:rPr>
            </w:pPr>
          </w:p>
        </w:tc>
        <w:tc>
          <w:tcPr>
            <w:tcW w:w="5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2"/>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/s/ Richard D. Campbell</w:t>
            </w:r>
          </w:p>
        </w:tc>
        <w:tc>
          <w:tcPr>
            <w:tcW w:w="55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75"/>
        </w:trPr>
        <w:tc>
          <w:tcPr>
            <w:tcW w:w="5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Richard D. Campbell</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/s/ Cynthia B. Keith</w:t>
            </w:r>
          </w:p>
        </w:tc>
        <w:tc>
          <w:tcPr>
            <w:tcW w:w="55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75"/>
        </w:trPr>
        <w:tc>
          <w:tcPr>
            <w:tcW w:w="5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Cynthia B. Keith</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/s/ Allison S. Navitskas</w:t>
            </w:r>
          </w:p>
        </w:tc>
        <w:tc>
          <w:tcPr>
            <w:tcW w:w="55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75"/>
        </w:trPr>
        <w:tc>
          <w:tcPr>
            <w:tcW w:w="5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Allison S. Navitskas</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/s/ Noe G. Valles</w:t>
            </w:r>
          </w:p>
        </w:tc>
        <w:tc>
          <w:tcPr>
            <w:tcW w:w="55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75"/>
        </w:trPr>
        <w:tc>
          <w:tcPr>
            <w:tcW w:w="5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Noe G. Valles</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/s/ Kyle R. Wargo</w:t>
            </w:r>
          </w:p>
        </w:tc>
        <w:tc>
          <w:tcPr>
            <w:tcW w:w="55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75"/>
        </w:trPr>
        <w:tc>
          <w:tcPr>
            <w:tcW w:w="56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Kyle R. Wargo</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5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84"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0" w:type="dxa"/>
            <w:vAlign w:val="bottom"/>
          </w:tcPr>
          <w:p>
            <w:pPr>
              <w:ind w:left="240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780" w:type="dxa"/>
            <w:vAlign w:val="bottom"/>
            <w:gridSpan w:val="4"/>
          </w:tcPr>
          <w:p>
            <w:pPr>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r>
      <w:tr>
        <w:trPr>
          <w:trHeight w:val="439"/>
        </w:trPr>
        <w:tc>
          <w:tcPr>
            <w:tcW w:w="320" w:type="dxa"/>
            <w:vAlign w:val="bottom"/>
            <w:tcBorders>
              <w:bottom w:val="single" w:sz="8" w:color="0000EE"/>
            </w:tcBorders>
            <w:gridSpan w:val="2"/>
          </w:tcPr>
          <w:p>
            <w:pPr>
              <w:spacing w:after="0"/>
              <w:rPr>
                <w:rFonts w:ascii="Arial" w:cs="Arial" w:eastAsia="Arial" w:hAnsi="Arial"/>
                <w:sz w:val="18"/>
                <w:szCs w:val="18"/>
                <w:color w:val="0000EE"/>
                <w:w w:val="93"/>
              </w:rPr>
            </w:pPr>
            <w:hyperlink r:id="rId25">
              <w:r>
                <w:rPr>
                  <w:rFonts w:ascii="Arial" w:cs="Arial" w:eastAsia="Arial" w:hAnsi="Arial"/>
                  <w:sz w:val="18"/>
                  <w:szCs w:val="18"/>
                  <w:color w:val="0000EE"/>
                  <w:w w:val="93"/>
                </w:rPr>
                <w:t>4.</w:t>
              </w:r>
              <w:r>
                <w:rPr>
                  <w:rFonts w:ascii="Arial" w:cs="Arial" w:eastAsia="Arial" w:hAnsi="Arial"/>
                  <w:sz w:val="18"/>
                  <w:szCs w:val="18"/>
                  <w:u w:val="single" w:color="auto"/>
                  <w:color w:val="0000EE"/>
                  <w:w w:val="93"/>
                </w:rPr>
                <w:t>1*</w:t>
              </w:r>
            </w:hyperlink>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w w:val="97"/>
              </w:rPr>
              <w:t>Amended and Restated Certificate of Formation of South Plains Financial, Inc. (incorporated by reference to Exhibit 3.1 to the</w:t>
            </w:r>
          </w:p>
        </w:tc>
      </w:tr>
      <w:tr>
        <w:trPr>
          <w:trHeight w:val="237"/>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Registrant’s Form S-1 filed on April 12, 2019, File No. 333-230851).</w:t>
            </w:r>
          </w:p>
        </w:tc>
      </w:tr>
      <w:tr>
        <w:trPr>
          <w:trHeight w:val="419"/>
        </w:trPr>
        <w:tc>
          <w:tcPr>
            <w:tcW w:w="320" w:type="dxa"/>
            <w:vAlign w:val="bottom"/>
            <w:tcBorders>
              <w:bottom w:val="single" w:sz="8" w:color="0000EE"/>
            </w:tcBorders>
            <w:gridSpan w:val="2"/>
          </w:tcPr>
          <w:p>
            <w:pPr>
              <w:spacing w:after="0"/>
              <w:rPr>
                <w:rFonts w:ascii="Arial" w:cs="Arial" w:eastAsia="Arial" w:hAnsi="Arial"/>
                <w:sz w:val="18"/>
                <w:szCs w:val="18"/>
                <w:color w:val="0000EE"/>
                <w:w w:val="93"/>
              </w:rPr>
            </w:pPr>
            <w:hyperlink r:id="rId26">
              <w:r>
                <w:rPr>
                  <w:rFonts w:ascii="Arial" w:cs="Arial" w:eastAsia="Arial" w:hAnsi="Arial"/>
                  <w:sz w:val="18"/>
                  <w:szCs w:val="18"/>
                  <w:color w:val="0000EE"/>
                  <w:w w:val="93"/>
                </w:rPr>
                <w:t>4.</w:t>
              </w:r>
              <w:r>
                <w:rPr>
                  <w:rFonts w:ascii="Arial" w:cs="Arial" w:eastAsia="Arial" w:hAnsi="Arial"/>
                  <w:sz w:val="18"/>
                  <w:szCs w:val="18"/>
                  <w:u w:val="single" w:color="auto"/>
                  <w:color w:val="0000EE"/>
                  <w:w w:val="93"/>
                </w:rPr>
                <w:t>2*</w:t>
              </w:r>
            </w:hyperlink>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w w:val="93"/>
              </w:rPr>
              <w:t>Amended and Restated Bylaws of South Plains Financial, Inc. (incorporated by reference to Exhibit 3.2 to the Registrant’s Form S-1</w:t>
            </w:r>
          </w:p>
        </w:tc>
      </w:tr>
      <w:tr>
        <w:trPr>
          <w:trHeight w:val="237"/>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filed on April 12, 2019, File No. 333-230851).</w:t>
            </w:r>
          </w:p>
        </w:tc>
      </w:tr>
      <w:tr>
        <w:trPr>
          <w:trHeight w:val="419"/>
        </w:trPr>
        <w:tc>
          <w:tcPr>
            <w:tcW w:w="320" w:type="dxa"/>
            <w:vAlign w:val="bottom"/>
            <w:tcBorders>
              <w:bottom w:val="single" w:sz="8" w:color="0000EE"/>
            </w:tcBorders>
            <w:gridSpan w:val="2"/>
          </w:tcPr>
          <w:p>
            <w:pPr>
              <w:spacing w:after="0"/>
              <w:rPr>
                <w:rFonts w:ascii="Arial" w:cs="Arial" w:eastAsia="Arial" w:hAnsi="Arial"/>
                <w:sz w:val="18"/>
                <w:szCs w:val="18"/>
                <w:color w:val="0000EE"/>
                <w:w w:val="93"/>
              </w:rPr>
            </w:pPr>
            <w:hyperlink r:id="rId27">
              <w:r>
                <w:rPr>
                  <w:rFonts w:ascii="Arial" w:cs="Arial" w:eastAsia="Arial" w:hAnsi="Arial"/>
                  <w:sz w:val="18"/>
                  <w:szCs w:val="18"/>
                  <w:color w:val="0000EE"/>
                  <w:w w:val="93"/>
                </w:rPr>
                <w:t>4.</w:t>
              </w:r>
              <w:r>
                <w:rPr>
                  <w:rFonts w:ascii="Arial" w:cs="Arial" w:eastAsia="Arial" w:hAnsi="Arial"/>
                  <w:sz w:val="18"/>
                  <w:szCs w:val="18"/>
                  <w:u w:val="single" w:color="auto"/>
                  <w:color w:val="0000EE"/>
                  <w:w w:val="93"/>
                </w:rPr>
                <w:t>3*</w:t>
              </w:r>
            </w:hyperlink>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w w:val="92"/>
              </w:rPr>
              <w:t>South Plains Financial, Inc. 2019 Equity Incentive Plan (incorporated by reference to Exhibit 10.1 to the Registrant’s Form S-1/A filed</w:t>
            </w:r>
          </w:p>
        </w:tc>
      </w:tr>
      <w:tr>
        <w:trPr>
          <w:trHeight w:val="237"/>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on April 29, 2019, File No. 333-230851).</w:t>
            </w:r>
          </w:p>
        </w:tc>
      </w:tr>
      <w:tr>
        <w:trPr>
          <w:trHeight w:val="419"/>
        </w:trPr>
        <w:tc>
          <w:tcPr>
            <w:tcW w:w="320" w:type="dxa"/>
            <w:vAlign w:val="bottom"/>
            <w:gridSpan w:val="2"/>
          </w:tcPr>
          <w:p>
            <w:pPr>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Opinion of Hunton Andrews Kurth LLP.</w:t>
            </w: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980" w:type="dxa"/>
            <w:vAlign w:val="bottom"/>
            <w:gridSpan w:val="3"/>
          </w:tcPr>
          <w:p>
            <w:pPr>
              <w:spacing w:after="0" w:line="20" w:lineRule="exact"/>
              <w:rPr>
                <w:sz w:val="1"/>
                <w:szCs w:val="1"/>
                <w:color w:val="auto"/>
              </w:rPr>
            </w:pPr>
          </w:p>
        </w:tc>
      </w:tr>
      <w:tr>
        <w:trPr>
          <w:trHeight w:val="439"/>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Consent of Weaver and Tidwell, L.L.P.</w:t>
            </w:r>
          </w:p>
        </w:tc>
      </w:tr>
      <w:tr>
        <w:trPr>
          <w:trHeight w:val="439"/>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Consent of Hunton Andrews Kurth LLP (included as part of Exhibit 5.1).</w:t>
            </w:r>
          </w:p>
        </w:tc>
      </w:tr>
      <w:tr>
        <w:trPr>
          <w:trHeight w:val="439"/>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52"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Incorporated herein by reference as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238125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364" w:right="239" w:bottom="1440" w:gutter="0" w:footer="0" w:header="0"/>
        </w:sectPr>
      </w:pPr>
    </w:p>
    <w:bookmarkStart w:id="7" w:name="page8"/>
    <w:bookmarkEnd w:id="7"/>
    <w:p>
      <w:pPr>
        <w:ind w:left="104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5.1</w:t>
      </w:r>
    </w:p>
    <w:p>
      <w:pPr>
        <w:spacing w:after="0" w:line="28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HUNTON ANDREWS KURTH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43685" cy="420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543685" cy="42037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FOUNTAIN PLACE</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1445 ROSS AVENUE</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SUITE 3700</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DALLAS, TEXAS 75202-2799</w:t>
      </w:r>
    </w:p>
    <w:p>
      <w:pPr>
        <w:spacing w:after="0" w:line="21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TEL 214 • 979 • 3000</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FAX 214 • 880 • 0011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22,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Plains Financial,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5219 City Bank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Lubbock, TX 79407</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Statement on Form S-8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2019 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have acted as special counsel to South Plains Financial, Inc., a Texas corporation (the “Company”), in connection with the Registration Statement on Form S-8 (the “Registration Statement”), as filed by the Company with the Securities and Exchange Commission (the “Commission”) on the date hereof pursuant to the Securities Act of 1933, as amended (the “Securities Act”), to register 3,188,000 shares of the Company’s common stock, par value $1.00 per share (the “Shares”), issuable pursuant to the South Plains Financial, Inc. 2019 Equity Incentive Plan (the “Plan”).</w:t>
      </w:r>
    </w:p>
    <w:p>
      <w:pPr>
        <w:spacing w:after="0" w:line="17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opinion is being furnished in accordance with the requirements of Item 8(a) of Form S-8 and Item 601(b)(5)(i) of Regulation S-K promulgated under the Securities Act.</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For purposes of the opinion expressed below, we have relied upon, among other things, our examination of such documents and records of the Company and certificates of its officers and of public officials as we deemed necessary, including (i) the Company’s Amended and Restated Certificate of Formation, as amended through the date hereof, (ii) the Company’s Amended and Restated Bylaws, as amended through the date hereof, (iii) the resolutions of the Company’s Board of Directors approving the Plan and authorizing registration and the issuance of the Shares, (iv) a copy of the Plan, (v) the Registration Statement and (vi) a certificate issued by the Texas Secretary of State on the date hereof to the effect that the Company is authorized to transact business under the laws of Texas.</w:t>
      </w:r>
    </w:p>
    <w:p>
      <w:pPr>
        <w:spacing w:after="0" w:line="193"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For purposes of the opinion expressed below, we have assumed, without verification, (i) the authenticity of all documents submitted to us as originals, (ii) the conformity to the originals of all documents submitted as certified, photostatic or electronic copies and the authenticity of the originals thereof, (iii) the legal capacity of natural persons and (iv) the genuineness of all signatures. As to any factual matters, we have relied upon statements and representations (oral or written) of officers and other representatives of the Company and others and of public officials.</w:t>
      </w:r>
    </w:p>
    <w:p>
      <w:pPr>
        <w:spacing w:after="0" w:line="200" w:lineRule="exact"/>
        <w:rPr>
          <w:sz w:val="20"/>
          <w:szCs w:val="20"/>
          <w:color w:val="auto"/>
        </w:rPr>
      </w:pPr>
    </w:p>
    <w:p>
      <w:pPr>
        <w:spacing w:after="0" w:line="215"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ATLANTA  AUSTIN  BANGKOK  BEIJING  BOSTON  BRUSSELS  CHARLOTTE  DALLAS  DUBAI  HOUSTON  LONDON LOS ANGELES  MIAMI  NEW YORK  NORFOLK  RICHMOND  SAN FRANCISCO  THE WOODLANDS  TYSONS  WASHINGTON, DC www.HuntonAK.com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South Plains Financial,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purport to express an opinion on any laws other than the laws of the State of Texas.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Based upon the foregoing and the further qualifications stated below, we are of the opinion that the Shares have been duly authorized and, when and to the extent issued in accordance with the terms of the Plan, the Shares will be validly issued, fully paid and non-assessable.</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We hereby consent to the filing of this opinion letter as </w:t>
      </w:r>
      <w:r>
        <w:rPr>
          <w:rFonts w:ascii="Arial" w:cs="Arial" w:eastAsia="Arial" w:hAnsi="Arial"/>
          <w:sz w:val="18"/>
          <w:szCs w:val="18"/>
          <w:u w:val="single" w:color="auto"/>
          <w:color w:val="auto"/>
        </w:rPr>
        <w:t>Exhibit 5.1</w:t>
      </w:r>
      <w:r>
        <w:rPr>
          <w:rFonts w:ascii="Arial" w:cs="Arial" w:eastAsia="Arial" w:hAnsi="Arial"/>
          <w:sz w:val="18"/>
          <w:szCs w:val="18"/>
          <w:color w:val="auto"/>
        </w:rPr>
        <w:t xml:space="preserve"> to the Registration Statement. In giving this consent, we do not thereby admit that we are within the category of persons whose consent is required under Section 7 of the Securities Act or the rules and regulations promulgated thereunder by the Commission.</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This opinion is rendered as of the date hereof, and we disclaim any obligation to advise you of facts, circumstances, events or developments that hereafter may be brought to our attention and that may alter, affect or modify the opinion expressed herein. Our opinion is expressly limited to the matters set forth above and we render no opinion, whether by implication or otherwise, as to any matters beyond the matters expressly set forth herein.</w:t>
      </w:r>
    </w:p>
    <w:p>
      <w:pPr>
        <w:spacing w:after="0" w:line="16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Hunton Andrews Kurth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23.1</w:t>
      </w:r>
    </w:p>
    <w:p>
      <w:pPr>
        <w:spacing w:after="0" w:line="252"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Board of Directors and 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Plains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Lubbock, Texas</w:t>
      </w:r>
    </w:p>
    <w:p>
      <w:pPr>
        <w:spacing w:after="0" w:line="23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 dated April 10, 2019 on our audits of the consolidated financial statements appearing in the Registration Statement of South Plains Financial, Inc. on Form S-1, as amended (Registration No. 333-230851).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Weaver and Tidwell, L.L.P.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lvl w:ilvl="1">
      <w:lvlJc w:val="left"/>
      <w:lvlText w:val="(%2)"/>
      <w:numFmt w:val="decimal"/>
      <w:start w:val="214"/>
    </w:lvl>
  </w:abstractNum>
  <w:abstractNum w:abstractNumId="1">
    <w:nsid w:val="41B71EFB"/>
    <w:multiLevelType w:val="hybridMultilevel"/>
    <w:lvl w:ilvl="0">
      <w:lvlJc w:val="left"/>
      <w:lvlText w:val="(%1)"/>
      <w:numFmt w:val="decimal"/>
      <w:start w:val="214"/>
    </w:lvl>
    <w:lvl w:ilvl="1">
      <w:lvlJc w:val="left"/>
      <w:lvlText w:val="%2"/>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1"/>
    </w:lvl>
    <w:lvl w:ilvl="1">
      <w:lvlJc w:val="left"/>
      <w:lvlText w:val="%2."/>
      <w:numFmt w:val="decimal"/>
      <w:start w:val="1"/>
    </w:lvl>
  </w:abstractNum>
  <w:abstractNum w:abstractNumId="7">
    <w:nsid w:val="4DB127F8"/>
    <w:multiLevelType w:val="hybridMultilevel"/>
    <w:lvl w:ilvl="0">
      <w:lvlJc w:val="left"/>
      <w:lvlText w:val="%1."/>
      <w:numFmt w:val="lowerRoman"/>
      <w:start w:val="1"/>
    </w:lvl>
  </w:abstractNum>
  <w:abstractNum w:abstractNumId="8">
    <w:nsid w:val="216231B"/>
    <w:multiLevelType w:val="hybridMultilevel"/>
    <w:lvl w:ilvl="0">
      <w:lvlJc w:val="left"/>
      <w:lvlText w:val="%1."/>
      <w:numFmt w:val="lowerRoman"/>
      <w:start w:val="3"/>
    </w:lvl>
  </w:abstractNum>
  <w:abstractNum w:abstractNumId="9">
    <w:nsid w:val="1F16E9E8"/>
    <w:multiLevelType w:val="hybridMultilevel"/>
    <w:lvl w:ilvl="0">
      <w:lvlJc w:val="left"/>
      <w:lvlText w:val="%1."/>
      <w:numFmt w:val="lowerRoman"/>
      <w:start w:val="3"/>
    </w:lvl>
  </w:abstractNum>
  <w:abstractNum w:abstractNumId="10">
    <w:nsid w:val="1190CDE7"/>
    <w:multiLevelType w:val="hybridMultilevel"/>
    <w:lvl w:ilvl="0">
      <w:lvlJc w:val="left"/>
      <w:lvlText w:val="%1"/>
      <w:numFmt w:val="lowerLetter"/>
      <w:start w:val="1"/>
    </w:lvl>
    <w:lvl w:ilvl="1">
      <w:lvlJc w:val="left"/>
      <w:lvlText w:val="%2."/>
      <w:numFmt w:val="decimal"/>
      <w:start w:val="2"/>
    </w:lvl>
  </w:abstractNum>
  <w:abstractNum w:abstractNumId="11">
    <w:nsid w:val="66EF438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jpe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18" Type="http://schemas.openxmlformats.org/officeDocument/2006/relationships/hyperlink" Target="http://www.sec.gov/Archives/edgar/data/1163668/000114036119008813/s002614x11_424b4.htm" TargetMode="External"/><Relationship Id="rId19" Type="http://schemas.openxmlformats.org/officeDocument/2006/relationships/hyperlink" Target="http://www.sec.gov/Archives/edgar/data/1163668/000114036119007042/s002614x4_s1.htm" TargetMode="External"/><Relationship Id="rId20" Type="http://schemas.openxmlformats.org/officeDocument/2006/relationships/hyperlink" Target="http://www.sec.gov/Archives/edgar/data/1163668/000114036119008441/nc10001583x1_8a12b.htm" TargetMode="External"/><Relationship Id="rId25" Type="http://schemas.openxmlformats.org/officeDocument/2006/relationships/hyperlink" Target="http://www.sec.gov/Archives/edgar/data/1163668/000114036119007042/s002614x4_ex3-1.htm" TargetMode="External"/><Relationship Id="rId26" Type="http://schemas.openxmlformats.org/officeDocument/2006/relationships/hyperlink" Target="http://www.sec.gov/Archives/edgar/data/1163668/000114036119007042/s002614x4_ex3-2.htm" TargetMode="External"/><Relationship Id="rId27" Type="http://schemas.openxmlformats.org/officeDocument/2006/relationships/hyperlink" Target="http://www.sec.gov/Archives/edgar/data/1163668/000114036119007758/s002614x6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2019-12-02T17:43:12Z</dcterms:created>
  <dcterms:modified xsi:type="dcterms:W3CDTF">2019-12-02T17:43:12Z</dcterms:modified>
</cp:coreProperties>
</file>