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184150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South Plains Financial,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Texas</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001-38895</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75-2453320</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60" w:space="720"/>
            <w:col w:w="3080"/>
          </w:cols>
          <w:pgMar w:left="320" w:top="516" w:right="339" w:bottom="1440" w:gutter="0" w:footer="0" w:header="0"/>
          <w:type w:val="continuous"/>
        </w:sectPr>
      </w:pPr>
    </w:p>
    <w:p>
      <w:pPr>
        <w:spacing w:after="0" w:line="14"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5219 City Bank Parkway</w:t>
      </w:r>
    </w:p>
    <w:p>
      <w:pPr>
        <w:spacing w:after="0" w:line="31"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Lubbock, Texas</w:t>
      </w:r>
    </w:p>
    <w:p>
      <w:pPr>
        <w:spacing w:after="0" w:line="9"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8"/>
          <w:szCs w:val="18"/>
          <w:b w:val="1"/>
          <w:bCs w:val="1"/>
          <w:color w:val="auto"/>
        </w:rPr>
        <w:t>79407</w:t>
      </w:r>
    </w:p>
    <w:p>
      <w:pPr>
        <w:spacing w:after="0" w:line="31"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980" w:space="720"/>
            <w:col w:w="254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(806) 792-7101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210185</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4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South Plains Financial, Inc. (the “Company”) held its 2024 Annual Meeting of Shareholders virtually on May 13, 2024 (the “Annual Meeting”). The record date for the determination of shareholders of the Company entitled to receive notice of and to vote at the Annual Meeting was the close of business on March 18, 2024. There were 16,432,851 shares of the Company’s common stock outstanding at the close of business on the record date and entitled to receive notice of and to vote at the Annual Meeting. Of that number, 14,052,955 shares of the Company’s common stock were represented by means of remote communication or by proxy at the Annual Meeting, which constituted a quorum to conduct business at the Annual Meeting. The shareholders of the Company voted on and approved the following proposals at the Annual Meeting, which are described in more detail in the Company’s Definitive Proxy Statement on Schedule 14A for the Annual Meeting filed by the Company with the U.S. Securities and Exchange Commission on April 8, 2024:</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Proposal 1 – To elect two (2) Class II directors to serve on the Company’s board of directors until the Company’s 2027 annual meeting of shareholders or each until their respective successor or successors are duly elected and qualified or until their earlier death, resignation or removal from office. Final voting results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Class III Nominee</w:t>
            </w:r>
          </w:p>
        </w:tc>
        <w:tc>
          <w:tcPr>
            <w:tcW w:w="20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Votes For</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Votes Against</w:t>
            </w:r>
          </w:p>
        </w:tc>
        <w:tc>
          <w:tcPr>
            <w:tcW w:w="20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Abstentions</w:t>
            </w:r>
          </w:p>
        </w:tc>
        <w:tc>
          <w:tcPr>
            <w:tcW w:w="22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
        </w:trPr>
        <w:tc>
          <w:tcPr>
            <w:tcW w:w="200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6"/>
        </w:trPr>
        <w:tc>
          <w:tcPr>
            <w:tcW w:w="27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Cory T. Newsom</w:t>
            </w:r>
          </w:p>
        </w:tc>
        <w:tc>
          <w:tcPr>
            <w:tcW w:w="206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9,213,718</w:t>
            </w:r>
          </w:p>
        </w:tc>
        <w:tc>
          <w:tcPr>
            <w:tcW w:w="1620" w:type="dxa"/>
            <w:vAlign w:val="bottom"/>
            <w:gridSpan w:val="2"/>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9"/>
              </w:rPr>
              <w:t>1,668,712</w:t>
            </w:r>
          </w:p>
        </w:tc>
        <w:tc>
          <w:tcPr>
            <w:tcW w:w="6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2,381</w:t>
            </w:r>
          </w:p>
        </w:tc>
        <w:tc>
          <w:tcPr>
            <w:tcW w:w="5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3,168,144</w:t>
            </w:r>
          </w:p>
        </w:tc>
        <w:tc>
          <w:tcPr>
            <w:tcW w:w="400" w:type="dxa"/>
            <w:vAlign w:val="bottom"/>
            <w:shd w:val="clear" w:color="auto" w:fill="CCEEFF"/>
          </w:tcPr>
          <w:p>
            <w:pPr>
              <w:spacing w:after="0"/>
              <w:rPr>
                <w:sz w:val="18"/>
                <w:szCs w:val="18"/>
                <w:color w:val="auto"/>
              </w:rPr>
            </w:pPr>
          </w:p>
        </w:tc>
      </w:tr>
      <w:tr>
        <w:trPr>
          <w:trHeight w:val="234"/>
        </w:trPr>
        <w:tc>
          <w:tcPr>
            <w:tcW w:w="27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Noe G. Valles</w:t>
            </w:r>
          </w:p>
        </w:tc>
        <w:tc>
          <w:tcPr>
            <w:tcW w:w="20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8,744,538</w:t>
            </w:r>
          </w:p>
        </w:tc>
        <w:tc>
          <w:tcPr>
            <w:tcW w:w="16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2,047,018</w:t>
            </w:r>
          </w:p>
        </w:tc>
        <w:tc>
          <w:tcPr>
            <w:tcW w:w="62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93,255</w:t>
            </w:r>
          </w:p>
        </w:tc>
        <w:tc>
          <w:tcPr>
            <w:tcW w:w="520" w:type="dxa"/>
            <w:vAlign w:val="bottom"/>
          </w:tcPr>
          <w:p>
            <w:pPr>
              <w:spacing w:after="0"/>
              <w:rPr>
                <w:sz w:val="20"/>
                <w:szCs w:val="20"/>
                <w:color w:val="auto"/>
              </w:rPr>
            </w:pPr>
          </w:p>
        </w:tc>
        <w:tc>
          <w:tcPr>
            <w:tcW w:w="184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3,168,144</w:t>
            </w:r>
          </w:p>
        </w:tc>
        <w:tc>
          <w:tcPr>
            <w:tcW w:w="400" w:type="dxa"/>
            <w:vAlign w:val="bottom"/>
          </w:tcPr>
          <w:p>
            <w:pPr>
              <w:spacing w:after="0"/>
              <w:rPr>
                <w:sz w:val="20"/>
                <w:szCs w:val="20"/>
                <w:color w:val="auto"/>
              </w:rPr>
            </w:pP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Proposal 2 – To ratify the appointment of FORVIS, LLP as the independent registered public accounting firm of the Company for the year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Final voting results were as follows:</w:t>
      </w:r>
    </w:p>
    <w:p>
      <w:pPr>
        <w:spacing w:after="0" w:line="194"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14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5"/>
              </w:rPr>
              <w:t>Votes For</w:t>
            </w:r>
          </w:p>
        </w:tc>
        <w:tc>
          <w:tcPr>
            <w:tcW w:w="300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7"/>
              </w:rPr>
              <w:t>Votes Against</w:t>
            </w:r>
          </w:p>
        </w:tc>
        <w:tc>
          <w:tcPr>
            <w:tcW w:w="156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Abstentions</w:t>
            </w:r>
          </w:p>
        </w:tc>
      </w:tr>
      <w:tr>
        <w:trPr>
          <w:trHeight w:val="21"/>
        </w:trPr>
        <w:tc>
          <w:tcPr>
            <w:tcW w:w="7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6"/>
        </w:trPr>
        <w:tc>
          <w:tcPr>
            <w:tcW w:w="218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13,838,909</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107,961</w:t>
            </w:r>
          </w:p>
        </w:tc>
        <w:tc>
          <w:tcPr>
            <w:tcW w:w="1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106,085</w:t>
            </w:r>
          </w:p>
        </w:tc>
        <w:tc>
          <w:tcPr>
            <w:tcW w:w="7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140" w:hanging="484"/>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104</w:t>
        <w:tab/>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May 16, 2024</w:t>
      </w:r>
      <w:r>
        <w:rPr>
          <w:sz w:val="20"/>
          <w:szCs w:val="20"/>
          <w:color w:val="auto"/>
        </w:rPr>
        <w:tab/>
      </w:r>
      <w:r>
        <w:rPr>
          <w:rFonts w:ascii="Times New Roman" w:cs="Times New Roman" w:eastAsia="Times New Roman" w:hAnsi="Times New Roman"/>
          <w:sz w:val="18"/>
          <w:szCs w:val="18"/>
          <w:color w:val="auto"/>
        </w:rPr>
        <w:t>By: /s/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2024-05-16T15:55:50Z</dcterms:created>
  <dcterms:modified xsi:type="dcterms:W3CDTF">2024-05-16T15:55:50Z</dcterms:modified>
</cp:coreProperties>
</file>