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4919_10q.htm"/>
      <w:bookmarkStart w:id="1" w:name="ksef20074919_10q"/>
      <w:bookmarkStart w:id="2" w:name="ef20074919_10q.htm"/>
      <w:bookmarkStart w:id="3" w:name="ksef20074919_10q"/>
      <w:bookmarkEnd w:id="2"/>
      <w:bookmarkEnd w:id="3"/>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b/>
          <w:color w:val="000000"/>
        </w:rPr>
      </w:pPr>
      <w:r>
        <w:rPr>
          <w:b/>
          <w:color w:val="000000"/>
        </w:rPr>
      </w:r>
    </w:p>
    <w:p>
      <w:pPr>
        <w:pStyle w:val="HorizontalLine"/>
        <w:bidi w:val="0"/>
        <w:jc w:val="left"/>
        <w:rPr/>
      </w:pPr>
      <w:r>
        <w:rPr/>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center"/>
        <w:rPr>
          <w:b/>
          <w:color w:val="000000"/>
        </w:rPr>
      </w:pPr>
      <w:r>
        <w:rPr>
          <w:b/>
          <w:color w:val="000000"/>
        </w:rPr>
      </w:r>
    </w:p>
    <w:p>
      <w:pPr>
        <w:pStyle w:val="HorizontalLine"/>
        <w:bidi w:val="0"/>
        <w:jc w:val="left"/>
        <w:rPr/>
      </w:pPr>
      <w:r>
        <w:rPr/>
      </w:r>
    </w:p>
    <w:p>
      <w:pPr>
        <w:pStyle w:val="TextBody"/>
        <w:bidi w:val="0"/>
        <w:spacing w:before="0" w:after="0"/>
        <w:jc w:val="center"/>
        <w:rPr>
          <w:color w:val="000000"/>
        </w:rPr>
      </w:pPr>
      <w:r>
        <w:rPr>
          <w:color w:val="00000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(Mark One)</w:t>
      </w:r>
    </w:p>
    <w:p>
      <w:pPr>
        <w:pStyle w:val="TextBody"/>
        <w:bidi w:val="0"/>
        <w:spacing w:before="0" w:after="0"/>
        <w:jc w:val="left"/>
        <w:rPr>
          <w:color w:val="000000"/>
        </w:rPr>
      </w:pPr>
      <w:r>
        <w:rPr>
          <w:color w:val="000000"/>
        </w:rPr>
      </w:r>
    </w:p>
    <w:p>
      <w:pPr>
        <w:pStyle w:val="Normal"/>
        <w:bidi w:val="0"/>
        <w:spacing w:before="0" w:after="0"/>
        <w:jc w:val="left"/>
        <w:rPr>
          <w:sz w:val="4"/>
          <w:szCs w:val="4"/>
        </w:rPr>
      </w:pPr>
      <w:r>
        <w:rPr>
          <w:sz w:val="4"/>
          <w:szCs w:val="4"/>
        </w:rPr>
      </w:r>
      <w:bookmarkStart w:id="4" w:name="zb5280784f1d9436c8c4007e20c2fc18a"/>
      <w:bookmarkStart w:id="5" w:name="zb5280784f1d9436c8c4007e20c2fc18a"/>
      <w:bookmarkEnd w:id="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b/>
                <w:color w:val="000000"/>
              </w:rPr>
            </w:pPr>
            <w:r>
              <w:rPr>
                <w:b/>
                <w:color w:val="000000"/>
              </w:rPr>
              <w:t>QUARTERLY REPORT PURSUANT TO SECTION 13 OR 15(d) OF THE SECURITIES EXCHANGE ACT OF 1934</w:t>
            </w:r>
          </w:p>
        </w:tc>
      </w:tr>
    </w:tbl>
    <w:p>
      <w:pPr>
        <w:pStyle w:val="TextBody"/>
        <w:bidi w:val="0"/>
        <w:spacing w:before="0" w:after="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quarterly period ended June 30, 2026</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6" w:name="z42dd15625f7b44a0b8e5333b473ecca2"/>
      <w:bookmarkStart w:id="7" w:name="z42dd15625f7b44a0b8e5333b473ecca2"/>
      <w:bookmarkEnd w:id="7"/>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b/>
                <w:color w:val="000000"/>
              </w:rPr>
            </w:pPr>
            <w:r>
              <w:rPr>
                <w:b/>
                <w:color w:val="000000"/>
              </w:rPr>
              <w:t>TRANSITION REPORT PURSUANT TO SECTION 13 OR 15(d) OF THE SECURITIES EXCHANGE ACT OF 1934</w:t>
            </w:r>
          </w:p>
        </w:tc>
      </w:tr>
    </w:tbl>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 to ______</w:t>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001-38895</w:t>
      </w:r>
    </w:p>
    <w:p>
      <w:pPr>
        <w:pStyle w:val="TextBody"/>
        <w:bidi w:val="0"/>
        <w:spacing w:before="0" w:after="0"/>
        <w:jc w:val="center"/>
        <w:rPr>
          <w:b/>
          <w:color w:val="000000"/>
        </w:rPr>
      </w:pPr>
      <w:r>
        <w:rPr>
          <w:b/>
          <w:color w:val="000000"/>
        </w:rPr>
      </w:r>
    </w:p>
    <w:p>
      <w:pPr>
        <w:pStyle w:val="HorizontalLine"/>
        <w:bidi w:val="0"/>
        <w:jc w:val="left"/>
        <w:rPr/>
      </w:pPr>
      <w:r>
        <w:rPr/>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South Plains Financial,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8" w:name="zd37d1bd3584740108c044c14409d2bf9"/>
      <w:bookmarkStart w:id="9" w:name="zd37d1bd3584740108c044c14409d2bf9"/>
      <w:bookmarkEnd w:id="9"/>
    </w:p>
    <w:tbl>
      <w:tblPr>
        <w:tblW w:w="9250" w:type="dxa"/>
        <w:jc w:val="left"/>
        <w:tblInd w:w="0" w:type="dxa"/>
        <w:tblLayout w:type="fixed"/>
        <w:tblCellMar>
          <w:top w:w="0" w:type="dxa"/>
          <w:left w:w="0" w:type="dxa"/>
          <w:bottom w:w="0" w:type="dxa"/>
          <w:right w:w="0" w:type="dxa"/>
        </w:tblCellMar>
      </w:tblPr>
      <w:tblGrid>
        <w:gridCol w:w="5645"/>
        <w:gridCol w:w="90"/>
        <w:gridCol w:w="3515"/>
      </w:tblGrid>
      <w:tr>
        <w:trPr/>
        <w:tc>
          <w:tcPr>
            <w:tcW w:w="5645" w:type="dxa"/>
            <w:tcBorders/>
            <w:vAlign w:val="center"/>
          </w:tcPr>
          <w:p>
            <w:pPr>
              <w:pStyle w:val="TableContents"/>
              <w:bidi w:val="0"/>
              <w:spacing w:before="0" w:after="0"/>
              <w:jc w:val="center"/>
              <w:rPr>
                <w:color w:val="000000"/>
              </w:rPr>
            </w:pPr>
            <w:r>
              <w:rPr>
                <w:color w:val="000000"/>
              </w:rPr>
              <w:t> </w:t>
            </w:r>
            <w:r>
              <w:rPr>
                <w:b/>
                <w:color w:val="000000"/>
              </w:rPr>
              <w:t>Texas</w:t>
            </w:r>
          </w:p>
        </w:tc>
        <w:tc>
          <w:tcPr>
            <w:tcW w:w="9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center"/>
              <w:rPr>
                <w:b/>
                <w:color w:val="000000"/>
              </w:rPr>
            </w:pPr>
            <w:r>
              <w:rPr>
                <w:b/>
                <w:color w:val="000000"/>
              </w:rPr>
              <w:t>75-2453320</w:t>
            </w:r>
          </w:p>
        </w:tc>
      </w:tr>
      <w:tr>
        <w:trPr/>
        <w:tc>
          <w:tcPr>
            <w:tcW w:w="5645" w:type="dxa"/>
            <w:tcBorders/>
            <w:vAlign w:val="center"/>
          </w:tcPr>
          <w:p>
            <w:pPr>
              <w:pStyle w:val="TableContents"/>
              <w:bidi w:val="0"/>
              <w:spacing w:before="0" w:after="0"/>
              <w:jc w:val="center"/>
              <w:rPr>
                <w:color w:val="000000"/>
              </w:rPr>
            </w:pPr>
            <w:r>
              <w:rPr>
                <w:color w:val="000000"/>
              </w:rPr>
              <w:t>(State or other jurisdiction of incorporation or organization)</w:t>
            </w:r>
          </w:p>
        </w:tc>
        <w:tc>
          <w:tcPr>
            <w:tcW w:w="9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2fbaad7c666046efa1ba57190009a405"/>
      <w:bookmarkStart w:id="11" w:name="z2fbaad7c666046efa1ba57190009a405"/>
      <w:bookmarkEnd w:id="11"/>
    </w:p>
    <w:tbl>
      <w:tblPr>
        <w:tblW w:w="5020" w:type="dxa"/>
        <w:jc w:val="left"/>
        <w:tblInd w:w="0" w:type="dxa"/>
        <w:tblLayout w:type="fixed"/>
        <w:tblCellMar>
          <w:top w:w="0" w:type="dxa"/>
          <w:left w:w="0" w:type="dxa"/>
          <w:bottom w:w="0" w:type="dxa"/>
          <w:right w:w="0" w:type="dxa"/>
        </w:tblCellMar>
      </w:tblPr>
      <w:tblGrid>
        <w:gridCol w:w="3785"/>
        <w:gridCol w:w="90"/>
        <w:gridCol w:w="1145"/>
      </w:tblGrid>
      <w:tr>
        <w:trPr/>
        <w:tc>
          <w:tcPr>
            <w:tcW w:w="3785" w:type="dxa"/>
            <w:tcBorders/>
            <w:vAlign w:val="center"/>
          </w:tcPr>
          <w:p>
            <w:pPr>
              <w:pStyle w:val="TableContents"/>
              <w:bidi w:val="0"/>
              <w:spacing w:before="0" w:after="0"/>
              <w:jc w:val="center"/>
              <w:rPr>
                <w:b/>
                <w:color w:val="000000"/>
              </w:rPr>
            </w:pPr>
            <w:r>
              <w:rPr>
                <w:b/>
                <w:color w:val="000000"/>
              </w:rPr>
              <w:t>5219 City Bank Parkway</w:t>
            </w:r>
          </w:p>
          <w:p>
            <w:pPr>
              <w:pStyle w:val="TableContents"/>
              <w:bidi w:val="0"/>
              <w:spacing w:before="0" w:after="0"/>
              <w:jc w:val="center"/>
              <w:rPr>
                <w:b/>
                <w:color w:val="000000"/>
              </w:rPr>
            </w:pPr>
            <w:r>
              <w:rPr>
                <w:b/>
                <w:color w:val="000000"/>
              </w:rPr>
              <w:t>Lubbock, Texas</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color w:val="000000"/>
              </w:rPr>
            </w:pPr>
            <w:r>
              <w:rPr>
                <w:b/>
                <w:color w:val="000000"/>
              </w:rPr>
              <w:t>79407</w:t>
            </w:r>
          </w:p>
        </w:tc>
      </w:tr>
      <w:tr>
        <w:trPr/>
        <w:tc>
          <w:tcPr>
            <w:tcW w:w="3785" w:type="dxa"/>
            <w:tcBorders/>
            <w:vAlign w:val="center"/>
          </w:tcPr>
          <w:p>
            <w:pPr>
              <w:pStyle w:val="TableContents"/>
              <w:bidi w:val="0"/>
              <w:spacing w:before="0" w:after="0"/>
              <w:jc w:val="center"/>
              <w:rPr>
                <w:color w:val="000000"/>
              </w:rPr>
            </w:pPr>
            <w:r>
              <w:rPr>
                <w:color w:val="000000"/>
              </w:rPr>
              <w:t>(Address of principal executive offices)</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color w:val="000000"/>
              </w:rPr>
            </w:pPr>
            <w:r>
              <w:rPr>
                <w:color w:val="000000"/>
              </w:rPr>
              <w:t>(Zip Code)</w:t>
            </w:r>
          </w:p>
        </w:tc>
      </w:tr>
    </w:tbl>
    <w:p>
      <w:pPr>
        <w:pStyle w:val="TextBody"/>
        <w:bidi w:val="0"/>
        <w:spacing w:before="0" w:after="0"/>
        <w:jc w:val="center"/>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(806) 792-7101</w:t>
      </w:r>
    </w:p>
    <w:p>
      <w:pPr>
        <w:pStyle w:val="TextBody"/>
        <w:bidi w:val="0"/>
        <w:spacing w:before="0" w:after="0"/>
        <w:jc w:val="center"/>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febf23d3ca8e4e37a5284301d1a9847c"/>
      <w:bookmarkStart w:id="13" w:name="zfebf23d3ca8e4e37a5284301d1a9847c"/>
      <w:bookmarkEnd w:id="13"/>
    </w:p>
    <w:tbl>
      <w:tblPr>
        <w:tblW w:w="10185" w:type="dxa"/>
        <w:jc w:val="left"/>
        <w:tblInd w:w="-15" w:type="dxa"/>
        <w:tblLayout w:type="fixed"/>
        <w:tblCellMar>
          <w:top w:w="28" w:type="dxa"/>
          <w:left w:w="28" w:type="dxa"/>
          <w:bottom w:w="28" w:type="dxa"/>
          <w:right w:w="28" w:type="dxa"/>
        </w:tblCellMar>
      </w:tblPr>
      <w:tblGrid>
        <w:gridCol w:w="4055"/>
        <w:gridCol w:w="1835"/>
        <w:gridCol w:w="4295"/>
      </w:tblGrid>
      <w:tr>
        <w:trPr/>
        <w:tc>
          <w:tcPr>
            <w:tcW w:w="40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Title of each class</w:t>
            </w:r>
          </w:p>
        </w:tc>
        <w:tc>
          <w:tcPr>
            <w:tcW w:w="18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Trading Symbol(s)</w:t>
            </w:r>
          </w:p>
        </w:tc>
        <w:tc>
          <w:tcPr>
            <w:tcW w:w="42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rPr/>
        <w:tc>
          <w:tcPr>
            <w:tcW w:w="40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Common Stock, $1.00 par value per share</w:t>
            </w:r>
          </w:p>
        </w:tc>
        <w:tc>
          <w:tcPr>
            <w:tcW w:w="18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SPFI</w:t>
            </w:r>
          </w:p>
        </w:tc>
        <w:tc>
          <w:tcPr>
            <w:tcW w:w="42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color w:val="000000"/>
              </w:rPr>
            </w:pPr>
            <w:r>
              <w:rPr>
                <w:color w:val="000000"/>
              </w:rPr>
              <w:t>The Nasdaq Stock Market, LLC</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4" w:name="z42179f0f81124cc0824e3bfba6f08cfc"/>
      <w:bookmarkStart w:id="15" w:name="z42179f0f81124cc0824e3bfba6f08cfc"/>
      <w:bookmarkEnd w:id="15"/>
    </w:p>
    <w:tbl>
      <w:tblPr>
        <w:tblW w:w="5465" w:type="dxa"/>
        <w:jc w:val="left"/>
        <w:tblInd w:w="0" w:type="dxa"/>
        <w:tblLayout w:type="fixed"/>
        <w:tblCellMar>
          <w:top w:w="0" w:type="dxa"/>
          <w:left w:w="0" w:type="dxa"/>
          <w:bottom w:w="0" w:type="dxa"/>
          <w:right w:w="0" w:type="dxa"/>
        </w:tblCellMar>
      </w:tblPr>
      <w:tblGrid>
        <w:gridCol w:w="2165"/>
        <w:gridCol w:w="260"/>
        <w:gridCol w:w="90"/>
        <w:gridCol w:w="2645"/>
        <w:gridCol w:w="305"/>
      </w:tblGrid>
      <w:tr>
        <w:trPr/>
        <w:tc>
          <w:tcPr>
            <w:tcW w:w="2165" w:type="dxa"/>
            <w:tcBorders/>
            <w:vAlign w:val="center"/>
          </w:tcPr>
          <w:p>
            <w:pPr>
              <w:pStyle w:val="TableContents"/>
              <w:bidi w:val="0"/>
              <w:spacing w:before="0" w:after="0"/>
              <w:jc w:val="left"/>
              <w:rPr>
                <w:color w:val="000000"/>
              </w:rPr>
            </w:pPr>
            <w:r>
              <w:rPr>
                <w:color w:val="000000"/>
              </w:rPr>
              <w:t>Large accelerated filer</w:t>
            </w:r>
          </w:p>
        </w:tc>
        <w:tc>
          <w:tcPr>
            <w:tcW w:w="260" w:type="dxa"/>
            <w:tcBorders/>
            <w:vAlign w:val="center"/>
          </w:tcPr>
          <w:p>
            <w:pPr>
              <w:pStyle w:val="TableContents"/>
              <w:bidi w:val="0"/>
              <w:spacing w:before="0" w:after="0"/>
              <w:jc w:val="left"/>
              <w:rPr>
                <w:color w:val="000000"/>
              </w:rPr>
            </w:pPr>
            <w:r>
              <w:rPr>
                <w:color w:val="000000"/>
              </w:rPr>
              <w:t>☐</w:t>
            </w:r>
          </w:p>
        </w:tc>
        <w:tc>
          <w:tcPr>
            <w:tcW w:w="9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color w:val="000000"/>
              </w:rPr>
            </w:pPr>
            <w:r>
              <w:rPr>
                <w:color w:val="000000"/>
              </w:rPr>
              <w:t>Accelerated filer</w:t>
            </w:r>
          </w:p>
        </w:tc>
        <w:tc>
          <w:tcPr>
            <w:tcW w:w="305" w:type="dxa"/>
            <w:tcBorders/>
            <w:vAlign w:val="center"/>
          </w:tcPr>
          <w:p>
            <w:pPr>
              <w:pStyle w:val="TableContents"/>
              <w:bidi w:val="0"/>
              <w:spacing w:before="0" w:after="0"/>
              <w:jc w:val="left"/>
              <w:rPr>
                <w:color w:val="000000"/>
              </w:rPr>
            </w:pPr>
            <w:r>
              <w:rPr>
                <w:color w:val="000000"/>
              </w:rPr>
              <w:t>☒</w:t>
            </w:r>
          </w:p>
        </w:tc>
      </w:tr>
      <w:tr>
        <w:trPr/>
        <w:tc>
          <w:tcPr>
            <w:tcW w:w="2165" w:type="dxa"/>
            <w:tcBorders/>
            <w:vAlign w:val="center"/>
          </w:tcPr>
          <w:p>
            <w:pPr>
              <w:pStyle w:val="TableContents"/>
              <w:bidi w:val="0"/>
              <w:spacing w:before="0" w:after="0"/>
              <w:jc w:val="left"/>
              <w:rPr>
                <w:color w:val="000000"/>
              </w:rPr>
            </w:pPr>
            <w:r>
              <w:rPr>
                <w:color w:val="000000"/>
              </w:rPr>
              <w:t>Non-accelerated filer</w:t>
            </w:r>
          </w:p>
        </w:tc>
        <w:tc>
          <w:tcPr>
            <w:tcW w:w="260" w:type="dxa"/>
            <w:tcBorders/>
            <w:vAlign w:val="center"/>
          </w:tcPr>
          <w:p>
            <w:pPr>
              <w:pStyle w:val="TableContents"/>
              <w:bidi w:val="0"/>
              <w:spacing w:before="0" w:after="0"/>
              <w:jc w:val="left"/>
              <w:rPr>
                <w:color w:val="000000"/>
              </w:rPr>
            </w:pPr>
            <w:r>
              <w:rPr>
                <w:color w:val="000000"/>
              </w:rPr>
              <w:t>☐</w:t>
            </w:r>
          </w:p>
        </w:tc>
        <w:tc>
          <w:tcPr>
            <w:tcW w:w="9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color w:val="000000"/>
              </w:rPr>
            </w:pPr>
            <w:r>
              <w:rPr>
                <w:color w:val="000000"/>
              </w:rPr>
              <w:t>Smaller reporting company</w:t>
            </w:r>
          </w:p>
        </w:tc>
        <w:tc>
          <w:tcPr>
            <w:tcW w:w="305" w:type="dxa"/>
            <w:tcBorders/>
            <w:vAlign w:val="center"/>
          </w:tcPr>
          <w:p>
            <w:pPr>
              <w:pStyle w:val="TableContents"/>
              <w:bidi w:val="0"/>
              <w:spacing w:before="0" w:after="0"/>
              <w:jc w:val="left"/>
              <w:rPr>
                <w:color w:val="000000"/>
              </w:rPr>
            </w:pPr>
            <w:r>
              <w:rPr>
                <w:color w:val="000000"/>
              </w:rPr>
              <w:t>☐</w:t>
            </w:r>
          </w:p>
        </w:tc>
      </w:tr>
      <w:tr>
        <w:trPr/>
        <w:tc>
          <w:tcPr>
            <w:tcW w:w="21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color w:val="000000"/>
              </w:rPr>
            </w:pPr>
            <w:r>
              <w:rPr>
                <w:color w:val="000000"/>
              </w:rPr>
              <w:t>Emerging growth company</w:t>
            </w:r>
          </w:p>
        </w:tc>
        <w:tc>
          <w:tcPr>
            <w:tcW w:w="305" w:type="dxa"/>
            <w:tcBorders/>
            <w:vAlign w:val="center"/>
          </w:tcPr>
          <w:p>
            <w:pPr>
              <w:pStyle w:val="TableContents"/>
              <w:bidi w:val="0"/>
              <w:spacing w:before="0" w:after="0"/>
              <w:jc w:val="left"/>
              <w:rPr>
                <w:color w:val="000000"/>
              </w:rPr>
            </w:pPr>
            <w:r>
              <w:rPr>
                <w:color w:val="000000"/>
              </w:rPr>
              <w:t>☐</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August 4, 2026, the registrant had 18,839,105 shares of common stock, par value $1.00 per share, outstanding.</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bookmarkStart w:id="16" w:name="TABLEOFCONTENTS"/>
      <w:bookmarkEnd w:id="16"/>
      <w:r>
        <w:rPr>
          <w:rFonts w:ascii="Times New Roman" w:hAnsi="Times New Roman"/>
          <w:b/>
          <w:color w:val="000000"/>
          <w:sz w:val="20"/>
          <w:shd w:fill="FFFFFF" w:val="clear"/>
        </w:rPr>
        <w:t>TABLE OF CONTENTS</w:t>
      </w:r>
    </w:p>
    <w:p>
      <w:pPr>
        <w:pStyle w:val="TextBody"/>
        <w:bidi w:val="0"/>
        <w:spacing w:before="0" w:after="0"/>
        <w:jc w:val="center"/>
        <w:rPr>
          <w:b/>
          <w:color w:val="000000"/>
        </w:rPr>
      </w:pPr>
      <w:r>
        <w:rPr>
          <w:b/>
          <w:color w:val="000000"/>
        </w:rPr>
      </w:r>
    </w:p>
    <w:p>
      <w:pPr>
        <w:pStyle w:val="Normal"/>
        <w:bidi w:val="0"/>
        <w:spacing w:before="0" w:after="0"/>
        <w:jc w:val="left"/>
        <w:rPr>
          <w:sz w:val="4"/>
          <w:szCs w:val="4"/>
        </w:rPr>
      </w:pPr>
      <w:r>
        <w:rPr>
          <w:sz w:val="4"/>
          <w:szCs w:val="4"/>
        </w:rPr>
      </w:r>
      <w:bookmarkStart w:id="17" w:name="z3de96859183540a89dccdddab83b2d1e"/>
      <w:bookmarkStart w:id="18" w:name="z3de96859183540a89dccdddab83b2d1e"/>
      <w:bookmarkEnd w:id="18"/>
    </w:p>
    <w:tbl>
      <w:tblPr>
        <w:tblW w:w="10125" w:type="dxa"/>
        <w:jc w:val="left"/>
        <w:tblInd w:w="0" w:type="dxa"/>
        <w:tblLayout w:type="fixed"/>
        <w:tblCellMar>
          <w:top w:w="0" w:type="dxa"/>
          <w:left w:w="0" w:type="dxa"/>
          <w:bottom w:w="0" w:type="dxa"/>
          <w:right w:w="0" w:type="dxa"/>
        </w:tblCellMar>
      </w:tblPr>
      <w:tblGrid>
        <w:gridCol w:w="1025"/>
        <w:gridCol w:w="8525"/>
        <w:gridCol w:w="575"/>
      </w:tblGrid>
      <w:tr>
        <w:trPr/>
        <w:tc>
          <w:tcPr>
            <w:tcW w:w="102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0"/>
              <w:jc w:val="center"/>
              <w:rPr>
                <w:b/>
              </w:rPr>
            </w:pPr>
            <w:r>
              <w:rPr>
                <w:b/>
              </w:rPr>
              <w:t>Page</w:t>
            </w:r>
          </w:p>
        </w:tc>
      </w:tr>
      <w:tr>
        <w:trPr/>
        <w:tc>
          <w:tcPr>
            <w:tcW w:w="1025" w:type="dxa"/>
            <w:tcBorders/>
            <w:shd w:fill="CCEEFF" w:val="clear"/>
            <w:vAlign w:val="center"/>
          </w:tcPr>
          <w:p>
            <w:pPr>
              <w:pStyle w:val="TableContents"/>
              <w:bidi w:val="0"/>
              <w:spacing w:before="0" w:after="0"/>
              <w:jc w:val="left"/>
              <w:rPr>
                <w:b/>
              </w:rPr>
            </w:pPr>
            <w:r>
              <w:rPr>
                <w:b/>
              </w:rPr>
              <w:t>PART I.</w:t>
            </w:r>
          </w:p>
        </w:tc>
        <w:tc>
          <w:tcPr>
            <w:tcW w:w="8525" w:type="dxa"/>
            <w:tcBorders/>
            <w:shd w:fill="CCEEFF" w:val="clear"/>
            <w:vAlign w:val="center"/>
          </w:tcPr>
          <w:p>
            <w:pPr>
              <w:pStyle w:val="TableContents"/>
              <w:bidi w:val="0"/>
              <w:spacing w:before="0" w:after="0"/>
              <w:jc w:val="left"/>
              <w:rPr/>
            </w:pPr>
            <w:hyperlink w:anchor="PARTI.FINANCIALINFORMATIO">
              <w:r>
                <w:rPr>
                  <w:rStyle w:val="InternetLink"/>
                </w:rPr>
                <w:t>FINANCIAL INFORMATION</w:t>
              </w:r>
            </w:hyperlink>
          </w:p>
        </w:tc>
        <w:tc>
          <w:tcPr>
            <w:tcW w:w="575" w:type="dxa"/>
            <w:tcBorders/>
            <w:shd w:fill="CCEEFF" w:val="clear"/>
            <w:vAlign w:val="center"/>
          </w:tcPr>
          <w:p>
            <w:pPr>
              <w:pStyle w:val="TableContents"/>
              <w:bidi w:val="0"/>
              <w:spacing w:before="0" w:after="0"/>
              <w:jc w:val="center"/>
              <w:rPr/>
            </w:pPr>
            <w:r>
              <w:rPr/>
              <w:t>3</w:t>
            </w:r>
          </w:p>
        </w:tc>
      </w:tr>
      <w:tr>
        <w:trPr/>
        <w:tc>
          <w:tcPr>
            <w:tcW w:w="1025" w:type="dxa"/>
            <w:tcBorders/>
            <w:vAlign w:val="center"/>
          </w:tcPr>
          <w:p>
            <w:pPr>
              <w:pStyle w:val="TableContents"/>
              <w:bidi w:val="0"/>
              <w:spacing w:before="0" w:after="0"/>
              <w:jc w:val="left"/>
              <w:rPr/>
            </w:pPr>
            <w:r>
              <w:rPr/>
              <w:t>Item 1.</w:t>
            </w:r>
          </w:p>
        </w:tc>
        <w:tc>
          <w:tcPr>
            <w:tcW w:w="8525" w:type="dxa"/>
            <w:tcBorders/>
            <w:vAlign w:val="center"/>
          </w:tcPr>
          <w:p>
            <w:pPr>
              <w:pStyle w:val="TableContents"/>
              <w:bidi w:val="0"/>
              <w:spacing w:before="0" w:after="0"/>
              <w:jc w:val="left"/>
              <w:rPr/>
            </w:pPr>
            <w:hyperlink w:anchor="ConsolidatedFinancialStat">
              <w:r>
                <w:rPr>
                  <w:rStyle w:val="InternetLink"/>
                </w:rPr>
                <w:t>Consolidated Financial Statements</w:t>
              </w:r>
            </w:hyperlink>
          </w:p>
        </w:tc>
        <w:tc>
          <w:tcPr>
            <w:tcW w:w="575" w:type="dxa"/>
            <w:tcBorders/>
            <w:vAlign w:val="center"/>
          </w:tcPr>
          <w:p>
            <w:pPr>
              <w:pStyle w:val="TableContents"/>
              <w:bidi w:val="0"/>
              <w:spacing w:before="0" w:after="0"/>
              <w:jc w:val="center"/>
              <w:rPr/>
            </w:pPr>
            <w:r>
              <w:rPr/>
              <w:t>3</w:t>
            </w:r>
          </w:p>
        </w:tc>
      </w:tr>
      <w:tr>
        <w:trPr/>
        <w:tc>
          <w:tcPr>
            <w:tcW w:w="1025" w:type="dxa"/>
            <w:tcBorders/>
            <w:shd w:fill="CCEEFF" w:val="clear"/>
            <w:vAlign w:val="center"/>
          </w:tcPr>
          <w:p>
            <w:pPr>
              <w:pStyle w:val="TableContents"/>
              <w:bidi w:val="0"/>
              <w:spacing w:before="0" w:after="283"/>
              <w:jc w:val="left"/>
              <w:rPr/>
            </w:pPr>
            <w:r>
              <w:rPr/>
            </w:r>
          </w:p>
        </w:tc>
        <w:tc>
          <w:tcPr>
            <w:tcW w:w="8525" w:type="dxa"/>
            <w:tcBorders/>
            <w:shd w:fill="CCEEFF" w:val="clear"/>
            <w:vAlign w:val="center"/>
          </w:tcPr>
          <w:p>
            <w:pPr>
              <w:pStyle w:val="TableContents"/>
              <w:bidi w:val="0"/>
              <w:spacing w:before="0" w:after="0"/>
              <w:ind w:left="180" w:right="0" w:hanging="0"/>
              <w:jc w:val="left"/>
              <w:rPr/>
            </w:pPr>
            <w:hyperlink w:anchor="CONSOLIDATEDBALANCESHEETS">
              <w:r>
                <w:rPr>
                  <w:rStyle w:val="InternetLink"/>
                </w:rPr>
                <w:t>Consolidated Balance Sheets (Unaudited)</w:t>
              </w:r>
            </w:hyperlink>
          </w:p>
        </w:tc>
        <w:tc>
          <w:tcPr>
            <w:tcW w:w="575" w:type="dxa"/>
            <w:tcBorders/>
            <w:shd w:fill="CCEEFF" w:val="clear"/>
            <w:vAlign w:val="center"/>
          </w:tcPr>
          <w:p>
            <w:pPr>
              <w:pStyle w:val="TableContents"/>
              <w:bidi w:val="0"/>
              <w:spacing w:before="0" w:after="0"/>
              <w:jc w:val="center"/>
              <w:rPr/>
            </w:pPr>
            <w:r>
              <w:rPr/>
              <w:t>3</w:t>
            </w:r>
          </w:p>
        </w:tc>
      </w:tr>
      <w:tr>
        <w:trPr/>
        <w:tc>
          <w:tcPr>
            <w:tcW w:w="102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ind w:left="180" w:right="0" w:hanging="0"/>
              <w:jc w:val="left"/>
              <w:rPr/>
            </w:pPr>
            <w:hyperlink w:anchor="COMPREHENSIVEINCOME">
              <w:r>
                <w:rPr>
                  <w:rStyle w:val="InternetLink"/>
                </w:rPr>
                <w:t>Consolidated Statements of Comprehensive Income (Unaudited)</w:t>
              </w:r>
            </w:hyperlink>
          </w:p>
        </w:tc>
        <w:tc>
          <w:tcPr>
            <w:tcW w:w="575" w:type="dxa"/>
            <w:tcBorders/>
            <w:vAlign w:val="center"/>
          </w:tcPr>
          <w:p>
            <w:pPr>
              <w:pStyle w:val="TableContents"/>
              <w:bidi w:val="0"/>
              <w:spacing w:before="0" w:after="0"/>
              <w:jc w:val="center"/>
              <w:rPr/>
            </w:pPr>
            <w:r>
              <w:rPr/>
              <w:t>4</w:t>
            </w:r>
          </w:p>
        </w:tc>
      </w:tr>
      <w:tr>
        <w:trPr/>
        <w:tc>
          <w:tcPr>
            <w:tcW w:w="1025" w:type="dxa"/>
            <w:tcBorders/>
            <w:shd w:fill="CCEEFF" w:val="clear"/>
            <w:vAlign w:val="center"/>
          </w:tcPr>
          <w:p>
            <w:pPr>
              <w:pStyle w:val="TableContents"/>
              <w:bidi w:val="0"/>
              <w:spacing w:before="0" w:after="283"/>
              <w:jc w:val="left"/>
              <w:rPr/>
            </w:pPr>
            <w:r>
              <w:rPr/>
              <w:t> </w:t>
            </w:r>
          </w:p>
        </w:tc>
        <w:tc>
          <w:tcPr>
            <w:tcW w:w="8525" w:type="dxa"/>
            <w:tcBorders/>
            <w:shd w:fill="CCEEFF" w:val="clear"/>
            <w:vAlign w:val="center"/>
          </w:tcPr>
          <w:p>
            <w:pPr>
              <w:pStyle w:val="TableContents"/>
              <w:bidi w:val="0"/>
              <w:spacing w:before="0" w:after="0"/>
              <w:ind w:left="180" w:right="0" w:hanging="0"/>
              <w:jc w:val="left"/>
              <w:rPr/>
            </w:pPr>
            <w:hyperlink w:anchor="STOCKHOLDERSEQUITY">
              <w:r>
                <w:rPr>
                  <w:rStyle w:val="InternetLink"/>
                </w:rPr>
                <w:t>Consolidated Statements of Changes in Stockholders’ Equity (Unaudited)</w:t>
              </w:r>
            </w:hyperlink>
          </w:p>
        </w:tc>
        <w:tc>
          <w:tcPr>
            <w:tcW w:w="575" w:type="dxa"/>
            <w:tcBorders/>
            <w:shd w:fill="CCEEFF" w:val="clear"/>
            <w:vAlign w:val="center"/>
          </w:tcPr>
          <w:p>
            <w:pPr>
              <w:pStyle w:val="TableContents"/>
              <w:bidi w:val="0"/>
              <w:spacing w:before="0" w:after="0"/>
              <w:jc w:val="center"/>
              <w:rPr/>
            </w:pPr>
            <w:r>
              <w:rPr/>
              <w:t>5</w:t>
            </w:r>
          </w:p>
        </w:tc>
      </w:tr>
      <w:tr>
        <w:trPr/>
        <w:tc>
          <w:tcPr>
            <w:tcW w:w="102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ind w:left="180" w:right="0" w:hanging="0"/>
              <w:jc w:val="left"/>
              <w:rPr/>
            </w:pPr>
            <w:hyperlink w:anchor="CASHFLOWS">
              <w:r>
                <w:rPr>
                  <w:rStyle w:val="InternetLink"/>
                </w:rPr>
                <w:t>Consolidated Statements of Cash Flows (Unaudited)</w:t>
              </w:r>
            </w:hyperlink>
          </w:p>
        </w:tc>
        <w:tc>
          <w:tcPr>
            <w:tcW w:w="575" w:type="dxa"/>
            <w:tcBorders/>
            <w:vAlign w:val="center"/>
          </w:tcPr>
          <w:p>
            <w:pPr>
              <w:pStyle w:val="TableContents"/>
              <w:bidi w:val="0"/>
              <w:spacing w:before="0" w:after="0"/>
              <w:jc w:val="center"/>
              <w:rPr/>
            </w:pPr>
            <w:r>
              <w:rPr/>
              <w:t>6</w:t>
            </w:r>
          </w:p>
        </w:tc>
      </w:tr>
      <w:tr>
        <w:trPr/>
        <w:tc>
          <w:tcPr>
            <w:tcW w:w="1025" w:type="dxa"/>
            <w:tcBorders/>
            <w:shd w:fill="CCEEFF" w:val="clear"/>
            <w:vAlign w:val="center"/>
          </w:tcPr>
          <w:p>
            <w:pPr>
              <w:pStyle w:val="TableContents"/>
              <w:bidi w:val="0"/>
              <w:spacing w:before="0" w:after="283"/>
              <w:jc w:val="left"/>
              <w:rPr/>
            </w:pPr>
            <w:r>
              <w:rPr/>
              <w:t> </w:t>
            </w:r>
          </w:p>
        </w:tc>
        <w:tc>
          <w:tcPr>
            <w:tcW w:w="8525" w:type="dxa"/>
            <w:tcBorders/>
            <w:shd w:fill="CCEEFF" w:val="clear"/>
            <w:vAlign w:val="center"/>
          </w:tcPr>
          <w:p>
            <w:pPr>
              <w:pStyle w:val="TableContents"/>
              <w:bidi w:val="0"/>
              <w:spacing w:before="0" w:after="0"/>
              <w:ind w:left="180" w:right="0" w:hanging="0"/>
              <w:jc w:val="left"/>
              <w:rPr/>
            </w:pPr>
            <w:hyperlink w:anchor="NOTESTOCONSOLIDATEDFINANC">
              <w:r>
                <w:rPr>
                  <w:rStyle w:val="InternetLink"/>
                </w:rPr>
                <w:t>Notes to Consolidated Financial Statements (Unaudited)</w:t>
              </w:r>
            </w:hyperlink>
          </w:p>
        </w:tc>
        <w:tc>
          <w:tcPr>
            <w:tcW w:w="575" w:type="dxa"/>
            <w:tcBorders/>
            <w:shd w:fill="CCEEFF" w:val="clear"/>
            <w:vAlign w:val="center"/>
          </w:tcPr>
          <w:p>
            <w:pPr>
              <w:pStyle w:val="TableContents"/>
              <w:bidi w:val="0"/>
              <w:spacing w:before="0" w:after="0"/>
              <w:jc w:val="center"/>
              <w:rPr/>
            </w:pPr>
            <w:r>
              <w:rPr/>
              <w:t>7</w:t>
            </w:r>
          </w:p>
        </w:tc>
      </w:tr>
      <w:tr>
        <w:trPr/>
        <w:tc>
          <w:tcPr>
            <w:tcW w:w="1025" w:type="dxa"/>
            <w:tcBorders/>
            <w:vAlign w:val="center"/>
          </w:tcPr>
          <w:p>
            <w:pPr>
              <w:pStyle w:val="TableContents"/>
              <w:bidi w:val="0"/>
              <w:spacing w:before="0" w:after="0"/>
              <w:jc w:val="left"/>
              <w:rPr/>
            </w:pPr>
            <w:r>
              <w:rPr/>
              <w:t>Item 2.</w:t>
            </w:r>
          </w:p>
        </w:tc>
        <w:tc>
          <w:tcPr>
            <w:tcW w:w="8525" w:type="dxa"/>
            <w:tcBorders/>
            <w:vAlign w:val="center"/>
          </w:tcPr>
          <w:p>
            <w:pPr>
              <w:pStyle w:val="TableContents"/>
              <w:bidi w:val="0"/>
              <w:spacing w:before="0" w:after="0"/>
              <w:jc w:val="left"/>
              <w:rPr/>
            </w:pPr>
            <w:hyperlink w:anchor="ManagementsDiscussionandA">
              <w:r>
                <w:rPr>
                  <w:rStyle w:val="InternetLink"/>
                </w:rPr>
                <w:t>Management’s Discussion and Analysis of Financial Condition and Results of Operations</w:t>
              </w:r>
            </w:hyperlink>
          </w:p>
        </w:tc>
        <w:tc>
          <w:tcPr>
            <w:tcW w:w="575" w:type="dxa"/>
            <w:tcBorders/>
            <w:vAlign w:val="center"/>
          </w:tcPr>
          <w:p>
            <w:pPr>
              <w:pStyle w:val="TableContents"/>
              <w:bidi w:val="0"/>
              <w:spacing w:before="0" w:after="0"/>
              <w:jc w:val="center"/>
              <w:rPr/>
            </w:pPr>
            <w:r>
              <w:rPr/>
              <w:t>30</w:t>
            </w:r>
          </w:p>
        </w:tc>
      </w:tr>
      <w:tr>
        <w:trPr/>
        <w:tc>
          <w:tcPr>
            <w:tcW w:w="1025" w:type="dxa"/>
            <w:tcBorders/>
            <w:shd w:fill="CCEEFF" w:val="clear"/>
            <w:vAlign w:val="center"/>
          </w:tcPr>
          <w:p>
            <w:pPr>
              <w:pStyle w:val="TableContents"/>
              <w:bidi w:val="0"/>
              <w:spacing w:before="0" w:after="0"/>
              <w:jc w:val="left"/>
              <w:rPr/>
            </w:pPr>
            <w:r>
              <w:rPr/>
              <w:t>Item 3.</w:t>
            </w:r>
          </w:p>
        </w:tc>
        <w:tc>
          <w:tcPr>
            <w:tcW w:w="8525" w:type="dxa"/>
            <w:tcBorders/>
            <w:shd w:fill="CCEEFF" w:val="clear"/>
            <w:vAlign w:val="center"/>
          </w:tcPr>
          <w:p>
            <w:pPr>
              <w:pStyle w:val="TableContents"/>
              <w:bidi w:val="0"/>
              <w:spacing w:before="0" w:after="0"/>
              <w:jc w:val="left"/>
              <w:rPr/>
            </w:pPr>
            <w:hyperlink w:anchor="QuantitativeandQualitativ">
              <w:r>
                <w:rPr>
                  <w:rStyle w:val="InternetLink"/>
                </w:rPr>
                <w:t>Quantitative and Qualitative Disclosures About Market Risk</w:t>
              </w:r>
            </w:hyperlink>
          </w:p>
        </w:tc>
        <w:tc>
          <w:tcPr>
            <w:tcW w:w="575" w:type="dxa"/>
            <w:tcBorders/>
            <w:shd w:fill="CCEEFF" w:val="clear"/>
            <w:vAlign w:val="center"/>
          </w:tcPr>
          <w:p>
            <w:pPr>
              <w:pStyle w:val="TableContents"/>
              <w:bidi w:val="0"/>
              <w:spacing w:before="0" w:after="0"/>
              <w:jc w:val="center"/>
              <w:rPr/>
            </w:pPr>
            <w:r>
              <w:rPr/>
              <w:t>52</w:t>
            </w:r>
          </w:p>
        </w:tc>
      </w:tr>
      <w:tr>
        <w:trPr/>
        <w:tc>
          <w:tcPr>
            <w:tcW w:w="1025" w:type="dxa"/>
            <w:tcBorders/>
            <w:vAlign w:val="center"/>
          </w:tcPr>
          <w:p>
            <w:pPr>
              <w:pStyle w:val="TableContents"/>
              <w:bidi w:val="0"/>
              <w:spacing w:before="0" w:after="0"/>
              <w:jc w:val="left"/>
              <w:rPr/>
            </w:pPr>
            <w:r>
              <w:rPr/>
              <w:t>Item 4.</w:t>
            </w:r>
          </w:p>
        </w:tc>
        <w:tc>
          <w:tcPr>
            <w:tcW w:w="8525" w:type="dxa"/>
            <w:tcBorders/>
            <w:vAlign w:val="center"/>
          </w:tcPr>
          <w:p>
            <w:pPr>
              <w:pStyle w:val="TableContents"/>
              <w:bidi w:val="0"/>
              <w:spacing w:before="0" w:after="0"/>
              <w:jc w:val="left"/>
              <w:rPr/>
            </w:pPr>
            <w:hyperlink w:anchor="ControlsandProcedures">
              <w:r>
                <w:rPr>
                  <w:rStyle w:val="InternetLink"/>
                </w:rPr>
                <w:t>Controls and Procedures</w:t>
              </w:r>
            </w:hyperlink>
          </w:p>
        </w:tc>
        <w:tc>
          <w:tcPr>
            <w:tcW w:w="575" w:type="dxa"/>
            <w:tcBorders/>
            <w:vAlign w:val="center"/>
          </w:tcPr>
          <w:p>
            <w:pPr>
              <w:pStyle w:val="TableContents"/>
              <w:bidi w:val="0"/>
              <w:spacing w:before="0" w:after="0"/>
              <w:jc w:val="center"/>
              <w:rPr/>
            </w:pPr>
            <w:r>
              <w:rPr/>
              <w:t>52</w:t>
            </w:r>
          </w:p>
        </w:tc>
      </w:tr>
      <w:tr>
        <w:trPr/>
        <w:tc>
          <w:tcPr>
            <w:tcW w:w="1025" w:type="dxa"/>
            <w:tcBorders/>
            <w:shd w:fill="CCEEFF" w:val="clear"/>
            <w:vAlign w:val="center"/>
          </w:tcPr>
          <w:p>
            <w:pPr>
              <w:pStyle w:val="TableContents"/>
              <w:bidi w:val="0"/>
              <w:spacing w:before="0" w:after="0"/>
              <w:jc w:val="left"/>
              <w:rPr>
                <w:b/>
              </w:rPr>
            </w:pPr>
            <w:r>
              <w:rPr>
                <w:b/>
              </w:rPr>
              <w:t>PART II.</w:t>
            </w:r>
          </w:p>
        </w:tc>
        <w:tc>
          <w:tcPr>
            <w:tcW w:w="8525" w:type="dxa"/>
            <w:tcBorders/>
            <w:shd w:fill="CCEEFF" w:val="clear"/>
            <w:vAlign w:val="center"/>
          </w:tcPr>
          <w:p>
            <w:pPr>
              <w:pStyle w:val="TableContents"/>
              <w:bidi w:val="0"/>
              <w:spacing w:before="0" w:after="0"/>
              <w:jc w:val="left"/>
              <w:rPr/>
            </w:pPr>
            <w:hyperlink w:anchor="PARTII.">
              <w:r>
                <w:rPr>
                  <w:rStyle w:val="InternetLink"/>
                </w:rPr>
                <w:t>OTHER INFORMATION</w:t>
              </w:r>
            </w:hyperlink>
          </w:p>
        </w:tc>
        <w:tc>
          <w:tcPr>
            <w:tcW w:w="575" w:type="dxa"/>
            <w:tcBorders/>
            <w:shd w:fill="CCEEFF" w:val="clear"/>
            <w:vAlign w:val="center"/>
          </w:tcPr>
          <w:p>
            <w:pPr>
              <w:pStyle w:val="TableContents"/>
              <w:bidi w:val="0"/>
              <w:spacing w:before="0" w:after="0"/>
              <w:jc w:val="center"/>
              <w:rPr/>
            </w:pPr>
            <w:r>
              <w:rPr/>
              <w:t>52</w:t>
            </w:r>
          </w:p>
        </w:tc>
      </w:tr>
      <w:tr>
        <w:trPr/>
        <w:tc>
          <w:tcPr>
            <w:tcW w:w="1025" w:type="dxa"/>
            <w:tcBorders/>
            <w:vAlign w:val="center"/>
          </w:tcPr>
          <w:p>
            <w:pPr>
              <w:pStyle w:val="TableContents"/>
              <w:bidi w:val="0"/>
              <w:spacing w:before="0" w:after="0"/>
              <w:jc w:val="left"/>
              <w:rPr/>
            </w:pPr>
            <w:r>
              <w:rPr/>
              <w:t>Item 1.</w:t>
            </w:r>
          </w:p>
        </w:tc>
        <w:tc>
          <w:tcPr>
            <w:tcW w:w="8525" w:type="dxa"/>
            <w:tcBorders/>
            <w:vAlign w:val="center"/>
          </w:tcPr>
          <w:p>
            <w:pPr>
              <w:pStyle w:val="TableContents"/>
              <w:bidi w:val="0"/>
              <w:spacing w:before="0" w:after="0"/>
              <w:jc w:val="left"/>
              <w:rPr/>
            </w:pPr>
            <w:hyperlink w:anchor="LegalProceedings">
              <w:r>
                <w:rPr>
                  <w:rStyle w:val="InternetLink"/>
                </w:rPr>
                <w:t>Legal Proceedings</w:t>
              </w:r>
            </w:hyperlink>
          </w:p>
        </w:tc>
        <w:tc>
          <w:tcPr>
            <w:tcW w:w="575" w:type="dxa"/>
            <w:tcBorders/>
            <w:vAlign w:val="center"/>
          </w:tcPr>
          <w:p>
            <w:pPr>
              <w:pStyle w:val="TableContents"/>
              <w:bidi w:val="0"/>
              <w:spacing w:before="0" w:after="0"/>
              <w:jc w:val="center"/>
              <w:rPr/>
            </w:pPr>
            <w:r>
              <w:rPr/>
              <w:t>52</w:t>
            </w:r>
          </w:p>
        </w:tc>
      </w:tr>
      <w:tr>
        <w:trPr/>
        <w:tc>
          <w:tcPr>
            <w:tcW w:w="1025" w:type="dxa"/>
            <w:tcBorders/>
            <w:shd w:fill="CCEEFF" w:val="clear"/>
            <w:vAlign w:val="center"/>
          </w:tcPr>
          <w:p>
            <w:pPr>
              <w:pStyle w:val="TableContents"/>
              <w:bidi w:val="0"/>
              <w:spacing w:before="0" w:after="0"/>
              <w:jc w:val="left"/>
              <w:rPr/>
            </w:pPr>
            <w:r>
              <w:rPr/>
              <w:t>Item 1A.</w:t>
            </w:r>
          </w:p>
        </w:tc>
        <w:tc>
          <w:tcPr>
            <w:tcW w:w="8525" w:type="dxa"/>
            <w:tcBorders/>
            <w:shd w:fill="CCEEFF" w:val="clear"/>
            <w:vAlign w:val="center"/>
          </w:tcPr>
          <w:p>
            <w:pPr>
              <w:pStyle w:val="TableContents"/>
              <w:bidi w:val="0"/>
              <w:spacing w:before="0" w:after="0"/>
              <w:jc w:val="left"/>
              <w:rPr/>
            </w:pPr>
            <w:hyperlink w:anchor="RiskFactors">
              <w:r>
                <w:rPr>
                  <w:rStyle w:val="InternetLink"/>
                </w:rPr>
                <w:t>Risk Factors</w:t>
              </w:r>
            </w:hyperlink>
          </w:p>
        </w:tc>
        <w:tc>
          <w:tcPr>
            <w:tcW w:w="575" w:type="dxa"/>
            <w:tcBorders/>
            <w:shd w:fill="CCEEFF" w:val="clear"/>
            <w:vAlign w:val="center"/>
          </w:tcPr>
          <w:p>
            <w:pPr>
              <w:pStyle w:val="TableContents"/>
              <w:bidi w:val="0"/>
              <w:spacing w:before="0" w:after="0"/>
              <w:jc w:val="center"/>
              <w:rPr/>
            </w:pPr>
            <w:r>
              <w:rPr/>
              <w:t>52</w:t>
            </w:r>
          </w:p>
        </w:tc>
      </w:tr>
      <w:tr>
        <w:trPr/>
        <w:tc>
          <w:tcPr>
            <w:tcW w:w="1025" w:type="dxa"/>
            <w:tcBorders/>
            <w:vAlign w:val="center"/>
          </w:tcPr>
          <w:p>
            <w:pPr>
              <w:pStyle w:val="TableContents"/>
              <w:bidi w:val="0"/>
              <w:spacing w:before="0" w:after="0"/>
              <w:jc w:val="left"/>
              <w:rPr/>
            </w:pPr>
            <w:r>
              <w:rPr/>
              <w:t>Item 2.</w:t>
            </w:r>
          </w:p>
        </w:tc>
        <w:tc>
          <w:tcPr>
            <w:tcW w:w="8525" w:type="dxa"/>
            <w:tcBorders/>
            <w:vAlign w:val="center"/>
          </w:tcPr>
          <w:p>
            <w:pPr>
              <w:pStyle w:val="TableContents"/>
              <w:bidi w:val="0"/>
              <w:spacing w:before="0" w:after="0"/>
              <w:jc w:val="left"/>
              <w:rPr/>
            </w:pPr>
            <w:hyperlink w:anchor="UnregisteredSalesofEquity">
              <w:r>
                <w:rPr>
                  <w:rStyle w:val="InternetLink"/>
                </w:rPr>
                <w:t>Unregistered Sales of Equity Securities and Use of Proceeds</w:t>
              </w:r>
            </w:hyperlink>
          </w:p>
        </w:tc>
        <w:tc>
          <w:tcPr>
            <w:tcW w:w="575" w:type="dxa"/>
            <w:tcBorders/>
            <w:vAlign w:val="center"/>
          </w:tcPr>
          <w:p>
            <w:pPr>
              <w:pStyle w:val="TableContents"/>
              <w:bidi w:val="0"/>
              <w:spacing w:before="0" w:after="0"/>
              <w:jc w:val="center"/>
              <w:rPr/>
            </w:pPr>
            <w:r>
              <w:rPr/>
              <w:t>53</w:t>
            </w:r>
          </w:p>
        </w:tc>
      </w:tr>
      <w:tr>
        <w:trPr/>
        <w:tc>
          <w:tcPr>
            <w:tcW w:w="1025" w:type="dxa"/>
            <w:tcBorders/>
            <w:shd w:fill="CCEEFF" w:val="clear"/>
            <w:vAlign w:val="center"/>
          </w:tcPr>
          <w:p>
            <w:pPr>
              <w:pStyle w:val="TableContents"/>
              <w:bidi w:val="0"/>
              <w:spacing w:before="0" w:after="0"/>
              <w:jc w:val="left"/>
              <w:rPr/>
            </w:pPr>
            <w:r>
              <w:rPr/>
              <w:t>Item 3.</w:t>
            </w:r>
          </w:p>
        </w:tc>
        <w:tc>
          <w:tcPr>
            <w:tcW w:w="8525" w:type="dxa"/>
            <w:tcBorders/>
            <w:shd w:fill="CCEEFF" w:val="clear"/>
            <w:vAlign w:val="center"/>
          </w:tcPr>
          <w:p>
            <w:pPr>
              <w:pStyle w:val="TableContents"/>
              <w:bidi w:val="0"/>
              <w:spacing w:before="0" w:after="0"/>
              <w:jc w:val="left"/>
              <w:rPr/>
            </w:pPr>
            <w:hyperlink w:anchor="DefaultsuponSeniorSecurit">
              <w:r>
                <w:rPr>
                  <w:rStyle w:val="InternetLink"/>
                </w:rPr>
                <w:t>Defaults Upon Senior Securities</w:t>
              </w:r>
            </w:hyperlink>
          </w:p>
        </w:tc>
        <w:tc>
          <w:tcPr>
            <w:tcW w:w="575" w:type="dxa"/>
            <w:tcBorders/>
            <w:shd w:fill="CCEEFF" w:val="clear"/>
            <w:vAlign w:val="center"/>
          </w:tcPr>
          <w:p>
            <w:pPr>
              <w:pStyle w:val="TableContents"/>
              <w:bidi w:val="0"/>
              <w:spacing w:before="0" w:after="0"/>
              <w:jc w:val="center"/>
              <w:rPr/>
            </w:pPr>
            <w:r>
              <w:rPr/>
              <w:t>53</w:t>
            </w:r>
          </w:p>
        </w:tc>
      </w:tr>
      <w:tr>
        <w:trPr/>
        <w:tc>
          <w:tcPr>
            <w:tcW w:w="1025" w:type="dxa"/>
            <w:tcBorders/>
            <w:vAlign w:val="center"/>
          </w:tcPr>
          <w:p>
            <w:pPr>
              <w:pStyle w:val="TableContents"/>
              <w:bidi w:val="0"/>
              <w:spacing w:before="0" w:after="0"/>
              <w:jc w:val="left"/>
              <w:rPr/>
            </w:pPr>
            <w:r>
              <w:rPr/>
              <w:t>Item 4.</w:t>
            </w:r>
          </w:p>
        </w:tc>
        <w:tc>
          <w:tcPr>
            <w:tcW w:w="8525" w:type="dxa"/>
            <w:tcBorders/>
            <w:vAlign w:val="center"/>
          </w:tcPr>
          <w:p>
            <w:pPr>
              <w:pStyle w:val="TableContents"/>
              <w:bidi w:val="0"/>
              <w:spacing w:before="0" w:after="0"/>
              <w:jc w:val="left"/>
              <w:rPr/>
            </w:pPr>
            <w:hyperlink w:anchor="MineSafetyDisclosures">
              <w:r>
                <w:rPr>
                  <w:rStyle w:val="InternetLink"/>
                </w:rPr>
                <w:t>Mine Safety Disclosures</w:t>
              </w:r>
            </w:hyperlink>
          </w:p>
        </w:tc>
        <w:tc>
          <w:tcPr>
            <w:tcW w:w="575" w:type="dxa"/>
            <w:tcBorders/>
            <w:vAlign w:val="center"/>
          </w:tcPr>
          <w:p>
            <w:pPr>
              <w:pStyle w:val="TableContents"/>
              <w:bidi w:val="0"/>
              <w:spacing w:before="0" w:after="0"/>
              <w:jc w:val="center"/>
              <w:rPr/>
            </w:pPr>
            <w:r>
              <w:rPr/>
              <w:t>53</w:t>
            </w:r>
          </w:p>
        </w:tc>
      </w:tr>
      <w:tr>
        <w:trPr/>
        <w:tc>
          <w:tcPr>
            <w:tcW w:w="1025" w:type="dxa"/>
            <w:tcBorders/>
            <w:shd w:fill="CCEEFF" w:val="clear"/>
            <w:vAlign w:val="center"/>
          </w:tcPr>
          <w:p>
            <w:pPr>
              <w:pStyle w:val="TableContents"/>
              <w:bidi w:val="0"/>
              <w:spacing w:before="0" w:after="0"/>
              <w:jc w:val="left"/>
              <w:rPr/>
            </w:pPr>
            <w:r>
              <w:rPr/>
              <w:t>Item 5.</w:t>
            </w:r>
          </w:p>
        </w:tc>
        <w:tc>
          <w:tcPr>
            <w:tcW w:w="8525" w:type="dxa"/>
            <w:tcBorders/>
            <w:shd w:fill="CCEEFF" w:val="clear"/>
            <w:vAlign w:val="center"/>
          </w:tcPr>
          <w:p>
            <w:pPr>
              <w:pStyle w:val="TableContents"/>
              <w:bidi w:val="0"/>
              <w:spacing w:before="0" w:after="0"/>
              <w:jc w:val="left"/>
              <w:rPr/>
            </w:pPr>
            <w:hyperlink w:anchor="Item5.">
              <w:r>
                <w:rPr>
                  <w:rStyle w:val="InternetLink"/>
                </w:rPr>
                <w:t>Other Information</w:t>
              </w:r>
            </w:hyperlink>
          </w:p>
        </w:tc>
        <w:tc>
          <w:tcPr>
            <w:tcW w:w="575" w:type="dxa"/>
            <w:tcBorders/>
            <w:shd w:fill="CCEEFF" w:val="clear"/>
            <w:vAlign w:val="center"/>
          </w:tcPr>
          <w:p>
            <w:pPr>
              <w:pStyle w:val="TableContents"/>
              <w:bidi w:val="0"/>
              <w:spacing w:before="0" w:after="0"/>
              <w:jc w:val="center"/>
              <w:rPr/>
            </w:pPr>
            <w:r>
              <w:rPr/>
              <w:t>53</w:t>
            </w:r>
          </w:p>
        </w:tc>
      </w:tr>
      <w:tr>
        <w:trPr/>
        <w:tc>
          <w:tcPr>
            <w:tcW w:w="1025" w:type="dxa"/>
            <w:tcBorders/>
            <w:vAlign w:val="center"/>
          </w:tcPr>
          <w:p>
            <w:pPr>
              <w:pStyle w:val="TableContents"/>
              <w:bidi w:val="0"/>
              <w:spacing w:before="0" w:after="0"/>
              <w:jc w:val="left"/>
              <w:rPr/>
            </w:pPr>
            <w:r>
              <w:rPr/>
              <w:t>Item 6.</w:t>
            </w:r>
          </w:p>
        </w:tc>
        <w:tc>
          <w:tcPr>
            <w:tcW w:w="8525" w:type="dxa"/>
            <w:tcBorders/>
            <w:vAlign w:val="center"/>
          </w:tcPr>
          <w:p>
            <w:pPr>
              <w:pStyle w:val="TableContents"/>
              <w:bidi w:val="0"/>
              <w:spacing w:before="0" w:after="0"/>
              <w:jc w:val="left"/>
              <w:rPr/>
            </w:pPr>
            <w:hyperlink w:anchor="Exhibits">
              <w:r>
                <w:rPr>
                  <w:rStyle w:val="InternetLink"/>
                </w:rPr>
                <w:t>Exhibits</w:t>
              </w:r>
            </w:hyperlink>
          </w:p>
        </w:tc>
        <w:tc>
          <w:tcPr>
            <w:tcW w:w="575" w:type="dxa"/>
            <w:tcBorders/>
            <w:vAlign w:val="center"/>
          </w:tcPr>
          <w:p>
            <w:pPr>
              <w:pStyle w:val="TableContents"/>
              <w:bidi w:val="0"/>
              <w:spacing w:before="0" w:after="0"/>
              <w:jc w:val="center"/>
              <w:rPr/>
            </w:pPr>
            <w:r>
              <w:rPr/>
              <w:t>54</w:t>
            </w:r>
          </w:p>
        </w:tc>
      </w:tr>
      <w:tr>
        <w:trPr/>
        <w:tc>
          <w:tcPr>
            <w:tcW w:w="9550" w:type="dxa"/>
            <w:gridSpan w:val="2"/>
            <w:tcBorders/>
            <w:shd w:fill="CCEEFF" w:val="clear"/>
            <w:vAlign w:val="center"/>
          </w:tcPr>
          <w:p>
            <w:pPr>
              <w:pStyle w:val="TableContents"/>
              <w:bidi w:val="0"/>
              <w:spacing w:before="0" w:after="0"/>
              <w:jc w:val="left"/>
              <w:rPr/>
            </w:pPr>
            <w:hyperlink w:anchor="SIGNATURES">
              <w:r>
                <w:rPr>
                  <w:rStyle w:val="InternetLink"/>
                </w:rPr>
                <w:t>Signatures</w:t>
              </w:r>
            </w:hyperlink>
          </w:p>
        </w:tc>
        <w:tc>
          <w:tcPr>
            <w:tcW w:w="575" w:type="dxa"/>
            <w:tcBorders/>
            <w:shd w:fill="CCEEFF" w:val="clear"/>
            <w:vAlign w:val="center"/>
          </w:tcPr>
          <w:p>
            <w:pPr>
              <w:pStyle w:val="TableContents"/>
              <w:bidi w:val="0"/>
              <w:spacing w:before="0" w:after="0"/>
              <w:jc w:val="center"/>
              <w:rPr/>
            </w:pPr>
            <w:r>
              <w:rPr/>
              <w:t>55</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bookmarkStart w:id="19" w:name="PARTI.FINANCIALINFORMATIO"/>
      <w:bookmarkEnd w:id="19"/>
      <w:r>
        <w:rPr>
          <w:rFonts w:ascii="Times New Roman" w:hAnsi="Times New Roman"/>
          <w:b/>
          <w:color w:val="000000"/>
          <w:sz w:val="20"/>
          <w:shd w:fill="FFFFFF" w:val="clear"/>
        </w:rPr>
        <w:t>PART I. FINANCIAL INFORMATION</w:t>
      </w:r>
    </w:p>
    <w:p>
      <w:pPr>
        <w:pStyle w:val="Normal"/>
        <w:bidi w:val="0"/>
        <w:spacing w:before="0" w:after="0"/>
        <w:jc w:val="left"/>
        <w:rPr>
          <w:sz w:val="4"/>
          <w:szCs w:val="4"/>
        </w:rPr>
      </w:pPr>
      <w:r>
        <w:rPr>
          <w:sz w:val="4"/>
          <w:szCs w:val="4"/>
        </w:rPr>
      </w:r>
      <w:bookmarkStart w:id="20" w:name="zd4ea9d1301844795bafef7b4a287cc24"/>
      <w:bookmarkStart w:id="21" w:name="ConsolidatedFinancialStat"/>
      <w:bookmarkStart w:id="22" w:name="zd4ea9d1301844795bafef7b4a287cc24"/>
      <w:bookmarkStart w:id="23" w:name="ConsolidatedFinancialStat"/>
      <w:bookmarkEnd w:id="22"/>
      <w:bookmarkEnd w:id="23"/>
    </w:p>
    <w:tbl>
      <w:tblPr>
        <w:tblW w:w="4375" w:type="dxa"/>
        <w:jc w:val="left"/>
        <w:tblInd w:w="0" w:type="dxa"/>
        <w:tblLayout w:type="fixed"/>
        <w:tblCellMar>
          <w:top w:w="0" w:type="dxa"/>
          <w:left w:w="0" w:type="dxa"/>
          <w:bottom w:w="0" w:type="dxa"/>
          <w:right w:w="0" w:type="dxa"/>
        </w:tblCellMar>
      </w:tblPr>
      <w:tblGrid>
        <w:gridCol w:w="770"/>
        <w:gridCol w:w="3605"/>
      </w:tblGrid>
      <w:tr>
        <w:trPr/>
        <w:tc>
          <w:tcPr>
            <w:tcW w:w="770" w:type="dxa"/>
            <w:tcBorders/>
            <w:vAlign w:val="center"/>
          </w:tcPr>
          <w:p>
            <w:pPr>
              <w:pStyle w:val="TableContents"/>
              <w:bidi w:val="0"/>
              <w:spacing w:before="0" w:after="283"/>
              <w:jc w:val="left"/>
              <w:rPr>
                <w:b/>
                <w:color w:val="000000"/>
              </w:rPr>
            </w:pPr>
            <w:r>
              <w:rPr>
                <w:b/>
                <w:color w:val="000000"/>
              </w:rPr>
              <w:t>Item 1.</w:t>
            </w:r>
          </w:p>
        </w:tc>
        <w:tc>
          <w:tcPr>
            <w:tcW w:w="3605" w:type="dxa"/>
            <w:tcBorders/>
            <w:vAlign w:val="center"/>
          </w:tcPr>
          <w:p>
            <w:pPr>
              <w:pStyle w:val="TableContents"/>
              <w:bidi w:val="0"/>
              <w:spacing w:before="0" w:after="0"/>
              <w:jc w:val="left"/>
              <w:rPr>
                <w:b/>
                <w:color w:val="000000"/>
              </w:rPr>
            </w:pPr>
            <w:r>
              <w:rPr>
                <w:b/>
                <w:color w:val="000000"/>
              </w:rPr>
              <w:t>Consolidated Financial Statements</w:t>
            </w:r>
          </w:p>
        </w:tc>
      </w:tr>
    </w:tbl>
    <w:p>
      <w:pPr>
        <w:pStyle w:val="TextBody"/>
        <w:bidi w:val="0"/>
        <w:spacing w:before="0" w:after="0"/>
        <w:jc w:val="left"/>
        <w:rPr>
          <w:b/>
          <w:color w:val="000000"/>
        </w:rPr>
      </w:pPr>
      <w:r>
        <w:rPr>
          <w:b/>
          <w:color w:val="00000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bookmarkStart w:id="24" w:name="CONSOLIDATEDBALANCESHEETS"/>
      <w:bookmarkEnd w:id="24"/>
      <w:r>
        <w:rPr>
          <w:rFonts w:ascii="Times New Roman" w:hAnsi="Times New Roman"/>
          <w:b/>
          <w:color w:val="000000"/>
          <w:sz w:val="20"/>
          <w:shd w:fill="FFFFFF" w:val="clear"/>
        </w:rPr>
        <w:t>CONSOLIDATED BALANCE SHEETS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(Dollars in thousands, except per share data)</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25" w:name="zb146e6d7a6084b28891c9137c94ccb80"/>
      <w:bookmarkStart w:id="26" w:name="zb146e6d7a6084b28891c9137c94ccb80"/>
      <w:bookmarkEnd w:id="26"/>
    </w:p>
    <w:tbl>
      <w:tblPr>
        <w:tblW w:w="10205" w:type="dxa"/>
        <w:jc w:val="left"/>
        <w:tblInd w:w="0" w:type="dxa"/>
        <w:tblLayout w:type="fixed"/>
        <w:tblCellMar>
          <w:top w:w="0" w:type="dxa"/>
          <w:left w:w="0" w:type="dxa"/>
          <w:bottom w:w="0" w:type="dxa"/>
          <w:right w:w="0" w:type="dxa"/>
        </w:tblCellMar>
      </w:tblPr>
      <w:tblGrid>
        <w:gridCol w:w="7205"/>
        <w:gridCol w:w="90"/>
        <w:gridCol w:w="176"/>
        <w:gridCol w:w="1054"/>
        <w:gridCol w:w="125"/>
        <w:gridCol w:w="90"/>
        <w:gridCol w:w="186"/>
        <w:gridCol w:w="1107"/>
        <w:gridCol w:w="172"/>
      </w:tblGrid>
      <w:tr>
        <w:trPr/>
        <w:tc>
          <w:tcPr>
            <w:tcW w:w="720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2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w:t>
            </w:r>
          </w:p>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9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December 31, </w:t>
            </w:r>
          </w:p>
          <w:p>
            <w:pPr>
              <w:pStyle w:val="TableContents"/>
              <w:bidi w:val="0"/>
              <w:spacing w:before="0" w:after="0"/>
              <w:jc w:val="center"/>
              <w:rPr>
                <w:b/>
                <w:color w:val="000000"/>
              </w:rPr>
            </w:pPr>
            <w:r>
              <w:rPr>
                <w:b/>
                <w:color w:val="000000"/>
              </w:rPr>
              <w:t>2025</w:t>
            </w:r>
          </w:p>
        </w:tc>
        <w:tc>
          <w:tcPr>
            <w:tcW w:w="172" w:type="dxa"/>
            <w:tcBorders/>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230" w:type="dxa"/>
            <w:gridSpan w:val="2"/>
            <w:tcBorders/>
            <w:vAlign w:val="bottom"/>
          </w:tcPr>
          <w:p>
            <w:pPr>
              <w:pStyle w:val="TableContents"/>
              <w:bidi w:val="0"/>
              <w:spacing w:before="0" w:after="0"/>
              <w:jc w:val="center"/>
              <w:rPr>
                <w:b/>
                <w:color w:val="000000"/>
              </w:rPr>
            </w:pPr>
            <w:r>
              <w:rPr>
                <w:b/>
                <w:color w:val="000000"/>
              </w:rPr>
              <w:t>(Unaudited)</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93"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180" w:right="0" w:hanging="180"/>
              <w:jc w:val="left"/>
              <w:rPr>
                <w:color w:val="000000"/>
                <w:u w:val="single"/>
              </w:rPr>
            </w:pPr>
            <w:r>
              <w:rPr>
                <w:color w:val="000000"/>
                <w:u w:val="single"/>
              </w:rPr>
              <w:t>ASSETS</w:t>
            </w:r>
          </w:p>
        </w:tc>
        <w:tc>
          <w:tcPr>
            <w:tcW w:w="90" w:type="dxa"/>
            <w:tcBorders/>
            <w:vAlign w:val="bottom"/>
          </w:tcPr>
          <w:p>
            <w:pPr>
              <w:pStyle w:val="TableContents"/>
              <w:bidi w:val="0"/>
              <w:spacing w:before="0" w:after="283"/>
              <w:jc w:val="left"/>
              <w:rPr/>
            </w:pPr>
            <w:r>
              <w:rPr/>
              <w:t> </w:t>
            </w:r>
          </w:p>
        </w:tc>
        <w:tc>
          <w:tcPr>
            <w:tcW w:w="123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93"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180" w:right="0" w:hanging="180"/>
              <w:jc w:val="left"/>
              <w:rPr>
                <w:color w:val="000000"/>
              </w:rPr>
            </w:pPr>
            <w:r>
              <w:rPr>
                <w:color w:val="000000"/>
              </w:rPr>
              <w:t>Cash and due from banks</w:t>
            </w:r>
          </w:p>
        </w:tc>
        <w:tc>
          <w:tcPr>
            <w:tcW w:w="9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1054" w:type="dxa"/>
            <w:tcBorders/>
            <w:shd w:fill="CCEEFF" w:val="clear"/>
            <w:vAlign w:val="bottom"/>
          </w:tcPr>
          <w:p>
            <w:pPr>
              <w:pStyle w:val="TableContents"/>
              <w:bidi w:val="0"/>
              <w:spacing w:before="0" w:after="0"/>
              <w:jc w:val="right"/>
              <w:rPr>
                <w:color w:val="000000"/>
              </w:rPr>
            </w:pPr>
            <w:r>
              <w:rPr>
                <w:color w:val="000000"/>
              </w:rPr>
              <w:t>61,177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0"/>
              <w:jc w:val="left"/>
              <w:rPr>
                <w:color w:val="000000"/>
              </w:rPr>
            </w:pPr>
            <w:r>
              <w:rPr>
                <w:color w:val="000000"/>
              </w:rPr>
              <w:t>$</w:t>
            </w:r>
          </w:p>
        </w:tc>
        <w:tc>
          <w:tcPr>
            <w:tcW w:w="1107" w:type="dxa"/>
            <w:tcBorders/>
            <w:shd w:fill="CCEEFF" w:val="clear"/>
            <w:vAlign w:val="bottom"/>
          </w:tcPr>
          <w:p>
            <w:pPr>
              <w:pStyle w:val="TableContents"/>
              <w:bidi w:val="0"/>
              <w:spacing w:before="0" w:after="0"/>
              <w:jc w:val="right"/>
              <w:rPr>
                <w:color w:val="000000"/>
              </w:rPr>
            </w:pPr>
            <w:r>
              <w:rPr>
                <w:color w:val="000000"/>
              </w:rPr>
              <w:t>58,318</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180" w:right="0" w:hanging="180"/>
              <w:jc w:val="left"/>
              <w:rPr>
                <w:color w:val="000000"/>
              </w:rPr>
            </w:pPr>
            <w:r>
              <w:rPr>
                <w:color w:val="000000"/>
              </w:rPr>
              <w:t>Interest-bearing deposits in banks</w:t>
            </w:r>
          </w:p>
        </w:tc>
        <w:tc>
          <w:tcPr>
            <w:tcW w:w="9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726,580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494,121</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360" w:right="0" w:hanging="180"/>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787,757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000000"/>
              </w:rPr>
            </w:pPr>
            <w:r>
              <w:rPr>
                <w:color w:val="000000"/>
              </w:rPr>
              <w:t>552,439</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180" w:right="0" w:hanging="180"/>
              <w:jc w:val="left"/>
              <w:rPr>
                <w:color w:val="000000"/>
              </w:rPr>
            </w:pPr>
            <w:r>
              <w:rPr>
                <w:color w:val="000000"/>
              </w:rPr>
              <w:t>Securities available for sale</w:t>
            </w:r>
          </w:p>
        </w:tc>
        <w:tc>
          <w:tcPr>
            <w:tcW w:w="9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555,427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000000"/>
              </w:rPr>
            </w:pPr>
            <w:r>
              <w:rPr>
                <w:color w:val="000000"/>
              </w:rPr>
              <w:t>567,540</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180" w:right="0" w:hanging="180"/>
              <w:jc w:val="left"/>
              <w:rPr>
                <w:color w:val="000000"/>
              </w:rPr>
            </w:pPr>
            <w:r>
              <w:rPr>
                <w:color w:val="000000"/>
              </w:rPr>
              <w:t>Loans held for sale ($7,943 and $7,796 at fair value at June 30, 2026 and December 31, 2025, respectively)</w:t>
            </w:r>
          </w:p>
        </w:tc>
        <w:tc>
          <w:tcPr>
            <w:tcW w:w="9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11,622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000000"/>
              </w:rPr>
            </w:pPr>
            <w:r>
              <w:rPr>
                <w:color w:val="000000"/>
              </w:rPr>
              <w:t>9,993</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180" w:right="0" w:hanging="180"/>
              <w:jc w:val="left"/>
              <w:rPr>
                <w:color w:val="000000"/>
              </w:rPr>
            </w:pPr>
            <w:r>
              <w:rPr>
                <w:color w:val="000000"/>
              </w:rPr>
              <w:t>Loans held for investment</w:t>
            </w:r>
          </w:p>
        </w:tc>
        <w:tc>
          <w:tcPr>
            <w:tcW w:w="9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3,771,434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000000"/>
              </w:rPr>
            </w:pPr>
            <w:r>
              <w:rPr>
                <w:color w:val="000000"/>
              </w:rPr>
              <w:t>3,144,502</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360" w:right="0" w:hanging="180"/>
              <w:jc w:val="left"/>
              <w:rPr>
                <w:color w:val="000000"/>
              </w:rPr>
            </w:pPr>
            <w:r>
              <w:rPr>
                <w:color w:val="000000"/>
              </w:rPr>
              <w:t>Allowance for credit losses on loans</w:t>
            </w:r>
          </w:p>
        </w:tc>
        <w:tc>
          <w:tcPr>
            <w:tcW w:w="9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(53,076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(45,131</w:t>
            </w:r>
          </w:p>
        </w:tc>
        <w:tc>
          <w:tcPr>
            <w:tcW w:w="172" w:type="dxa"/>
            <w:tcBorders/>
            <w:shd w:fill="CCEEFF" w:val="clear"/>
            <w:vAlign w:val="bottom"/>
          </w:tcPr>
          <w:p>
            <w:pPr>
              <w:pStyle w:val="TableContents"/>
              <w:bidi w:val="0"/>
              <w:spacing w:before="0" w:after="0"/>
              <w:jc w:val="left"/>
              <w:rPr>
                <w:color w:val="000000"/>
              </w:rPr>
            </w:pPr>
            <w:r>
              <w:rPr>
                <w:color w:val="000000"/>
              </w:rPr>
              <w:t>)</w:t>
            </w:r>
          </w:p>
        </w:tc>
      </w:tr>
      <w:tr>
        <w:trPr/>
        <w:tc>
          <w:tcPr>
            <w:tcW w:w="7205" w:type="dxa"/>
            <w:tcBorders/>
            <w:vAlign w:val="bottom"/>
          </w:tcPr>
          <w:p>
            <w:pPr>
              <w:pStyle w:val="TableContents"/>
              <w:bidi w:val="0"/>
              <w:spacing w:before="0" w:after="0"/>
              <w:ind w:left="360" w:right="0" w:hanging="180"/>
              <w:jc w:val="left"/>
              <w:rPr>
                <w:color w:val="000000"/>
              </w:rPr>
            </w:pPr>
            <w:r>
              <w:rPr>
                <w:color w:val="000000"/>
              </w:rPr>
              <w:t>Loans held for investment, net</w:t>
            </w:r>
          </w:p>
        </w:tc>
        <w:tc>
          <w:tcPr>
            <w:tcW w:w="9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3,718,358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000000"/>
              </w:rPr>
            </w:pPr>
            <w:r>
              <w:rPr>
                <w:color w:val="000000"/>
              </w:rPr>
              <w:t>3,099,371</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180" w:right="0" w:hanging="180"/>
              <w:jc w:val="left"/>
              <w:rPr>
                <w:color w:val="000000"/>
              </w:rPr>
            </w:pPr>
            <w:r>
              <w:rPr>
                <w:color w:val="000000"/>
              </w:rPr>
              <w:t>Accrued interest receivable</w:t>
            </w:r>
          </w:p>
        </w:tc>
        <w:tc>
          <w:tcPr>
            <w:tcW w:w="9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20,306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000000"/>
              </w:rPr>
            </w:pPr>
            <w:r>
              <w:rPr>
                <w:color w:val="000000"/>
              </w:rPr>
              <w:t>20,931</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180" w:right="0" w:hanging="180"/>
              <w:jc w:val="left"/>
              <w:rPr>
                <w:color w:val="000000"/>
              </w:rPr>
            </w:pPr>
            <w:r>
              <w:rPr>
                <w:color w:val="000000"/>
              </w:rPr>
              <w:t>Premises and equipment, net</w:t>
            </w:r>
          </w:p>
        </w:tc>
        <w:tc>
          <w:tcPr>
            <w:tcW w:w="9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52,132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000000"/>
              </w:rPr>
            </w:pPr>
            <w:r>
              <w:rPr>
                <w:color w:val="000000"/>
              </w:rPr>
              <w:t>51,563</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180" w:right="0" w:hanging="180"/>
              <w:jc w:val="left"/>
              <w:rPr>
                <w:color w:val="000000"/>
              </w:rPr>
            </w:pPr>
            <w:r>
              <w:rPr>
                <w:color w:val="000000"/>
              </w:rPr>
              <w:t>Bank-owned life insurance</w:t>
            </w:r>
          </w:p>
        </w:tc>
        <w:tc>
          <w:tcPr>
            <w:tcW w:w="9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89,841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000000"/>
              </w:rPr>
            </w:pPr>
            <w:r>
              <w:rPr>
                <w:color w:val="000000"/>
              </w:rPr>
              <w:t>77,694</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180" w:right="0" w:hanging="180"/>
              <w:jc w:val="left"/>
              <w:rPr>
                <w:color w:val="000000"/>
              </w:rPr>
            </w:pPr>
            <w:r>
              <w:rPr>
                <w:color w:val="000000"/>
              </w:rPr>
              <w:t>Goodwill</w:t>
            </w:r>
          </w:p>
        </w:tc>
        <w:tc>
          <w:tcPr>
            <w:tcW w:w="9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66,592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000000"/>
              </w:rPr>
            </w:pPr>
            <w:r>
              <w:rPr>
                <w:color w:val="000000"/>
              </w:rPr>
              <w:t>19,315</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180" w:right="0" w:hanging="180"/>
              <w:jc w:val="left"/>
              <w:rPr>
                <w:color w:val="000000"/>
              </w:rPr>
            </w:pPr>
            <w:r>
              <w:rPr>
                <w:color w:val="000000"/>
              </w:rPr>
              <w:t>Intangible assets, net</w:t>
            </w:r>
          </w:p>
        </w:tc>
        <w:tc>
          <w:tcPr>
            <w:tcW w:w="9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5,626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000000"/>
              </w:rPr>
            </w:pPr>
            <w:r>
              <w:rPr>
                <w:color w:val="000000"/>
              </w:rPr>
              <w:t>1,133</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180" w:right="0" w:hanging="180"/>
              <w:jc w:val="left"/>
              <w:rPr>
                <w:color w:val="000000"/>
              </w:rPr>
            </w:pPr>
            <w:r>
              <w:rPr>
                <w:color w:val="000000"/>
              </w:rPr>
              <w:t>Mortgage servicing rights</w:t>
            </w:r>
          </w:p>
        </w:tc>
        <w:tc>
          <w:tcPr>
            <w:tcW w:w="9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25,749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000000"/>
              </w:rPr>
            </w:pPr>
            <w:r>
              <w:rPr>
                <w:color w:val="000000"/>
              </w:rPr>
              <w:t>24,041</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180" w:right="0" w:hanging="180"/>
              <w:jc w:val="left"/>
              <w:rPr>
                <w:color w:val="000000"/>
              </w:rPr>
            </w:pPr>
            <w:r>
              <w:rPr>
                <w:color w:val="000000"/>
              </w:rPr>
              <w:t>Deferred tax asset, net</w:t>
            </w:r>
          </w:p>
        </w:tc>
        <w:tc>
          <w:tcPr>
            <w:tcW w:w="9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20,125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000000"/>
              </w:rPr>
            </w:pPr>
            <w:r>
              <w:rPr>
                <w:color w:val="000000"/>
              </w:rPr>
              <w:t>20,433</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180" w:right="0" w:hanging="180"/>
              <w:jc w:val="left"/>
              <w:rPr>
                <w:color w:val="000000"/>
              </w:rPr>
            </w:pPr>
            <w:r>
              <w:rPr>
                <w:color w:val="000000"/>
              </w:rPr>
              <w:t>Other assets</w:t>
            </w:r>
          </w:p>
        </w:tc>
        <w:tc>
          <w:tcPr>
            <w:tcW w:w="9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37,671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36,047</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540" w:right="0" w:hanging="180"/>
              <w:jc w:val="left"/>
              <w:rPr>
                <w:color w:val="000000"/>
              </w:rPr>
            </w:pPr>
            <w:r>
              <w:rPr>
                <w:color w:val="000000"/>
              </w:rPr>
              <w:t>Total assets</w:t>
            </w:r>
          </w:p>
        </w:tc>
        <w:tc>
          <w:tcPr>
            <w:tcW w:w="9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5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5,391,206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4,480,500</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180" w:right="0" w:hanging="180"/>
              <w:jc w:val="left"/>
              <w:rPr>
                <w:color w:val="000000"/>
                <w:u w:val="single"/>
              </w:rPr>
            </w:pPr>
            <w:r>
              <w:rPr>
                <w:color w:val="000000"/>
                <w:u w:val="single"/>
              </w:rPr>
              <w:t>LIABILITIES AND STOCKHOLDERS’ EQUITY</w:t>
            </w:r>
          </w:p>
        </w:tc>
        <w:tc>
          <w:tcPr>
            <w:tcW w:w="9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180" w:right="0" w:hanging="180"/>
              <w:jc w:val="left"/>
              <w:rPr>
                <w:color w:val="000000"/>
              </w:rPr>
            </w:pPr>
            <w:r>
              <w:rPr>
                <w:color w:val="000000"/>
              </w:rPr>
              <w:t>Deposits:</w:t>
            </w:r>
          </w:p>
        </w:tc>
        <w:tc>
          <w:tcPr>
            <w:tcW w:w="9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360" w:right="0" w:hanging="180"/>
              <w:jc w:val="left"/>
              <w:rPr>
                <w:color w:val="000000"/>
              </w:rPr>
            </w:pPr>
            <w:r>
              <w:rPr>
                <w:color w:val="000000"/>
              </w:rPr>
              <w:t>Noninterest-bearing</w:t>
            </w:r>
          </w:p>
        </w:tc>
        <w:tc>
          <w:tcPr>
            <w:tcW w:w="9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0"/>
              <w:jc w:val="left"/>
              <w:rPr>
                <w:color w:val="000000"/>
              </w:rPr>
            </w:pPr>
            <w:r>
              <w:rPr>
                <w:color w:val="000000"/>
              </w:rPr>
              <w:t>$</w:t>
            </w:r>
          </w:p>
        </w:tc>
        <w:tc>
          <w:tcPr>
            <w:tcW w:w="1054" w:type="dxa"/>
            <w:tcBorders/>
            <w:vAlign w:val="bottom"/>
          </w:tcPr>
          <w:p>
            <w:pPr>
              <w:pStyle w:val="TableContents"/>
              <w:bidi w:val="0"/>
              <w:spacing w:before="0" w:after="0"/>
              <w:jc w:val="right"/>
              <w:rPr>
                <w:color w:val="000000"/>
              </w:rPr>
            </w:pPr>
            <w:r>
              <w:rPr>
                <w:color w:val="000000"/>
              </w:rPr>
              <w:t>1,151,641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0"/>
              <w:jc w:val="left"/>
              <w:rPr>
                <w:color w:val="000000"/>
              </w:rPr>
            </w:pPr>
            <w:r>
              <w:rPr>
                <w:color w:val="000000"/>
              </w:rPr>
              <w:t>$</w:t>
            </w:r>
          </w:p>
        </w:tc>
        <w:tc>
          <w:tcPr>
            <w:tcW w:w="1107" w:type="dxa"/>
            <w:tcBorders/>
            <w:vAlign w:val="bottom"/>
          </w:tcPr>
          <w:p>
            <w:pPr>
              <w:pStyle w:val="TableContents"/>
              <w:bidi w:val="0"/>
              <w:spacing w:before="0" w:after="0"/>
              <w:jc w:val="right"/>
              <w:rPr>
                <w:color w:val="000000"/>
              </w:rPr>
            </w:pPr>
            <w:r>
              <w:rPr>
                <w:color w:val="000000"/>
              </w:rPr>
              <w:t>1,023,517</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360" w:right="0" w:hanging="180"/>
              <w:jc w:val="left"/>
              <w:rPr>
                <w:color w:val="000000"/>
              </w:rPr>
            </w:pPr>
            <w:r>
              <w:rPr>
                <w:color w:val="000000"/>
              </w:rPr>
              <w:t>Interest-bearing</w:t>
            </w:r>
          </w:p>
        </w:tc>
        <w:tc>
          <w:tcPr>
            <w:tcW w:w="9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3,488,985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2,850,560</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540" w:right="0" w:hanging="180"/>
              <w:jc w:val="left"/>
              <w:rPr>
                <w:color w:val="000000"/>
              </w:rPr>
            </w:pPr>
            <w:r>
              <w:rPr>
                <w:color w:val="000000"/>
              </w:rPr>
              <w:t>Total deposits</w:t>
            </w:r>
          </w:p>
        </w:tc>
        <w:tc>
          <w:tcPr>
            <w:tcW w:w="9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4,640,626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000000"/>
              </w:rPr>
            </w:pPr>
            <w:r>
              <w:rPr>
                <w:color w:val="000000"/>
              </w:rPr>
              <w:t>3,874,077</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180" w:right="0" w:hanging="180"/>
              <w:jc w:val="left"/>
              <w:rPr>
                <w:color w:val="000000"/>
              </w:rPr>
            </w:pPr>
            <w:r>
              <w:rPr>
                <w:color w:val="000000"/>
              </w:rPr>
              <w:t>Accrued expenses and other liabilities</w:t>
            </w:r>
          </w:p>
        </w:tc>
        <w:tc>
          <w:tcPr>
            <w:tcW w:w="9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60,322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000000"/>
              </w:rPr>
            </w:pPr>
            <w:r>
              <w:rPr>
                <w:color w:val="000000"/>
              </w:rPr>
              <w:t>52,093</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180" w:right="0" w:hanging="180"/>
              <w:jc w:val="left"/>
              <w:rPr>
                <w:color w:val="000000"/>
              </w:rPr>
            </w:pPr>
            <w:r>
              <w:rPr>
                <w:color w:val="000000"/>
              </w:rPr>
              <w:t>Subordinated debt</w:t>
            </w:r>
          </w:p>
        </w:tc>
        <w:tc>
          <w:tcPr>
            <w:tcW w:w="9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14,100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000000"/>
              </w:rPr>
            </w:pPr>
            <w:r>
              <w:rPr>
                <w:color w:val="000000"/>
              </w:rPr>
              <w:t>14,100</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180" w:right="0" w:hanging="180"/>
              <w:jc w:val="left"/>
              <w:rPr>
                <w:color w:val="000000"/>
              </w:rPr>
            </w:pPr>
            <w:r>
              <w:rPr>
                <w:color w:val="000000"/>
              </w:rPr>
              <w:t>Junior subordinated deferrable interest debentures</w:t>
            </w:r>
          </w:p>
        </w:tc>
        <w:tc>
          <w:tcPr>
            <w:tcW w:w="9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46,393</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540" w:right="0" w:hanging="180"/>
              <w:jc w:val="left"/>
              <w:rPr>
                <w:color w:val="000000"/>
              </w:rPr>
            </w:pPr>
            <w:r>
              <w:rPr>
                <w:color w:val="000000"/>
              </w:rPr>
              <w:t>Total liabilities</w:t>
            </w:r>
          </w:p>
        </w:tc>
        <w:tc>
          <w:tcPr>
            <w:tcW w:w="9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4,761,441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3,986,663</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180" w:right="0" w:hanging="180"/>
              <w:jc w:val="left"/>
              <w:rPr>
                <w:color w:val="000000"/>
              </w:rPr>
            </w:pPr>
            <w:r>
              <w:rPr>
                <w:color w:val="000000"/>
              </w:rPr>
              <w:t>Stockholders’ equity:</w:t>
            </w:r>
          </w:p>
        </w:tc>
        <w:tc>
          <w:tcPr>
            <w:tcW w:w="9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360" w:right="0" w:hanging="180"/>
              <w:jc w:val="left"/>
              <w:rPr>
                <w:color w:val="000000"/>
              </w:rPr>
            </w:pPr>
            <w:r>
              <w:rPr>
                <w:color w:val="000000"/>
              </w:rPr>
              <w:t>Common stock, $1.00 par value per share, 30,000,000 shares authorized; 18,839,105 and 16,293,577 issued and outstanding at June 30, 2026 and December 31, 2025, respectively</w:t>
            </w:r>
          </w:p>
        </w:tc>
        <w:tc>
          <w:tcPr>
            <w:tcW w:w="9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18,839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000000"/>
              </w:rPr>
            </w:pPr>
            <w:r>
              <w:rPr>
                <w:color w:val="000000"/>
              </w:rPr>
              <w:t>16,294</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360" w:right="0" w:hanging="180"/>
              <w:jc w:val="left"/>
              <w:rPr>
                <w:color w:val="000000"/>
              </w:rPr>
            </w:pPr>
            <w:r>
              <w:rPr>
                <w:color w:val="000000"/>
              </w:rPr>
              <w:t>Additional paid-in capital</w:t>
            </w:r>
          </w:p>
        </w:tc>
        <w:tc>
          <w:tcPr>
            <w:tcW w:w="9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color w:val="000000"/>
              </w:rPr>
            </w:pPr>
            <w:r>
              <w:rPr>
                <w:color w:val="000000"/>
              </w:rPr>
              <w:t>194,245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0"/>
              <w:jc w:val="right"/>
              <w:rPr>
                <w:color w:val="000000"/>
              </w:rPr>
            </w:pPr>
            <w:r>
              <w:rPr>
                <w:color w:val="000000"/>
              </w:rPr>
              <w:t>91,065</w:t>
            </w:r>
          </w:p>
        </w:tc>
        <w:tc>
          <w:tcPr>
            <w:tcW w:w="172" w:type="dxa"/>
            <w:tcBorders/>
            <w:vAlign w:val="bottom"/>
          </w:tcPr>
          <w:p>
            <w:pPr>
              <w:pStyle w:val="TableContents"/>
              <w:bidi w:val="0"/>
              <w:spacing w:before="0" w:after="283"/>
              <w:jc w:val="left"/>
              <w:rPr/>
            </w:pPr>
            <w:r>
              <w:rPr/>
              <w:t> </w:t>
            </w:r>
          </w:p>
        </w:tc>
      </w:tr>
      <w:tr>
        <w:trPr/>
        <w:tc>
          <w:tcPr>
            <w:tcW w:w="7205" w:type="dxa"/>
            <w:tcBorders/>
            <w:shd w:fill="CCEEFF" w:val="clear"/>
            <w:vAlign w:val="bottom"/>
          </w:tcPr>
          <w:p>
            <w:pPr>
              <w:pStyle w:val="TableContents"/>
              <w:bidi w:val="0"/>
              <w:spacing w:before="0" w:after="0"/>
              <w:ind w:left="360" w:right="0" w:hanging="180"/>
              <w:jc w:val="left"/>
              <w:rPr>
                <w:color w:val="000000"/>
              </w:rPr>
            </w:pPr>
            <w:r>
              <w:rPr>
                <w:color w:val="000000"/>
              </w:rPr>
              <w:t>Retained earnings</w:t>
            </w:r>
          </w:p>
        </w:tc>
        <w:tc>
          <w:tcPr>
            <w:tcW w:w="9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color w:val="000000"/>
              </w:rPr>
            </w:pPr>
            <w:r>
              <w:rPr>
                <w:color w:val="000000"/>
              </w:rPr>
              <w:t>461,708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0"/>
              <w:jc w:val="right"/>
              <w:rPr>
                <w:color w:val="000000"/>
              </w:rPr>
            </w:pPr>
            <w:r>
              <w:rPr>
                <w:color w:val="000000"/>
              </w:rPr>
              <w:t>434,197</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360" w:right="0" w:hanging="180"/>
              <w:jc w:val="left"/>
              <w:rPr>
                <w:color w:val="000000"/>
              </w:rPr>
            </w:pPr>
            <w:r>
              <w:rPr>
                <w:color w:val="000000"/>
              </w:rPr>
              <w:t>Accumulated other comprehensive loss</w:t>
            </w:r>
          </w:p>
        </w:tc>
        <w:tc>
          <w:tcPr>
            <w:tcW w:w="9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(45,027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(47,719</w:t>
            </w:r>
          </w:p>
        </w:tc>
        <w:tc>
          <w:tcPr>
            <w:tcW w:w="172" w:type="dxa"/>
            <w:tcBorders/>
            <w:vAlign w:val="bottom"/>
          </w:tcPr>
          <w:p>
            <w:pPr>
              <w:pStyle w:val="TableContents"/>
              <w:bidi w:val="0"/>
              <w:spacing w:before="0" w:after="0"/>
              <w:jc w:val="left"/>
              <w:rPr>
                <w:color w:val="000000"/>
              </w:rPr>
            </w:pPr>
            <w:r>
              <w:rPr>
                <w:color w:val="000000"/>
              </w:rPr>
              <w:t>)</w:t>
            </w:r>
          </w:p>
        </w:tc>
      </w:tr>
      <w:tr>
        <w:trPr/>
        <w:tc>
          <w:tcPr>
            <w:tcW w:w="7205" w:type="dxa"/>
            <w:tcBorders/>
            <w:shd w:fill="CCEEFF" w:val="clear"/>
            <w:vAlign w:val="bottom"/>
          </w:tcPr>
          <w:p>
            <w:pPr>
              <w:pStyle w:val="TableContents"/>
              <w:bidi w:val="0"/>
              <w:spacing w:before="0" w:after="0"/>
              <w:ind w:left="540" w:right="0" w:hanging="180"/>
              <w:jc w:val="left"/>
              <w:rPr>
                <w:color w:val="000000"/>
              </w:rPr>
            </w:pPr>
            <w:r>
              <w:rPr>
                <w:color w:val="000000"/>
              </w:rPr>
              <w:t>Total stockholders’ equity</w:t>
            </w:r>
          </w:p>
        </w:tc>
        <w:tc>
          <w:tcPr>
            <w:tcW w:w="9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629,765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493,837</w:t>
            </w:r>
          </w:p>
        </w:tc>
        <w:tc>
          <w:tcPr>
            <w:tcW w:w="172" w:type="dxa"/>
            <w:tcBorders/>
            <w:shd w:fill="CCEEFF" w:val="clear"/>
            <w:vAlign w:val="bottom"/>
          </w:tcPr>
          <w:p>
            <w:pPr>
              <w:pStyle w:val="TableContents"/>
              <w:bidi w:val="0"/>
              <w:spacing w:before="0" w:after="283"/>
              <w:jc w:val="left"/>
              <w:rPr/>
            </w:pPr>
            <w:r>
              <w:rPr/>
              <w:t> </w:t>
            </w:r>
          </w:p>
        </w:tc>
      </w:tr>
      <w:tr>
        <w:trPr/>
        <w:tc>
          <w:tcPr>
            <w:tcW w:w="7205" w:type="dxa"/>
            <w:tcBorders/>
            <w:vAlign w:val="bottom"/>
          </w:tcPr>
          <w:p>
            <w:pPr>
              <w:pStyle w:val="TableContents"/>
              <w:bidi w:val="0"/>
              <w:spacing w:before="0" w:after="0"/>
              <w:ind w:left="540" w:right="0" w:hanging="180"/>
              <w:jc w:val="left"/>
              <w:rPr>
                <w:color w:val="000000"/>
              </w:rPr>
            </w:pPr>
            <w:r>
              <w:rPr>
                <w:color w:val="000000"/>
              </w:rPr>
              <w:t>Total liabilities and stockholders’ equity</w:t>
            </w:r>
          </w:p>
        </w:tc>
        <w:tc>
          <w:tcPr>
            <w:tcW w:w="90" w:type="dxa"/>
            <w:tcBorders/>
            <w:vAlign w:val="bottom"/>
          </w:tcPr>
          <w:p>
            <w:pPr>
              <w:pStyle w:val="TableContents"/>
              <w:bidi w:val="0"/>
              <w:spacing w:before="0" w:after="283"/>
              <w:jc w:val="righ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5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5,391,206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4,480,500</w:t>
            </w:r>
          </w:p>
        </w:tc>
        <w:tc>
          <w:tcPr>
            <w:tcW w:w="172"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27" w:name="COMPREHENSIVEINCOME"/>
      <w:bookmarkEnd w:id="27"/>
      <w:r>
        <w:rPr>
          <w:rFonts w:ascii="Times New Roman" w:hAnsi="Times New Roman"/>
          <w:b/>
          <w:color w:val="000000"/>
          <w:sz w:val="20"/>
          <w:shd w:fill="FFFFFF" w:val="clear"/>
        </w:rPr>
        <w:t>COMPREHENSIVE INCOME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(Dollars in thousands, except per share data)</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28" w:name="zac70f19c949a4bb7a88eec3dadd0f4df"/>
      <w:bookmarkStart w:id="29" w:name="zac70f19c949a4bb7a88eec3dadd0f4df"/>
      <w:bookmarkEnd w:id="29"/>
    </w:p>
    <w:tbl>
      <w:tblPr>
        <w:tblW w:w="10205" w:type="dxa"/>
        <w:jc w:val="left"/>
        <w:tblInd w:w="0" w:type="dxa"/>
        <w:tblLayout w:type="fixed"/>
        <w:tblCellMar>
          <w:top w:w="0" w:type="dxa"/>
          <w:left w:w="0" w:type="dxa"/>
          <w:bottom w:w="0" w:type="dxa"/>
          <w:right w:w="0" w:type="dxa"/>
        </w:tblCellMar>
      </w:tblPr>
      <w:tblGrid>
        <w:gridCol w:w="5333"/>
        <w:gridCol w:w="90"/>
        <w:gridCol w:w="187"/>
        <w:gridCol w:w="784"/>
        <w:gridCol w:w="137"/>
        <w:gridCol w:w="99"/>
        <w:gridCol w:w="187"/>
        <w:gridCol w:w="784"/>
        <w:gridCol w:w="125"/>
        <w:gridCol w:w="90"/>
        <w:gridCol w:w="170"/>
        <w:gridCol w:w="830"/>
        <w:gridCol w:w="125"/>
        <w:gridCol w:w="90"/>
        <w:gridCol w:w="170"/>
        <w:gridCol w:w="830"/>
        <w:gridCol w:w="174"/>
      </w:tblGrid>
      <w:tr>
        <w:trPr/>
        <w:tc>
          <w:tcPr>
            <w:tcW w:w="5333"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17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74" w:type="dxa"/>
            <w:tcBorders/>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97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7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4" w:type="dxa"/>
            <w:tcBorders/>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180" w:right="0" w:hanging="180"/>
              <w:jc w:val="left"/>
              <w:rPr>
                <w:color w:val="000000"/>
              </w:rPr>
            </w:pPr>
            <w:r>
              <w:rPr>
                <w:color w:val="000000"/>
              </w:rPr>
              <w:t>Interest income:</w:t>
            </w:r>
          </w:p>
        </w:tc>
        <w:tc>
          <w:tcPr>
            <w:tcW w:w="90" w:type="dxa"/>
            <w:tcBorders/>
            <w:vAlign w:val="bottom"/>
          </w:tcPr>
          <w:p>
            <w:pPr>
              <w:pStyle w:val="TableContents"/>
              <w:bidi w:val="0"/>
              <w:spacing w:before="0" w:after="283"/>
              <w:jc w:val="left"/>
              <w:rPr/>
            </w:pPr>
            <w:r>
              <w:rPr/>
              <w:t> </w:t>
            </w:r>
          </w:p>
        </w:tc>
        <w:tc>
          <w:tcPr>
            <w:tcW w:w="971" w:type="dxa"/>
            <w:gridSpan w:val="2"/>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71"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Loans, including fees</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784" w:type="dxa"/>
            <w:tcBorders/>
            <w:shd w:fill="CCEEFF" w:val="clear"/>
            <w:vAlign w:val="bottom"/>
          </w:tcPr>
          <w:p>
            <w:pPr>
              <w:pStyle w:val="TableContents"/>
              <w:bidi w:val="0"/>
              <w:spacing w:before="0" w:after="0"/>
              <w:jc w:val="right"/>
              <w:rPr>
                <w:color w:val="000000"/>
              </w:rPr>
            </w:pPr>
            <w:r>
              <w:rPr>
                <w:color w:val="000000"/>
              </w:rPr>
              <w:t>64,106</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784" w:type="dxa"/>
            <w:tcBorders/>
            <w:shd w:fill="CCEEFF" w:val="clear"/>
            <w:vAlign w:val="bottom"/>
          </w:tcPr>
          <w:p>
            <w:pPr>
              <w:pStyle w:val="TableContents"/>
              <w:bidi w:val="0"/>
              <w:spacing w:before="0" w:after="0"/>
              <w:jc w:val="right"/>
              <w:rPr>
                <w:color w:val="000000"/>
              </w:rPr>
            </w:pPr>
            <w:r>
              <w:rPr>
                <w:color w:val="000000"/>
              </w:rPr>
              <w:t>53,886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116,783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104,456</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360" w:right="0" w:hanging="180"/>
              <w:jc w:val="left"/>
              <w:rPr>
                <w:color w:val="000000"/>
              </w:rPr>
            </w:pPr>
            <w:r>
              <w:rPr>
                <w:color w:val="000000"/>
              </w:rPr>
              <w:t>Securities:</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540" w:right="0" w:hanging="180"/>
              <w:jc w:val="left"/>
              <w:rPr>
                <w:color w:val="000000"/>
              </w:rPr>
            </w:pPr>
            <w:r>
              <w:rPr>
                <w:color w:val="000000"/>
              </w:rPr>
              <w:t>Taxable</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4,238</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4,700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8,523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9,392</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540" w:right="0" w:hanging="180"/>
              <w:jc w:val="left"/>
              <w:rPr>
                <w:color w:val="000000"/>
              </w:rPr>
            </w:pPr>
            <w:r>
              <w:rPr>
                <w:color w:val="000000"/>
              </w:rPr>
              <w:t>Non-taxable</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851</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802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1,704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1,603</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Federal funds sold and interest-bearing deposits in banks</w:t>
            </w:r>
          </w:p>
        </w:tc>
        <w:tc>
          <w:tcPr>
            <w:tcW w:w="90"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5,808</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4,747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10,625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8,606</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720" w:right="0" w:hanging="180"/>
              <w:jc w:val="left"/>
              <w:rPr>
                <w:color w:val="000000"/>
              </w:rPr>
            </w:pPr>
            <w:r>
              <w:rPr>
                <w:color w:val="000000"/>
              </w:rPr>
              <w:t>Total interest income</w:t>
            </w:r>
          </w:p>
        </w:tc>
        <w:tc>
          <w:tcPr>
            <w:tcW w:w="9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75,003</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64,135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137,635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124,057</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180" w:right="0" w:hanging="180"/>
              <w:jc w:val="left"/>
              <w:rPr>
                <w:color w:val="000000"/>
              </w:rPr>
            </w:pPr>
            <w:r>
              <w:rPr>
                <w:color w:val="000000"/>
              </w:rPr>
              <w:t>Interest expense:</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360" w:right="0" w:hanging="180"/>
              <w:jc w:val="left"/>
              <w:rPr>
                <w:color w:val="000000"/>
              </w:rPr>
            </w:pPr>
            <w:r>
              <w:rPr>
                <w:color w:val="000000"/>
              </w:rPr>
              <w:t>Deposits</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23,716</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20,062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42,594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39,889</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Short-term borrowings</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38</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360" w:right="0" w:hanging="180"/>
              <w:jc w:val="left"/>
              <w:rPr>
                <w:color w:val="000000"/>
              </w:rPr>
            </w:pPr>
            <w:r>
              <w:rPr>
                <w:color w:val="000000"/>
              </w:rPr>
              <w:t>Subordinated debt</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238</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835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481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1,670</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Junior subordinated deferrable interest debentures</w:t>
            </w:r>
          </w:p>
        </w:tc>
        <w:tc>
          <w:tcPr>
            <w:tcW w:w="90"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662</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735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1,468</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720" w:right="0" w:hanging="180"/>
              <w:jc w:val="left"/>
              <w:rPr>
                <w:color w:val="000000"/>
              </w:rPr>
            </w:pPr>
            <w:r>
              <w:rPr>
                <w:color w:val="000000"/>
              </w:rPr>
              <w:t>Total interest expense</w:t>
            </w:r>
          </w:p>
        </w:tc>
        <w:tc>
          <w:tcPr>
            <w:tcW w:w="9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24,654</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21,632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44,434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43,027</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180" w:right="0" w:hanging="180"/>
              <w:jc w:val="left"/>
              <w:rPr>
                <w:color w:val="000000"/>
              </w:rPr>
            </w:pPr>
            <w:r>
              <w:rPr>
                <w:color w:val="000000"/>
              </w:rPr>
              <w:t>Net interest income</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50,349</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42,503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93,201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81,030</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180" w:right="0" w:hanging="180"/>
              <w:jc w:val="left"/>
              <w:rPr>
                <w:color w:val="000000"/>
              </w:rPr>
            </w:pPr>
            <w:r>
              <w:rPr>
                <w:color w:val="000000"/>
              </w:rPr>
              <w:t>Provision for credit losses</w:t>
            </w:r>
          </w:p>
        </w:tc>
        <w:tc>
          <w:tcPr>
            <w:tcW w:w="9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350</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2,920</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Net interest income, after provision for credit losses</w:t>
            </w:r>
          </w:p>
        </w:tc>
        <w:tc>
          <w:tcPr>
            <w:tcW w:w="90"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49,999</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40,003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92,591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78,110</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180" w:right="0" w:hanging="180"/>
              <w:jc w:val="left"/>
              <w:rPr>
                <w:color w:val="000000"/>
              </w:rPr>
            </w:pPr>
            <w:r>
              <w:rPr>
                <w:color w:val="000000"/>
              </w:rPr>
              <w:t>Noninterest income:</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Service charges on deposit accounts</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2,366</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2,098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4,621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4,239</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360" w:right="0" w:hanging="180"/>
              <w:jc w:val="left"/>
              <w:rPr>
                <w:color w:val="000000"/>
              </w:rPr>
            </w:pPr>
            <w:r>
              <w:rPr>
                <w:color w:val="000000"/>
              </w:rPr>
              <w:t>Net gain on sales of loans</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2,733</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2,655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5,065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5,246</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Bank card services and interchange fees</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4,110</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3,771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7,326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7,150</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360" w:right="0" w:hanging="180"/>
              <w:jc w:val="left"/>
              <w:rPr>
                <w:color w:val="000000"/>
              </w:rPr>
            </w:pPr>
            <w:r>
              <w:rPr>
                <w:color w:val="000000"/>
              </w:rPr>
              <w:t>Other mortgage banking income</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2,114</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951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3,700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473</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Investment commissions</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466</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426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1,021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860</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360" w:right="0" w:hanging="180"/>
              <w:jc w:val="left"/>
              <w:rPr>
                <w:color w:val="000000"/>
              </w:rPr>
            </w:pPr>
            <w:r>
              <w:rPr>
                <w:color w:val="000000"/>
              </w:rPr>
              <w:t>Fiduciary fees</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802</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694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1,591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1,432</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Other</w:t>
            </w:r>
          </w:p>
        </w:tc>
        <w:tc>
          <w:tcPr>
            <w:tcW w:w="90"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1,552</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1,570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3,390</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720" w:right="0" w:hanging="180"/>
              <w:jc w:val="left"/>
              <w:rPr>
                <w:color w:val="000000"/>
              </w:rPr>
            </w:pPr>
            <w:r>
              <w:rPr>
                <w:color w:val="000000"/>
              </w:rPr>
              <w:t>Total noninterest income</w:t>
            </w:r>
          </w:p>
        </w:tc>
        <w:tc>
          <w:tcPr>
            <w:tcW w:w="9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14,143</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12,165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25,438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22,790</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180" w:right="0" w:hanging="180"/>
              <w:jc w:val="left"/>
              <w:rPr>
                <w:color w:val="000000"/>
              </w:rPr>
            </w:pPr>
            <w:r>
              <w:rPr>
                <w:color w:val="000000"/>
              </w:rPr>
              <w:t>Noninterest expense:</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360" w:right="0" w:hanging="180"/>
              <w:jc w:val="left"/>
              <w:rPr>
                <w:color w:val="000000"/>
              </w:rPr>
            </w:pPr>
            <w:r>
              <w:rPr>
                <w:color w:val="000000"/>
              </w:rPr>
              <w:t>Salaries and employee benefits</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23,517</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19,708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43,671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39,149</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Occupancy and equipment, net</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4,330</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3,972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8,283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7,999</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360" w:right="0" w:hanging="180"/>
              <w:jc w:val="left"/>
              <w:rPr>
                <w:color w:val="000000"/>
              </w:rPr>
            </w:pPr>
            <w:r>
              <w:rPr>
                <w:color w:val="000000"/>
              </w:rPr>
              <w:t>Professional services</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1,850</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1,874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4,805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3,604</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Marketing and development</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1,032</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919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2,033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1,824</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360" w:right="0" w:hanging="180"/>
              <w:jc w:val="left"/>
              <w:rPr>
                <w:color w:val="000000"/>
              </w:rPr>
            </w:pPr>
            <w:r>
              <w:rPr>
                <w:color w:val="000000"/>
              </w:rPr>
              <w:t>IT and data services</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1,968</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1,181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3,349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2,345</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Bank card expenses</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1,616</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1,579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3,224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3,033</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360" w:right="0" w:hanging="180"/>
              <w:jc w:val="left"/>
              <w:rPr>
                <w:color w:val="000000"/>
              </w:rPr>
            </w:pPr>
            <w:r>
              <w:rPr>
                <w:color w:val="000000"/>
              </w:rPr>
              <w:t>Other</w:t>
            </w:r>
          </w:p>
        </w:tc>
        <w:tc>
          <w:tcPr>
            <w:tcW w:w="9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5,551</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4,310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8,619</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540" w:right="0" w:hanging="0"/>
              <w:jc w:val="left"/>
              <w:rPr>
                <w:color w:val="000000"/>
              </w:rPr>
            </w:pPr>
            <w:r>
              <w:rPr>
                <w:color w:val="000000"/>
              </w:rPr>
              <w:t>Total noninterest expense</w:t>
            </w:r>
          </w:p>
        </w:tc>
        <w:tc>
          <w:tcPr>
            <w:tcW w:w="90"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39,864</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33,543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75,390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66,573</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180" w:right="0" w:hanging="180"/>
              <w:jc w:val="left"/>
              <w:rPr>
                <w:color w:val="000000"/>
              </w:rPr>
            </w:pPr>
            <w:r>
              <w:rPr>
                <w:color w:val="000000"/>
              </w:rPr>
              <w:t>Income before income taxes</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24,278</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18,625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42,639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34,327</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180" w:right="0" w:hanging="180"/>
              <w:jc w:val="left"/>
              <w:rPr>
                <w:color w:val="000000"/>
              </w:rPr>
            </w:pPr>
            <w:r>
              <w:rPr>
                <w:color w:val="000000"/>
              </w:rPr>
              <w:t>Income tax expense</w:t>
            </w:r>
          </w:p>
        </w:tc>
        <w:tc>
          <w:tcPr>
            <w:tcW w:w="90"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5,286</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4,020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9,102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7,428</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720" w:right="0" w:hanging="180"/>
              <w:jc w:val="left"/>
              <w:rPr>
                <w:color w:val="000000"/>
              </w:rPr>
            </w:pPr>
            <w:r>
              <w:rPr>
                <w:color w:val="000000"/>
              </w:rPr>
              <w:t>Net income</w:t>
            </w:r>
          </w:p>
        </w:tc>
        <w:tc>
          <w:tcPr>
            <w:tcW w:w="90" w:type="dxa"/>
            <w:tcBorders/>
            <w:vAlign w:val="bottom"/>
          </w:tcPr>
          <w:p>
            <w:pPr>
              <w:pStyle w:val="TableContents"/>
              <w:bidi w:val="0"/>
              <w:spacing w:before="0" w:after="283"/>
              <w:jc w:val="righ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8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18,992</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8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14,605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33,537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26,899</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180" w:right="0" w:hanging="180"/>
              <w:jc w:val="left"/>
              <w:rPr>
                <w:color w:val="000000"/>
              </w:rPr>
            </w:pPr>
            <w:r>
              <w:rPr>
                <w:color w:val="000000"/>
              </w:rPr>
              <w:t>Earnings per share:</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360" w:right="0" w:hanging="180"/>
              <w:jc w:val="left"/>
              <w:rPr>
                <w:color w:val="000000"/>
              </w:rPr>
            </w:pPr>
            <w:r>
              <w:rPr>
                <w:color w:val="000000"/>
              </w:rPr>
              <w:t>Basic</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0"/>
              <w:jc w:val="left"/>
              <w:rPr>
                <w:color w:val="000000"/>
              </w:rPr>
            </w:pPr>
            <w:r>
              <w:rPr>
                <w:color w:val="000000"/>
              </w:rPr>
              <w:t>$</w:t>
            </w:r>
          </w:p>
        </w:tc>
        <w:tc>
          <w:tcPr>
            <w:tcW w:w="784" w:type="dxa"/>
            <w:tcBorders/>
            <w:vAlign w:val="bottom"/>
          </w:tcPr>
          <w:p>
            <w:pPr>
              <w:pStyle w:val="TableContents"/>
              <w:bidi w:val="0"/>
              <w:spacing w:before="0" w:after="0"/>
              <w:jc w:val="right"/>
              <w:rPr>
                <w:color w:val="000000"/>
              </w:rPr>
            </w:pPr>
            <w:r>
              <w:rPr>
                <w:color w:val="000000"/>
              </w:rPr>
              <w:t>0.99</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0"/>
              <w:jc w:val="left"/>
              <w:rPr>
                <w:color w:val="000000"/>
              </w:rPr>
            </w:pPr>
            <w:r>
              <w:rPr>
                <w:color w:val="000000"/>
              </w:rPr>
              <w:t>$</w:t>
            </w:r>
          </w:p>
        </w:tc>
        <w:tc>
          <w:tcPr>
            <w:tcW w:w="784" w:type="dxa"/>
            <w:tcBorders/>
            <w:vAlign w:val="bottom"/>
          </w:tcPr>
          <w:p>
            <w:pPr>
              <w:pStyle w:val="TableContents"/>
              <w:bidi w:val="0"/>
              <w:spacing w:before="0" w:after="0"/>
              <w:jc w:val="right"/>
              <w:rPr>
                <w:color w:val="000000"/>
              </w:rPr>
            </w:pPr>
            <w:r>
              <w:rPr>
                <w:color w:val="000000"/>
              </w:rPr>
              <w:t>0.90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1.90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1.65</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Diluted</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784" w:type="dxa"/>
            <w:tcBorders/>
            <w:shd w:fill="CCEEFF" w:val="clear"/>
            <w:vAlign w:val="bottom"/>
          </w:tcPr>
          <w:p>
            <w:pPr>
              <w:pStyle w:val="TableContents"/>
              <w:bidi w:val="0"/>
              <w:spacing w:before="0" w:after="0"/>
              <w:jc w:val="right"/>
              <w:rPr>
                <w:color w:val="000000"/>
              </w:rPr>
            </w:pPr>
            <w:r>
              <w:rPr>
                <w:color w:val="000000"/>
              </w:rPr>
              <w:t>0.96</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784" w:type="dxa"/>
            <w:tcBorders/>
            <w:shd w:fill="CCEEFF" w:val="clear"/>
            <w:vAlign w:val="bottom"/>
          </w:tcPr>
          <w:p>
            <w:pPr>
              <w:pStyle w:val="TableContents"/>
              <w:bidi w:val="0"/>
              <w:spacing w:before="0" w:after="0"/>
              <w:jc w:val="right"/>
              <w:rPr>
                <w:color w:val="000000"/>
              </w:rPr>
            </w:pPr>
            <w:r>
              <w:rPr>
                <w:color w:val="000000"/>
              </w:rPr>
              <w:t>0.86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1.82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1.58</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180" w:right="0" w:hanging="180"/>
              <w:jc w:val="left"/>
              <w:rPr>
                <w:color w:val="000000"/>
              </w:rPr>
            </w:pPr>
            <w:r>
              <w:rPr>
                <w:color w:val="000000"/>
              </w:rPr>
              <w:t>Net income</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784" w:type="dxa"/>
            <w:tcBorders/>
            <w:shd w:fill="CCEEFF" w:val="clear"/>
            <w:vAlign w:val="bottom"/>
          </w:tcPr>
          <w:p>
            <w:pPr>
              <w:pStyle w:val="TableContents"/>
              <w:bidi w:val="0"/>
              <w:spacing w:before="0" w:after="0"/>
              <w:jc w:val="right"/>
              <w:rPr>
                <w:color w:val="000000"/>
              </w:rPr>
            </w:pPr>
            <w:r>
              <w:rPr>
                <w:color w:val="000000"/>
              </w:rPr>
              <w:t>18,992</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784" w:type="dxa"/>
            <w:tcBorders/>
            <w:shd w:fill="CCEEFF" w:val="clear"/>
            <w:vAlign w:val="bottom"/>
          </w:tcPr>
          <w:p>
            <w:pPr>
              <w:pStyle w:val="TableContents"/>
              <w:bidi w:val="0"/>
              <w:spacing w:before="0" w:after="0"/>
              <w:jc w:val="right"/>
              <w:rPr>
                <w:color w:val="000000"/>
              </w:rPr>
            </w:pPr>
            <w:r>
              <w:rPr>
                <w:color w:val="000000"/>
              </w:rPr>
              <w:t>14,605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33,537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26,899</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180" w:right="0" w:hanging="180"/>
              <w:jc w:val="left"/>
              <w:rPr>
                <w:color w:val="000000"/>
              </w:rPr>
            </w:pPr>
            <w:r>
              <w:rPr>
                <w:color w:val="000000"/>
              </w:rPr>
              <w:t>Other comprehensive income (loss):</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Unrealized gains (losses) on securities available for sale</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4,283</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color w:val="000000"/>
              </w:rPr>
            </w:pPr>
            <w:r>
              <w:rPr>
                <w:color w:val="000000"/>
              </w:rPr>
              <w:t>(1,341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3,171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4,299</w:t>
            </w:r>
          </w:p>
        </w:tc>
        <w:tc>
          <w:tcPr>
            <w:tcW w:w="174" w:type="dxa"/>
            <w:tcBorders/>
            <w:shd w:fill="CCEEFF" w:val="clear"/>
            <w:vAlign w:val="bottom"/>
          </w:tcPr>
          <w:p>
            <w:pPr>
              <w:pStyle w:val="TableContents"/>
              <w:bidi w:val="0"/>
              <w:spacing w:before="0" w:after="283"/>
              <w:jc w:val="left"/>
              <w:rPr/>
            </w:pPr>
            <w:r>
              <w:rPr/>
              <w:t> </w:t>
            </w:r>
          </w:p>
        </w:tc>
      </w:tr>
      <w:tr>
        <w:trPr/>
        <w:tc>
          <w:tcPr>
            <w:tcW w:w="5333" w:type="dxa"/>
            <w:tcBorders/>
            <w:vAlign w:val="bottom"/>
          </w:tcPr>
          <w:p>
            <w:pPr>
              <w:pStyle w:val="TableContents"/>
              <w:bidi w:val="0"/>
              <w:spacing w:before="0" w:after="0"/>
              <w:ind w:left="360" w:right="0" w:hanging="180"/>
              <w:jc w:val="left"/>
              <w:rPr>
                <w:color w:val="000000"/>
              </w:rPr>
            </w:pPr>
            <w:r>
              <w:rPr>
                <w:color w:val="000000"/>
              </w:rPr>
              <w:t>Less: Change in fair value on hedged state and municipal securities</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263</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color w:val="000000"/>
              </w:rPr>
            </w:pPr>
            <w:r>
              <w:rPr>
                <w:color w:val="000000"/>
              </w:rPr>
              <w:t>(1,573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(3,825</w:t>
            </w:r>
          </w:p>
        </w:tc>
        <w:tc>
          <w:tcPr>
            <w:tcW w:w="174" w:type="dxa"/>
            <w:tcBorders/>
            <w:vAlign w:val="bottom"/>
          </w:tcPr>
          <w:p>
            <w:pPr>
              <w:pStyle w:val="TableContents"/>
              <w:bidi w:val="0"/>
              <w:spacing w:before="0" w:after="0"/>
              <w:jc w:val="left"/>
              <w:rPr>
                <w:color w:val="000000"/>
              </w:rPr>
            </w:pPr>
            <w:r>
              <w:rPr>
                <w:color w:val="000000"/>
              </w:rPr>
              <w:t>)</w:t>
            </w:r>
          </w:p>
        </w:tc>
      </w:tr>
      <w:tr>
        <w:trPr/>
        <w:tc>
          <w:tcPr>
            <w:tcW w:w="5333" w:type="dxa"/>
            <w:tcBorders/>
            <w:shd w:fill="CCEEFF" w:val="clear"/>
            <w:vAlign w:val="bottom"/>
          </w:tcPr>
          <w:p>
            <w:pPr>
              <w:pStyle w:val="TableContents"/>
              <w:bidi w:val="0"/>
              <w:spacing w:before="0" w:after="0"/>
              <w:ind w:left="360" w:right="0" w:hanging="180"/>
              <w:jc w:val="left"/>
              <w:rPr>
                <w:color w:val="000000"/>
              </w:rPr>
            </w:pPr>
            <w:r>
              <w:rPr>
                <w:color w:val="000000"/>
              </w:rPr>
              <w:t>Tax effect</w:t>
            </w:r>
          </w:p>
        </w:tc>
        <w:tc>
          <w:tcPr>
            <w:tcW w:w="90"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(955</w:t>
            </w:r>
          </w:p>
        </w:tc>
        <w:tc>
          <w:tcPr>
            <w:tcW w:w="137" w:type="dxa"/>
            <w:tcBorders/>
            <w:shd w:fill="CCEEFF" w:val="clear"/>
            <w:vAlign w:val="bottom"/>
          </w:tcPr>
          <w:p>
            <w:pPr>
              <w:pStyle w:val="TableContents"/>
              <w:bidi w:val="0"/>
              <w:spacing w:before="0" w:after="0"/>
              <w:jc w:val="left"/>
              <w:rPr>
                <w:color w:val="000000"/>
              </w:rPr>
            </w:pPr>
            <w:r>
              <w:rPr>
                <w:color w:val="000000"/>
              </w:rPr>
              <w:t>)</w:t>
            </w:r>
          </w:p>
        </w:tc>
        <w:tc>
          <w:tcPr>
            <w:tcW w:w="99"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(716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(99</w:t>
            </w:r>
          </w:p>
        </w:tc>
        <w:tc>
          <w:tcPr>
            <w:tcW w:w="174" w:type="dxa"/>
            <w:tcBorders/>
            <w:shd w:fill="CCEEFF" w:val="clear"/>
            <w:vAlign w:val="bottom"/>
          </w:tcPr>
          <w:p>
            <w:pPr>
              <w:pStyle w:val="TableContents"/>
              <w:bidi w:val="0"/>
              <w:spacing w:before="0" w:after="0"/>
              <w:jc w:val="left"/>
              <w:rPr>
                <w:color w:val="000000"/>
              </w:rPr>
            </w:pPr>
            <w:r>
              <w:rPr>
                <w:color w:val="000000"/>
              </w:rPr>
              <w:t>)</w:t>
            </w:r>
          </w:p>
        </w:tc>
      </w:tr>
      <w:tr>
        <w:trPr/>
        <w:tc>
          <w:tcPr>
            <w:tcW w:w="5333" w:type="dxa"/>
            <w:tcBorders/>
            <w:vAlign w:val="bottom"/>
          </w:tcPr>
          <w:p>
            <w:pPr>
              <w:pStyle w:val="TableContents"/>
              <w:bidi w:val="0"/>
              <w:spacing w:before="0" w:after="0"/>
              <w:ind w:left="540" w:right="0" w:hanging="180"/>
              <w:jc w:val="left"/>
              <w:rPr>
                <w:color w:val="000000"/>
              </w:rPr>
            </w:pPr>
            <w:r>
              <w:rPr>
                <w:color w:val="000000"/>
              </w:rPr>
              <w:t>Other comprehensive income (loss)</w:t>
            </w:r>
          </w:p>
        </w:tc>
        <w:tc>
          <w:tcPr>
            <w:tcW w:w="9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3,591</w:t>
            </w:r>
          </w:p>
        </w:tc>
        <w:tc>
          <w:tcPr>
            <w:tcW w:w="1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(2,302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2,692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375</w:t>
            </w:r>
          </w:p>
        </w:tc>
        <w:tc>
          <w:tcPr>
            <w:tcW w:w="174" w:type="dxa"/>
            <w:tcBorders/>
            <w:vAlign w:val="bottom"/>
          </w:tcPr>
          <w:p>
            <w:pPr>
              <w:pStyle w:val="TableContents"/>
              <w:bidi w:val="0"/>
              <w:spacing w:before="0" w:after="283"/>
              <w:jc w:val="left"/>
              <w:rPr/>
            </w:pPr>
            <w:r>
              <w:rPr/>
              <w:t> </w:t>
            </w:r>
          </w:p>
        </w:tc>
      </w:tr>
      <w:tr>
        <w:trPr/>
        <w:tc>
          <w:tcPr>
            <w:tcW w:w="5333" w:type="dxa"/>
            <w:tcBorders/>
            <w:shd w:fill="CCEEFF" w:val="clear"/>
            <w:vAlign w:val="bottom"/>
          </w:tcPr>
          <w:p>
            <w:pPr>
              <w:pStyle w:val="TableContents"/>
              <w:bidi w:val="0"/>
              <w:spacing w:before="0" w:after="0"/>
              <w:ind w:left="720" w:right="0" w:hanging="180"/>
              <w:jc w:val="left"/>
              <w:rPr>
                <w:color w:val="000000"/>
              </w:rPr>
            </w:pPr>
            <w:r>
              <w:rPr>
                <w:color w:val="000000"/>
              </w:rPr>
              <w:t>Comprehensive income</w:t>
            </w:r>
          </w:p>
        </w:tc>
        <w:tc>
          <w:tcPr>
            <w:tcW w:w="90" w:type="dxa"/>
            <w:tcBorders/>
            <w:shd w:fill="CCEEFF" w:val="clear"/>
            <w:vAlign w:val="bottom"/>
          </w:tcPr>
          <w:p>
            <w:pPr>
              <w:pStyle w:val="TableContents"/>
              <w:bidi w:val="0"/>
              <w:spacing w:before="0" w:after="283"/>
              <w:jc w:val="righ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22,583</w:t>
            </w:r>
          </w:p>
        </w:tc>
        <w:tc>
          <w:tcPr>
            <w:tcW w:w="1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righ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12,303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36,229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27,274</w:t>
            </w:r>
          </w:p>
        </w:tc>
        <w:tc>
          <w:tcPr>
            <w:tcW w:w="174"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CHANGES IN</w:t>
      </w:r>
      <w:bookmarkStart w:id="30" w:name="STOCKHOLDERSEQUITY"/>
      <w:bookmarkEnd w:id="30"/>
      <w:r>
        <w:rPr>
          <w:rFonts w:ascii="Times New Roman" w:hAnsi="Times New Roman"/>
          <w:b/>
          <w:color w:val="000000"/>
          <w:sz w:val="20"/>
          <w:shd w:fill="FFFFFF" w:val="clear"/>
        </w:rPr>
        <w:t xml:space="preserve"> STOCKHOLDERS’ EQUITY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(Dollars in thousands, except per share data)</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31" w:name="z23a155a03702486db9ba9d7e5b818a52"/>
      <w:bookmarkStart w:id="32" w:name="z23a155a03702486db9ba9d7e5b818a52"/>
      <w:bookmarkEnd w:id="32"/>
    </w:p>
    <w:tbl>
      <w:tblPr>
        <w:tblW w:w="10205" w:type="dxa"/>
        <w:jc w:val="left"/>
        <w:tblInd w:w="0" w:type="dxa"/>
        <w:tblLayout w:type="fixed"/>
        <w:tblCellMar>
          <w:top w:w="0" w:type="dxa"/>
          <w:left w:w="0" w:type="dxa"/>
          <w:bottom w:w="0" w:type="dxa"/>
          <w:right w:w="0" w:type="dxa"/>
        </w:tblCellMar>
      </w:tblPr>
      <w:tblGrid>
        <w:gridCol w:w="1990"/>
        <w:gridCol w:w="90"/>
        <w:gridCol w:w="90"/>
        <w:gridCol w:w="1130"/>
        <w:gridCol w:w="125"/>
        <w:gridCol w:w="90"/>
        <w:gridCol w:w="171"/>
        <w:gridCol w:w="719"/>
        <w:gridCol w:w="125"/>
        <w:gridCol w:w="90"/>
        <w:gridCol w:w="192"/>
        <w:gridCol w:w="938"/>
        <w:gridCol w:w="125"/>
        <w:gridCol w:w="90"/>
        <w:gridCol w:w="170"/>
        <w:gridCol w:w="830"/>
        <w:gridCol w:w="125"/>
        <w:gridCol w:w="90"/>
        <w:gridCol w:w="291"/>
        <w:gridCol w:w="1349"/>
        <w:gridCol w:w="125"/>
        <w:gridCol w:w="90"/>
        <w:gridCol w:w="170"/>
        <w:gridCol w:w="830"/>
        <w:gridCol w:w="170"/>
      </w:tblGrid>
      <w:tr>
        <w:trPr/>
        <w:tc>
          <w:tcPr>
            <w:tcW w:w="199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vMerge w:val="restart"/>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Paid-in</w:t>
            </w:r>
          </w:p>
          <w:p>
            <w:pPr>
              <w:pStyle w:val="TableContents"/>
              <w:bidi w:val="0"/>
              <w:spacing w:before="0" w:after="0"/>
              <w:jc w:val="center"/>
              <w:rPr>
                <w:b/>
                <w:color w:val="000000"/>
              </w:rPr>
            </w:pPr>
            <w:r>
              <w:rPr>
                <w:b/>
                <w:color w:val="000000"/>
              </w:rPr>
              <w:t>Capital</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vMerge w:val="restart"/>
            <w:tcBorders>
              <w:bottom w:val="single" w:sz="12" w:space="0" w:color="000000"/>
            </w:tcBorders>
            <w:tcMar>
              <w:bottom w:w="28" w:type="dxa"/>
            </w:tcMar>
            <w:vAlign w:val="center"/>
          </w:tcPr>
          <w:p>
            <w:pPr>
              <w:pStyle w:val="TableContents"/>
              <w:bidi w:val="0"/>
              <w:spacing w:before="0" w:after="0"/>
              <w:jc w:val="center"/>
              <w:rPr/>
            </w:pPr>
            <w:r>
              <w:rPr/>
              <w:t xml:space="preserve">  </w:t>
            </w:r>
          </w:p>
          <w:p>
            <w:pPr>
              <w:pStyle w:val="TableContents"/>
              <w:bidi w:val="0"/>
              <w:spacing w:before="0" w:after="0"/>
              <w:jc w:val="center"/>
              <w:rPr>
                <w:b/>
                <w:color w:val="000000"/>
              </w:rPr>
            </w:pPr>
            <w:r>
              <w:rPr>
                <w:b/>
                <w:color w:val="000000"/>
              </w:rPr>
              <w:t>Retained</w:t>
            </w:r>
          </w:p>
          <w:p>
            <w:pPr>
              <w:pStyle w:val="TableContents"/>
              <w:bidi w:val="0"/>
              <w:spacing w:before="0" w:after="0"/>
              <w:jc w:val="center"/>
              <w:rPr>
                <w:b/>
                <w:color w:val="000000"/>
              </w:rPr>
            </w:pPr>
            <w:r>
              <w:rPr>
                <w:b/>
                <w:color w:val="000000"/>
              </w:rPr>
              <w:t>Earnings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40" w:type="dxa"/>
            <w:gridSpan w:val="2"/>
            <w:vMerge w:val="restart"/>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Other</w:t>
            </w:r>
          </w:p>
          <w:p>
            <w:pPr>
              <w:pStyle w:val="TableContents"/>
              <w:bidi w:val="0"/>
              <w:spacing w:before="0" w:after="0"/>
              <w:jc w:val="center"/>
              <w:rPr>
                <w:b/>
                <w:color w:val="000000"/>
              </w:rPr>
            </w:pPr>
            <w:r>
              <w:rPr>
                <w:b/>
                <w:color w:val="000000"/>
              </w:rPr>
              <w:t>Comprehensive</w:t>
            </w:r>
          </w:p>
          <w:p>
            <w:pPr>
              <w:pStyle w:val="TableContents"/>
              <w:bidi w:val="0"/>
              <w:spacing w:before="0" w:after="0"/>
              <w:jc w:val="center"/>
              <w:rPr>
                <w:b/>
                <w:color w:val="000000"/>
              </w:rPr>
            </w:pPr>
            <w:r>
              <w:rPr>
                <w:b/>
                <w:color w:val="000000"/>
              </w:rPr>
              <w:t>Loss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vMerge w:val="restart"/>
            <w:tcBorders>
              <w:bottom w:val="single" w:sz="12" w:space="0" w:color="000000"/>
            </w:tcBorders>
            <w:tcMar>
              <w:bottom w:w="28" w:type="dxa"/>
            </w:tcMar>
            <w:vAlign w:val="center"/>
          </w:tcPr>
          <w:p>
            <w:pPr>
              <w:pStyle w:val="TableContents"/>
              <w:bidi w:val="0"/>
              <w:spacing w:before="0" w:after="0"/>
              <w:jc w:val="center"/>
              <w:rPr/>
            </w:pPr>
            <w:r>
              <w:rPr/>
              <w:t xml:space="preserve">   </w:t>
            </w:r>
          </w:p>
          <w:p>
            <w:pPr>
              <w:pStyle w:val="TableContents"/>
              <w:bidi w:val="0"/>
              <w:spacing w:before="0" w:after="0"/>
              <w:jc w:val="center"/>
              <w:rPr>
                <w:b/>
                <w:color w:val="000000"/>
              </w:rPr>
            </w:pPr>
            <w:r>
              <w:rPr>
                <w:b/>
                <w:color w:val="000000"/>
              </w:rPr>
              <w:t>Total</w:t>
            </w:r>
          </w:p>
        </w:tc>
        <w:tc>
          <w:tcPr>
            <w:tcW w:w="170" w:type="dxa"/>
            <w:tcBorders/>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32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Common Stock</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vMerge w:val="continue"/>
            <w:tcBorders>
              <w:bottom w:val="single" w:sz="12" w:space="0" w:color="000000"/>
            </w:tcBorders>
            <w:tcMar>
              <w:bottom w:w="28" w:type="dxa"/>
            </w:tcMar>
            <w:vAlign w:val="center"/>
          </w:tcPr>
          <w:p>
            <w:pPr>
              <w:pStyle w:val="Normal"/>
              <w:bidi w:val="0"/>
              <w:jc w:val="left"/>
              <w:rPr/>
            </w:pPr>
            <w:r>
              <w:rPr/>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vMerge w:val="continue"/>
            <w:tcBorders>
              <w:bottom w:val="single" w:sz="12" w:space="0" w:color="000000"/>
            </w:tcBorders>
            <w:tcMar>
              <w:bottom w:w="28" w:type="dxa"/>
            </w:tcMar>
            <w:vAlign w:val="center"/>
          </w:tcPr>
          <w:p>
            <w:pPr>
              <w:pStyle w:val="Normal"/>
              <w:bidi w:val="0"/>
              <w:jc w:val="left"/>
              <w:rPr/>
            </w:pPr>
            <w:r>
              <w:rPr/>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0" w:type="dxa"/>
            <w:gridSpan w:val="2"/>
            <w:vMerge w:val="continue"/>
            <w:tcBorders>
              <w:bottom w:val="single" w:sz="12" w:space="0" w:color="000000"/>
            </w:tcBorders>
            <w:tcMar>
              <w:bottom w:w="28" w:type="dxa"/>
            </w:tcMar>
            <w:vAlign w:val="center"/>
          </w:tcPr>
          <w:p>
            <w:pPr>
              <w:pStyle w:val="Normal"/>
              <w:bidi w:val="0"/>
              <w:jc w:val="left"/>
              <w:rPr/>
            </w:pPr>
            <w:r>
              <w:rPr/>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vMerge w:val="continue"/>
            <w:tcBorders>
              <w:bottom w:val="single" w:sz="12" w:space="0" w:color="000000"/>
            </w:tcBorders>
            <w:tcMar>
              <w:bottom w:w="28" w:type="dxa"/>
            </w:tcMar>
            <w:vAlign w:val="center"/>
          </w:tcPr>
          <w:p>
            <w:pPr>
              <w:pStyle w:val="Normal"/>
              <w:bidi w:val="0"/>
              <w:jc w:val="left"/>
              <w:rPr/>
            </w:pPr>
            <w:r>
              <w:rPr/>
            </w:r>
          </w:p>
        </w:tc>
        <w:tc>
          <w:tcPr>
            <w:tcW w:w="170" w:type="dxa"/>
            <w:tcBorders/>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Shares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vMerge w:val="continue"/>
            <w:tcBorders>
              <w:bottom w:val="single" w:sz="12" w:space="0" w:color="000000"/>
            </w:tcBorders>
            <w:tcMar>
              <w:bottom w:w="28" w:type="dxa"/>
            </w:tcMar>
            <w:vAlign w:val="center"/>
          </w:tcPr>
          <w:p>
            <w:pPr>
              <w:pStyle w:val="Normal"/>
              <w:bidi w:val="0"/>
              <w:jc w:val="left"/>
              <w:rPr/>
            </w:pPr>
            <w:r>
              <w:rPr/>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vMerge w:val="continue"/>
            <w:tcBorders>
              <w:bottom w:val="single" w:sz="12" w:space="0" w:color="000000"/>
            </w:tcBorders>
            <w:tcMar>
              <w:bottom w:w="28" w:type="dxa"/>
            </w:tcMar>
            <w:vAlign w:val="center"/>
          </w:tcPr>
          <w:p>
            <w:pPr>
              <w:pStyle w:val="Normal"/>
              <w:bidi w:val="0"/>
              <w:jc w:val="left"/>
              <w:rPr/>
            </w:pPr>
            <w:r>
              <w:rPr/>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0" w:type="dxa"/>
            <w:gridSpan w:val="2"/>
            <w:vMerge w:val="continue"/>
            <w:tcBorders>
              <w:bottom w:val="single" w:sz="12" w:space="0" w:color="000000"/>
            </w:tcBorders>
            <w:tcMar>
              <w:bottom w:w="28" w:type="dxa"/>
            </w:tcMar>
            <w:vAlign w:val="center"/>
          </w:tcPr>
          <w:p>
            <w:pPr>
              <w:pStyle w:val="Normal"/>
              <w:bidi w:val="0"/>
              <w:jc w:val="left"/>
              <w:rPr/>
            </w:pPr>
            <w:r>
              <w:rPr/>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vMerge w:val="continue"/>
            <w:tcBorders>
              <w:bottom w:val="single" w:sz="12" w:space="0" w:color="000000"/>
            </w:tcBorders>
            <w:tcMar>
              <w:bottom w:w="28" w:type="dxa"/>
            </w:tcMar>
            <w:vAlign w:val="center"/>
          </w:tcPr>
          <w:p>
            <w:pPr>
              <w:pStyle w:val="Normal"/>
              <w:bidi w:val="0"/>
              <w:jc w:val="left"/>
              <w:rPr/>
            </w:pPr>
            <w:r>
              <w:rPr/>
            </w:r>
          </w:p>
        </w:tc>
        <w:tc>
          <w:tcPr>
            <w:tcW w:w="170" w:type="dxa"/>
            <w:tcBorders/>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b/>
                <w:color w:val="000000"/>
              </w:rPr>
            </w:pPr>
            <w:r>
              <w:rPr>
                <w:b/>
                <w:color w:val="000000"/>
              </w:rPr>
              <w:t>Three Months Ended June 30, 2025</w:t>
            </w:r>
          </w:p>
        </w:tc>
        <w:tc>
          <w:tcPr>
            <w:tcW w:w="90"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Balance at beginning of period</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16,235,647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719" w:type="dxa"/>
            <w:tcBorders/>
            <w:shd w:fill="CCEEFF" w:val="clear"/>
            <w:vAlign w:val="bottom"/>
          </w:tcPr>
          <w:p>
            <w:pPr>
              <w:pStyle w:val="TableContents"/>
              <w:bidi w:val="0"/>
              <w:spacing w:before="0" w:after="0"/>
              <w:jc w:val="right"/>
              <w:rPr>
                <w:color w:val="000000"/>
              </w:rPr>
            </w:pPr>
            <w:r>
              <w:rPr>
                <w:color w:val="000000"/>
              </w:rPr>
              <w:t>16,236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938" w:type="dxa"/>
            <w:tcBorders/>
            <w:shd w:fill="CCEEFF" w:val="clear"/>
            <w:vAlign w:val="bottom"/>
          </w:tcPr>
          <w:p>
            <w:pPr>
              <w:pStyle w:val="TableContents"/>
              <w:bidi w:val="0"/>
              <w:spacing w:before="0" w:after="0"/>
              <w:jc w:val="right"/>
              <w:rPr>
                <w:color w:val="000000"/>
              </w:rPr>
            </w:pPr>
            <w:r>
              <w:rPr>
                <w:color w:val="000000"/>
              </w:rPr>
              <w:t>89,799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395,652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0"/>
              <w:jc w:val="left"/>
              <w:rPr>
                <w:color w:val="000000"/>
              </w:rPr>
            </w:pPr>
            <w:r>
              <w:rPr>
                <w:color w:val="000000"/>
              </w:rPr>
              <w:t>$</w:t>
            </w:r>
          </w:p>
        </w:tc>
        <w:tc>
          <w:tcPr>
            <w:tcW w:w="1349" w:type="dxa"/>
            <w:tcBorders/>
            <w:shd w:fill="CCEEFF" w:val="clear"/>
            <w:vAlign w:val="bottom"/>
          </w:tcPr>
          <w:p>
            <w:pPr>
              <w:pStyle w:val="TableContents"/>
              <w:bidi w:val="0"/>
              <w:spacing w:before="0" w:after="0"/>
              <w:jc w:val="right"/>
              <w:rPr>
                <w:color w:val="000000"/>
              </w:rPr>
            </w:pPr>
            <w:r>
              <w:rPr>
                <w:color w:val="000000"/>
              </w:rPr>
              <w:t>(57,944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443,743</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14,605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14,605</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Cash dividends declared - $0.15 per share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(2,435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(2,435</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990" w:type="dxa"/>
            <w:tcBorders/>
            <w:vAlign w:val="bottom"/>
          </w:tcPr>
          <w:p>
            <w:pPr>
              <w:pStyle w:val="TableContents"/>
              <w:bidi w:val="0"/>
              <w:spacing w:before="0" w:after="0"/>
              <w:ind w:left="180" w:right="0" w:hanging="180"/>
              <w:jc w:val="left"/>
              <w:rPr>
                <w:color w:val="000000"/>
              </w:rPr>
            </w:pPr>
            <w:r>
              <w:rPr>
                <w:color w:val="000000"/>
              </w:rPr>
              <w:t>Other comprehensive loss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(2,302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(2,302</w:t>
            </w:r>
          </w:p>
        </w:tc>
        <w:tc>
          <w:tcPr>
            <w:tcW w:w="170" w:type="dxa"/>
            <w:tcBorders/>
            <w:vAlign w:val="bottom"/>
          </w:tcPr>
          <w:p>
            <w:pPr>
              <w:pStyle w:val="TableContents"/>
              <w:bidi w:val="0"/>
              <w:spacing w:before="0" w:after="0"/>
              <w:jc w:val="left"/>
              <w:rPr>
                <w:color w:val="000000"/>
              </w:rPr>
            </w:pPr>
            <w:r>
              <w:rPr>
                <w:color w:val="000000"/>
              </w:rPr>
              <w:t>)</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Net issuance of stock related to stock-based awards</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3,874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(15</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990" w:type="dxa"/>
            <w:tcBorders/>
            <w:vAlign w:val="bottom"/>
          </w:tcPr>
          <w:p>
            <w:pPr>
              <w:pStyle w:val="TableContents"/>
              <w:bidi w:val="0"/>
              <w:spacing w:before="0" w:after="0"/>
              <w:ind w:left="180" w:right="0" w:hanging="180"/>
              <w:jc w:val="left"/>
              <w:rPr>
                <w:color w:val="000000"/>
              </w:rPr>
            </w:pPr>
            <w:r>
              <w:rPr>
                <w:color w:val="000000"/>
              </w:rPr>
              <w:t>Repurchases of common stock</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(9,046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(267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(276</w:t>
            </w:r>
          </w:p>
        </w:tc>
        <w:tc>
          <w:tcPr>
            <w:tcW w:w="170" w:type="dxa"/>
            <w:tcBorders/>
            <w:vAlign w:val="bottom"/>
          </w:tcPr>
          <w:p>
            <w:pPr>
              <w:pStyle w:val="TableContents"/>
              <w:bidi w:val="0"/>
              <w:spacing w:before="0" w:after="0"/>
              <w:jc w:val="left"/>
              <w:rPr>
                <w:color w:val="000000"/>
              </w:rPr>
            </w:pPr>
            <w:r>
              <w:rPr>
                <w:color w:val="000000"/>
              </w:rPr>
              <w:t>)</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754</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color w:val="000000"/>
              </w:rPr>
            </w:pPr>
            <w:r>
              <w:rPr>
                <w:color w:val="000000"/>
              </w:rPr>
              <w:t>Balance at end of period</w:t>
            </w:r>
          </w:p>
        </w:tc>
        <w:tc>
          <w:tcPr>
            <w:tcW w:w="90" w:type="dxa"/>
            <w:tcBorders/>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16,230,475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16,230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90,268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407,822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4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(60,246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454,074</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b/>
                <w:color w:val="000000"/>
              </w:rPr>
            </w:pPr>
            <w:r>
              <w:rPr>
                <w:b/>
                <w:color w:val="000000"/>
              </w:rPr>
              <w:t>Three Months Ended June 30, 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Balance at beginning of period</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16,342,219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719" w:type="dxa"/>
            <w:tcBorders/>
            <w:shd w:fill="CCEEFF" w:val="clear"/>
            <w:vAlign w:val="bottom"/>
          </w:tcPr>
          <w:p>
            <w:pPr>
              <w:pStyle w:val="TableContents"/>
              <w:bidi w:val="0"/>
              <w:spacing w:before="0" w:after="0"/>
              <w:jc w:val="right"/>
              <w:rPr>
                <w:color w:val="000000"/>
              </w:rPr>
            </w:pPr>
            <w:r>
              <w:rPr>
                <w:color w:val="000000"/>
              </w:rPr>
              <w:t>16,342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938" w:type="dxa"/>
            <w:tcBorders/>
            <w:shd w:fill="CCEEFF" w:val="clear"/>
            <w:vAlign w:val="bottom"/>
          </w:tcPr>
          <w:p>
            <w:pPr>
              <w:pStyle w:val="TableContents"/>
              <w:bidi w:val="0"/>
              <w:spacing w:before="0" w:after="0"/>
              <w:jc w:val="right"/>
              <w:rPr>
                <w:color w:val="000000"/>
              </w:rPr>
            </w:pPr>
            <w:r>
              <w:rPr>
                <w:color w:val="000000"/>
              </w:rPr>
              <w:t>91,243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445,971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0"/>
              <w:jc w:val="left"/>
              <w:rPr>
                <w:color w:val="000000"/>
              </w:rPr>
            </w:pPr>
            <w:r>
              <w:rPr>
                <w:color w:val="000000"/>
              </w:rPr>
              <w:t>$</w:t>
            </w:r>
          </w:p>
        </w:tc>
        <w:tc>
          <w:tcPr>
            <w:tcW w:w="1349" w:type="dxa"/>
            <w:tcBorders/>
            <w:shd w:fill="CCEEFF" w:val="clear"/>
            <w:vAlign w:val="bottom"/>
          </w:tcPr>
          <w:p>
            <w:pPr>
              <w:pStyle w:val="TableContents"/>
              <w:bidi w:val="0"/>
              <w:spacing w:before="0" w:after="0"/>
              <w:jc w:val="right"/>
              <w:rPr>
                <w:color w:val="000000"/>
              </w:rPr>
            </w:pPr>
            <w:r>
              <w:rPr>
                <w:color w:val="000000"/>
              </w:rPr>
              <w:t>(48,618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504,938</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18,992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18,992</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Cash dividends declared - $0.17 per share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(3,255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(3,255</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990" w:type="dxa"/>
            <w:tcBorders/>
            <w:vAlign w:val="bottom"/>
          </w:tcPr>
          <w:p>
            <w:pPr>
              <w:pStyle w:val="TableContents"/>
              <w:bidi w:val="0"/>
              <w:spacing w:before="0" w:after="0"/>
              <w:ind w:left="180" w:right="0" w:hanging="180"/>
              <w:jc w:val="left"/>
              <w:rPr>
                <w:color w:val="000000"/>
              </w:rPr>
            </w:pPr>
            <w:r>
              <w:rPr>
                <w:color w:val="000000"/>
              </w:rPr>
              <w:t>Other comprehensive income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3,591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3,591</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Common stock issued upon acquisition of BOH Holdings, Inc.</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2,803,535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2,804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114,664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117,468</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color w:val="000000"/>
              </w:rPr>
            </w:pPr>
            <w:r>
              <w:rPr>
                <w:color w:val="000000"/>
              </w:rPr>
              <w:t>Net issuance of stock related to stock-based awards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4,316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Repurchases of common stock</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(310,965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(311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(12,531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(12,842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990" w:type="dxa"/>
            <w:tcBorders/>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bottom w:val="single" w:sz="12" w:space="0" w:color="000000"/>
            </w:tcBorders>
            <w:tcMar>
              <w:bottom w:w="28" w:type="dxa"/>
            </w:tcMar>
            <w:vAlign w:val="bottom"/>
          </w:tcPr>
          <w:p>
            <w:pPr>
              <w:pStyle w:val="TableContents"/>
              <w:bidi w:val="0"/>
              <w:spacing w:before="0" w:after="283"/>
              <w:jc w:val="left"/>
              <w:rPr/>
            </w:pPr>
            <w:r>
              <w:rPr/>
              <w:t> </w:t>
            </w:r>
          </w:p>
        </w:tc>
        <w:tc>
          <w:tcPr>
            <w:tcW w:w="134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873</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Balance at end of period</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18,839,105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18,839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194,245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461,708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4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(45,027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629,765</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b/>
                <w:color w:val="000000"/>
              </w:rPr>
            </w:pPr>
            <w:r>
              <w:rPr>
                <w:b/>
                <w:color w:val="000000"/>
              </w:rPr>
              <w:t>Six Months Ended June 30, 2025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color w:val="000000"/>
              </w:rPr>
            </w:pPr>
            <w:r>
              <w:rPr>
                <w:color w:val="000000"/>
              </w:rPr>
              <w:t>Balance at beginning of period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16,455,826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0"/>
              <w:jc w:val="left"/>
              <w:rPr>
                <w:color w:val="000000"/>
              </w:rPr>
            </w:pPr>
            <w:r>
              <w:rPr>
                <w:color w:val="000000"/>
              </w:rPr>
              <w:t>$</w:t>
            </w:r>
          </w:p>
        </w:tc>
        <w:tc>
          <w:tcPr>
            <w:tcW w:w="719" w:type="dxa"/>
            <w:tcBorders/>
            <w:vAlign w:val="bottom"/>
          </w:tcPr>
          <w:p>
            <w:pPr>
              <w:pStyle w:val="TableContents"/>
              <w:bidi w:val="0"/>
              <w:spacing w:before="0" w:after="0"/>
              <w:jc w:val="right"/>
              <w:rPr>
                <w:color w:val="000000"/>
              </w:rPr>
            </w:pPr>
            <w:r>
              <w:rPr>
                <w:color w:val="000000"/>
              </w:rPr>
              <w:t>16,456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0"/>
              <w:jc w:val="left"/>
              <w:rPr>
                <w:color w:val="000000"/>
              </w:rPr>
            </w:pPr>
            <w:r>
              <w:rPr>
                <w:color w:val="000000"/>
              </w:rPr>
              <w:t>$</w:t>
            </w:r>
          </w:p>
        </w:tc>
        <w:tc>
          <w:tcPr>
            <w:tcW w:w="938" w:type="dxa"/>
            <w:tcBorders/>
            <w:vAlign w:val="bottom"/>
          </w:tcPr>
          <w:p>
            <w:pPr>
              <w:pStyle w:val="TableContents"/>
              <w:bidi w:val="0"/>
              <w:spacing w:before="0" w:after="0"/>
              <w:jc w:val="right"/>
              <w:rPr>
                <w:color w:val="000000"/>
              </w:rPr>
            </w:pPr>
            <w:r>
              <w:rPr>
                <w:color w:val="000000"/>
              </w:rPr>
              <w:t>97,287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385,827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0"/>
              <w:jc w:val="left"/>
              <w:rPr>
                <w:color w:val="000000"/>
              </w:rPr>
            </w:pPr>
            <w:r>
              <w:rPr>
                <w:color w:val="000000"/>
              </w:rPr>
              <w:t>$</w:t>
            </w:r>
          </w:p>
        </w:tc>
        <w:tc>
          <w:tcPr>
            <w:tcW w:w="1349" w:type="dxa"/>
            <w:tcBorders/>
            <w:vAlign w:val="bottom"/>
          </w:tcPr>
          <w:p>
            <w:pPr>
              <w:pStyle w:val="TableContents"/>
              <w:bidi w:val="0"/>
              <w:spacing w:before="0" w:after="0"/>
              <w:jc w:val="right"/>
              <w:rPr>
                <w:color w:val="000000"/>
              </w:rPr>
            </w:pPr>
            <w:r>
              <w:rPr>
                <w:color w:val="000000"/>
              </w:rPr>
              <w:t>(60,621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438,949</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26,899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26,899</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color w:val="000000"/>
              </w:rPr>
            </w:pPr>
            <w:r>
              <w:rPr>
                <w:color w:val="000000"/>
              </w:rPr>
              <w:t>Cash dividends declared - $0.30 per share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(4,904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(4,904</w:t>
            </w:r>
          </w:p>
        </w:tc>
        <w:tc>
          <w:tcPr>
            <w:tcW w:w="170" w:type="dxa"/>
            <w:tcBorders/>
            <w:vAlign w:val="bottom"/>
          </w:tcPr>
          <w:p>
            <w:pPr>
              <w:pStyle w:val="TableContents"/>
              <w:bidi w:val="0"/>
              <w:spacing w:before="0" w:after="0"/>
              <w:jc w:val="left"/>
              <w:rPr>
                <w:color w:val="000000"/>
              </w:rPr>
            </w:pPr>
            <w:r>
              <w:rPr>
                <w:color w:val="000000"/>
              </w:rPr>
              <w:t>)</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Other comprehensive income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375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375</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color w:val="000000"/>
              </w:rPr>
            </w:pPr>
            <w:r>
              <w:rPr>
                <w:color w:val="000000"/>
              </w:rPr>
              <w:t>Net issuance of stock related to stock-based awards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24,981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(301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(277</w:t>
            </w:r>
          </w:p>
        </w:tc>
        <w:tc>
          <w:tcPr>
            <w:tcW w:w="170" w:type="dxa"/>
            <w:tcBorders/>
            <w:vAlign w:val="bottom"/>
          </w:tcPr>
          <w:p>
            <w:pPr>
              <w:pStyle w:val="TableContents"/>
              <w:bidi w:val="0"/>
              <w:spacing w:before="0" w:after="0"/>
              <w:jc w:val="left"/>
              <w:rPr>
                <w:color w:val="000000"/>
              </w:rPr>
            </w:pPr>
            <w:r>
              <w:rPr>
                <w:color w:val="000000"/>
              </w:rPr>
              <w:t>)</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Stock issued under employee stock purchase plan</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8,714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226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235</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color w:val="000000"/>
              </w:rPr>
            </w:pPr>
            <w:r>
              <w:rPr>
                <w:color w:val="000000"/>
              </w:rPr>
              <w:t>Repurchases of common stock</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(259,046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(259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(8,267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(8,526</w:t>
            </w:r>
          </w:p>
        </w:tc>
        <w:tc>
          <w:tcPr>
            <w:tcW w:w="170" w:type="dxa"/>
            <w:tcBorders/>
            <w:vAlign w:val="bottom"/>
          </w:tcPr>
          <w:p>
            <w:pPr>
              <w:pStyle w:val="TableContents"/>
              <w:bidi w:val="0"/>
              <w:spacing w:before="0" w:after="0"/>
              <w:jc w:val="left"/>
              <w:rPr>
                <w:color w:val="000000"/>
              </w:rPr>
            </w:pPr>
            <w:r>
              <w:rPr>
                <w:color w:val="000000"/>
              </w:rPr>
              <w:t>)</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1,323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1,323</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color w:val="000000"/>
              </w:rPr>
            </w:pPr>
            <w:r>
              <w:rPr>
                <w:color w:val="000000"/>
              </w:rPr>
              <w:t>Balance at end of period</w:t>
            </w:r>
          </w:p>
        </w:tc>
        <w:tc>
          <w:tcPr>
            <w:tcW w:w="90" w:type="dxa"/>
            <w:tcBorders/>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16,230,475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16,230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90,268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407,822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4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(60,246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454,074</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b/>
                <w:color w:val="000000"/>
              </w:rPr>
            </w:pPr>
            <w:r>
              <w:rPr>
                <w:b/>
                <w:color w:val="000000"/>
              </w:rPr>
              <w:t>Six Months Ended June 30, 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Balance at beginning of period</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16,293,577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719" w:type="dxa"/>
            <w:tcBorders/>
            <w:shd w:fill="CCEEFF" w:val="clear"/>
            <w:vAlign w:val="bottom"/>
          </w:tcPr>
          <w:p>
            <w:pPr>
              <w:pStyle w:val="TableContents"/>
              <w:bidi w:val="0"/>
              <w:spacing w:before="0" w:after="0"/>
              <w:jc w:val="right"/>
              <w:rPr>
                <w:color w:val="000000"/>
              </w:rPr>
            </w:pPr>
            <w:r>
              <w:rPr>
                <w:color w:val="000000"/>
              </w:rPr>
              <w:t>16,294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938" w:type="dxa"/>
            <w:tcBorders/>
            <w:shd w:fill="CCEEFF" w:val="clear"/>
            <w:vAlign w:val="bottom"/>
          </w:tcPr>
          <w:p>
            <w:pPr>
              <w:pStyle w:val="TableContents"/>
              <w:bidi w:val="0"/>
              <w:spacing w:before="0" w:after="0"/>
              <w:jc w:val="right"/>
              <w:rPr>
                <w:color w:val="000000"/>
              </w:rPr>
            </w:pPr>
            <w:r>
              <w:rPr>
                <w:color w:val="000000"/>
              </w:rPr>
              <w:t>91,065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434,197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0"/>
              <w:jc w:val="left"/>
              <w:rPr>
                <w:color w:val="000000"/>
              </w:rPr>
            </w:pPr>
            <w:r>
              <w:rPr>
                <w:color w:val="000000"/>
              </w:rPr>
              <w:t>$</w:t>
            </w:r>
          </w:p>
        </w:tc>
        <w:tc>
          <w:tcPr>
            <w:tcW w:w="1349" w:type="dxa"/>
            <w:tcBorders/>
            <w:shd w:fill="CCEEFF" w:val="clear"/>
            <w:vAlign w:val="bottom"/>
          </w:tcPr>
          <w:p>
            <w:pPr>
              <w:pStyle w:val="TableContents"/>
              <w:bidi w:val="0"/>
              <w:spacing w:before="0" w:after="0"/>
              <w:jc w:val="right"/>
              <w:rPr>
                <w:color w:val="000000"/>
              </w:rPr>
            </w:pPr>
            <w:r>
              <w:rPr>
                <w:color w:val="000000"/>
              </w:rPr>
              <w:t>(47,719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493,837</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33,537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33,537</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Cash dividends declared - $0.34 per share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(6,026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(6,026</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990" w:type="dxa"/>
            <w:tcBorders/>
            <w:vAlign w:val="bottom"/>
          </w:tcPr>
          <w:p>
            <w:pPr>
              <w:pStyle w:val="TableContents"/>
              <w:bidi w:val="0"/>
              <w:spacing w:before="0" w:after="0"/>
              <w:ind w:left="180" w:right="0" w:hanging="180"/>
              <w:jc w:val="left"/>
              <w:rPr>
                <w:color w:val="000000"/>
              </w:rPr>
            </w:pPr>
            <w:r>
              <w:rPr>
                <w:color w:val="000000"/>
              </w:rPr>
              <w:t>Other comprehensive income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2,692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2,692</w:t>
            </w:r>
          </w:p>
        </w:tc>
        <w:tc>
          <w:tcPr>
            <w:tcW w:w="170" w:type="dxa"/>
            <w:tcBorders/>
            <w:vAlign w:val="bottom"/>
          </w:tcPr>
          <w:p>
            <w:pPr>
              <w:pStyle w:val="TableContents"/>
              <w:bidi w:val="0"/>
              <w:spacing w:before="0" w:after="283"/>
              <w:jc w:val="left"/>
              <w:rPr/>
            </w:pPr>
            <w:r>
              <w:rPr/>
              <w:t> </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Common stock issued upon acquisition of BOH Holdings, Inc.</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2,803,535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2,804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114,664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117,468</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color w:val="000000"/>
              </w:rPr>
            </w:pPr>
            <w:r>
              <w:rPr>
                <w:color w:val="000000"/>
              </w:rPr>
              <w:t>Net issuance of stock related to stock-based awards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44,506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(744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(700</w:t>
            </w:r>
          </w:p>
        </w:tc>
        <w:tc>
          <w:tcPr>
            <w:tcW w:w="170" w:type="dxa"/>
            <w:tcBorders/>
            <w:vAlign w:val="bottom"/>
          </w:tcPr>
          <w:p>
            <w:pPr>
              <w:pStyle w:val="TableContents"/>
              <w:bidi w:val="0"/>
              <w:spacing w:before="0" w:after="0"/>
              <w:jc w:val="left"/>
              <w:rPr>
                <w:color w:val="000000"/>
              </w:rPr>
            </w:pPr>
            <w:r>
              <w:rPr>
                <w:color w:val="000000"/>
              </w:rPr>
              <w:t>)</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Stock issued under employee stock purchase plan</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8,452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250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258</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color w:val="000000"/>
              </w:rPr>
            </w:pPr>
            <w:r>
              <w:rPr>
                <w:color w:val="000000"/>
              </w:rPr>
              <w:t>Repurchases of common stock</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(310,965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(311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(12,531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(12,842</w:t>
            </w:r>
          </w:p>
        </w:tc>
        <w:tc>
          <w:tcPr>
            <w:tcW w:w="170" w:type="dxa"/>
            <w:tcBorders/>
            <w:vAlign w:val="bottom"/>
          </w:tcPr>
          <w:p>
            <w:pPr>
              <w:pStyle w:val="TableContents"/>
              <w:bidi w:val="0"/>
              <w:spacing w:before="0" w:after="0"/>
              <w:jc w:val="left"/>
              <w:rPr>
                <w:color w:val="000000"/>
              </w:rPr>
            </w:pPr>
            <w:r>
              <w:rPr>
                <w:color w:val="000000"/>
              </w:rPr>
              <w:t>)</w:t>
            </w:r>
          </w:p>
        </w:tc>
      </w:tr>
      <w:tr>
        <w:trPr/>
        <w:tc>
          <w:tcPr>
            <w:tcW w:w="1990"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1,541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1,541</w:t>
            </w:r>
          </w:p>
        </w:tc>
        <w:tc>
          <w:tcPr>
            <w:tcW w:w="170" w:type="dxa"/>
            <w:tcBorders/>
            <w:shd w:fill="CCEEFF" w:val="clear"/>
            <w:vAlign w:val="bottom"/>
          </w:tcPr>
          <w:p>
            <w:pPr>
              <w:pStyle w:val="TableContents"/>
              <w:bidi w:val="0"/>
              <w:spacing w:before="0" w:after="283"/>
              <w:jc w:val="left"/>
              <w:rPr/>
            </w:pPr>
            <w:r>
              <w:rPr/>
              <w:t> </w:t>
            </w:r>
          </w:p>
        </w:tc>
      </w:tr>
      <w:tr>
        <w:trPr/>
        <w:tc>
          <w:tcPr>
            <w:tcW w:w="1990" w:type="dxa"/>
            <w:tcBorders/>
            <w:vAlign w:val="bottom"/>
          </w:tcPr>
          <w:p>
            <w:pPr>
              <w:pStyle w:val="TableContents"/>
              <w:bidi w:val="0"/>
              <w:spacing w:before="0" w:after="0"/>
              <w:ind w:left="180" w:right="0" w:hanging="180"/>
              <w:jc w:val="left"/>
              <w:rPr>
                <w:color w:val="000000"/>
              </w:rPr>
            </w:pPr>
            <w:r>
              <w:rPr>
                <w:color w:val="000000"/>
              </w:rPr>
              <w:t>Balance at end of period</w:t>
            </w:r>
          </w:p>
        </w:tc>
        <w:tc>
          <w:tcPr>
            <w:tcW w:w="90" w:type="dxa"/>
            <w:tcBorders/>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18,839,105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18,839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194,245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461,708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4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(45,027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629,765</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33" w:name="CASHFLOWS"/>
      <w:bookmarkEnd w:id="33"/>
      <w:r>
        <w:rPr>
          <w:rFonts w:ascii="Times New Roman" w:hAnsi="Times New Roman"/>
          <w:b/>
          <w:color w:val="000000"/>
          <w:sz w:val="20"/>
          <w:shd w:fill="FFFFFF" w:val="clear"/>
        </w:rPr>
        <w:t>CASH FLOWS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(Dollars in thousands)</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34" w:name="z8ea4cd2a665a4898885fcd3b91a28f0a"/>
      <w:bookmarkStart w:id="35" w:name="z8ea4cd2a665a4898885fcd3b91a28f0a"/>
      <w:bookmarkEnd w:id="35"/>
    </w:p>
    <w:tbl>
      <w:tblPr>
        <w:tblW w:w="9590" w:type="dxa"/>
        <w:jc w:val="left"/>
        <w:tblInd w:w="0" w:type="dxa"/>
        <w:tblLayout w:type="fixed"/>
        <w:tblCellMar>
          <w:top w:w="0" w:type="dxa"/>
          <w:left w:w="0" w:type="dxa"/>
          <w:bottom w:w="0" w:type="dxa"/>
          <w:right w:w="0" w:type="dxa"/>
        </w:tblCellMar>
      </w:tblPr>
      <w:tblGrid>
        <w:gridCol w:w="6965"/>
        <w:gridCol w:w="90"/>
        <w:gridCol w:w="170"/>
        <w:gridCol w:w="905"/>
        <w:gridCol w:w="125"/>
        <w:gridCol w:w="90"/>
        <w:gridCol w:w="170"/>
        <w:gridCol w:w="905"/>
        <w:gridCol w:w="170"/>
      </w:tblGrid>
      <w:tr>
        <w:trPr/>
        <w:tc>
          <w:tcPr>
            <w:tcW w:w="696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70" w:type="dxa"/>
            <w:tcBorders/>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0" w:type="dxa"/>
            <w:tcBorders/>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180" w:right="0" w:hanging="180"/>
              <w:jc w:val="left"/>
              <w:rPr>
                <w:color w:val="000000"/>
              </w:rPr>
            </w:pPr>
            <w:r>
              <w:rPr>
                <w:color w:val="000000"/>
              </w:rPr>
              <w:t>Cash flows from operating activities:</w:t>
            </w:r>
          </w:p>
        </w:tc>
        <w:tc>
          <w:tcPr>
            <w:tcW w:w="9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360" w:right="0" w:hanging="180"/>
              <w:jc w:val="left"/>
              <w:rPr>
                <w:color w:val="000000"/>
              </w:rPr>
            </w:pPr>
            <w:r>
              <w:rPr>
                <w:color w:val="000000"/>
              </w:rPr>
              <w:t>Net income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33,537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26,899</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360" w:right="0" w:hanging="180"/>
              <w:jc w:val="left"/>
              <w:rPr>
                <w:color w:val="000000"/>
              </w:rPr>
            </w:pPr>
            <w:r>
              <w:rPr>
                <w:color w:val="000000"/>
              </w:rPr>
              <w:t>Adjustments to reconcile net income to net cash from operating activities: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540" w:right="0" w:hanging="180"/>
              <w:jc w:val="left"/>
              <w:rPr>
                <w:color w:val="000000"/>
              </w:rPr>
            </w:pPr>
            <w:r>
              <w:rPr>
                <w:color w:val="000000"/>
              </w:rPr>
              <w:t>Provision for credit losses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610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2,920</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540" w:right="0" w:hanging="180"/>
              <w:jc w:val="left"/>
              <w:rPr>
                <w:color w:val="000000"/>
              </w:rPr>
            </w:pPr>
            <w:r>
              <w:rPr>
                <w:color w:val="000000"/>
              </w:rPr>
              <w:t>Provision for foreclosed asset losses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540" w:right="0" w:hanging="180"/>
              <w:jc w:val="left"/>
              <w:rPr>
                <w:color w:val="000000"/>
              </w:rPr>
            </w:pPr>
            <w:r>
              <w:rPr>
                <w:color w:val="000000"/>
              </w:rPr>
              <w:t>Depreciation and amortization</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3,472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2,939</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540" w:right="0" w:hanging="180"/>
              <w:jc w:val="left"/>
              <w:rPr>
                <w:color w:val="000000"/>
              </w:rPr>
            </w:pPr>
            <w:r>
              <w:rPr>
                <w:color w:val="000000"/>
              </w:rPr>
              <w:t>Accretion and amortization</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1,148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1,473</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540" w:right="0" w:hanging="180"/>
              <w:jc w:val="left"/>
              <w:rPr>
                <w:color w:val="000000"/>
              </w:rPr>
            </w:pPr>
            <w:r>
              <w:rPr>
                <w:color w:val="000000"/>
              </w:rPr>
              <w:t>Other gains, net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(133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(266</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965" w:type="dxa"/>
            <w:tcBorders/>
            <w:vAlign w:val="bottom"/>
          </w:tcPr>
          <w:p>
            <w:pPr>
              <w:pStyle w:val="TableContents"/>
              <w:bidi w:val="0"/>
              <w:spacing w:before="0" w:after="0"/>
              <w:ind w:left="540" w:right="0" w:hanging="180"/>
              <w:jc w:val="left"/>
              <w:rPr>
                <w:color w:val="000000"/>
              </w:rPr>
            </w:pPr>
            <w:r>
              <w:rPr>
                <w:color w:val="000000"/>
              </w:rPr>
              <w:t>Net gain on sales of loans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(5,065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(5,246</w:t>
            </w:r>
          </w:p>
        </w:tc>
        <w:tc>
          <w:tcPr>
            <w:tcW w:w="170" w:type="dxa"/>
            <w:tcBorders/>
            <w:vAlign w:val="bottom"/>
          </w:tcPr>
          <w:p>
            <w:pPr>
              <w:pStyle w:val="TableContents"/>
              <w:bidi w:val="0"/>
              <w:spacing w:before="0" w:after="0"/>
              <w:jc w:val="left"/>
              <w:rPr>
                <w:color w:val="000000"/>
              </w:rPr>
            </w:pPr>
            <w:r>
              <w:rPr>
                <w:color w:val="000000"/>
              </w:rPr>
              <w:t>)</w:t>
            </w:r>
          </w:p>
        </w:tc>
      </w:tr>
      <w:tr>
        <w:trPr/>
        <w:tc>
          <w:tcPr>
            <w:tcW w:w="6965" w:type="dxa"/>
            <w:tcBorders/>
            <w:shd w:fill="CCEEFF" w:val="clear"/>
            <w:vAlign w:val="bottom"/>
          </w:tcPr>
          <w:p>
            <w:pPr>
              <w:pStyle w:val="TableContents"/>
              <w:bidi w:val="0"/>
              <w:spacing w:before="0" w:after="0"/>
              <w:ind w:left="540" w:right="0" w:hanging="180"/>
              <w:jc w:val="left"/>
              <w:rPr>
                <w:color w:val="000000"/>
              </w:rPr>
            </w:pPr>
            <w:r>
              <w:rPr>
                <w:color w:val="000000"/>
              </w:rPr>
              <w:t>Proceeds from sales of loans held for sale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144,232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145,512</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540" w:right="0" w:hanging="180"/>
              <w:jc w:val="left"/>
              <w:rPr>
                <w:color w:val="000000"/>
              </w:rPr>
            </w:pPr>
            <w:r>
              <w:rPr>
                <w:color w:val="000000"/>
              </w:rPr>
              <w:t>Loans originated for sale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(141,739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(137,489</w:t>
            </w:r>
          </w:p>
        </w:tc>
        <w:tc>
          <w:tcPr>
            <w:tcW w:w="170" w:type="dxa"/>
            <w:tcBorders/>
            <w:vAlign w:val="bottom"/>
          </w:tcPr>
          <w:p>
            <w:pPr>
              <w:pStyle w:val="TableContents"/>
              <w:bidi w:val="0"/>
              <w:spacing w:before="0" w:after="0"/>
              <w:jc w:val="left"/>
              <w:rPr>
                <w:color w:val="000000"/>
              </w:rPr>
            </w:pPr>
            <w:r>
              <w:rPr>
                <w:color w:val="000000"/>
              </w:rPr>
              <w:t>)</w:t>
            </w:r>
          </w:p>
        </w:tc>
      </w:tr>
      <w:tr>
        <w:trPr/>
        <w:tc>
          <w:tcPr>
            <w:tcW w:w="6965" w:type="dxa"/>
            <w:tcBorders/>
            <w:shd w:fill="CCEEFF" w:val="clear"/>
            <w:vAlign w:val="bottom"/>
          </w:tcPr>
          <w:p>
            <w:pPr>
              <w:pStyle w:val="TableContents"/>
              <w:bidi w:val="0"/>
              <w:spacing w:before="0" w:after="0"/>
              <w:ind w:left="540" w:right="0" w:hanging="180"/>
              <w:jc w:val="left"/>
              <w:rPr>
                <w:color w:val="000000"/>
              </w:rPr>
            </w:pPr>
            <w:r>
              <w:rPr>
                <w:color w:val="000000"/>
              </w:rPr>
              <w:t>Deferred income tax expense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432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(728</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965" w:type="dxa"/>
            <w:tcBorders/>
            <w:vAlign w:val="bottom"/>
          </w:tcPr>
          <w:p>
            <w:pPr>
              <w:pStyle w:val="TableContents"/>
              <w:bidi w:val="0"/>
              <w:spacing w:before="0" w:after="0"/>
              <w:ind w:left="540" w:right="0" w:hanging="180"/>
              <w:jc w:val="left"/>
              <w:rPr>
                <w:color w:val="000000"/>
              </w:rPr>
            </w:pPr>
            <w:r>
              <w:rPr>
                <w:color w:val="000000"/>
              </w:rPr>
              <w:t>Earnings on bank-owned life insurance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(933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(805</w:t>
            </w:r>
          </w:p>
        </w:tc>
        <w:tc>
          <w:tcPr>
            <w:tcW w:w="170" w:type="dxa"/>
            <w:tcBorders/>
            <w:vAlign w:val="bottom"/>
          </w:tcPr>
          <w:p>
            <w:pPr>
              <w:pStyle w:val="TableContents"/>
              <w:bidi w:val="0"/>
              <w:spacing w:before="0" w:after="0"/>
              <w:jc w:val="left"/>
              <w:rPr>
                <w:color w:val="000000"/>
              </w:rPr>
            </w:pPr>
            <w:r>
              <w:rPr>
                <w:color w:val="000000"/>
              </w:rPr>
              <w:t>)</w:t>
            </w:r>
          </w:p>
        </w:tc>
      </w:tr>
      <w:tr>
        <w:trPr/>
        <w:tc>
          <w:tcPr>
            <w:tcW w:w="6965" w:type="dxa"/>
            <w:tcBorders/>
            <w:shd w:fill="CCEEFF" w:val="clear"/>
            <w:vAlign w:val="bottom"/>
          </w:tcPr>
          <w:p>
            <w:pPr>
              <w:pStyle w:val="TableContents"/>
              <w:bidi w:val="0"/>
              <w:spacing w:before="0" w:after="0"/>
              <w:ind w:left="540" w:right="0" w:hanging="18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1,541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1,323</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540" w:right="0" w:hanging="180"/>
              <w:jc w:val="left"/>
              <w:rPr>
                <w:color w:val="000000"/>
              </w:rPr>
            </w:pPr>
            <w:r>
              <w:rPr>
                <w:color w:val="000000"/>
              </w:rPr>
              <w:t>Change in valuation of mortgage servicing rights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(765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1,741</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540" w:right="0" w:hanging="180"/>
              <w:jc w:val="left"/>
              <w:rPr>
                <w:color w:val="000000"/>
              </w:rPr>
            </w:pPr>
            <w:r>
              <w:rPr>
                <w:color w:val="000000"/>
              </w:rPr>
              <w:t>Net change in:</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720" w:right="0" w:hanging="180"/>
              <w:jc w:val="left"/>
              <w:rPr>
                <w:color w:val="000000"/>
              </w:rPr>
            </w:pPr>
            <w:r>
              <w:rPr>
                <w:color w:val="000000"/>
              </w:rPr>
              <w:t>Accrued interest receivable and other assets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3,588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5,935</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720" w:right="0" w:hanging="180"/>
              <w:jc w:val="left"/>
              <w:rPr>
                <w:color w:val="000000"/>
              </w:rPr>
            </w:pPr>
            <w:r>
              <w:rPr>
                <w:color w:val="000000"/>
              </w:rPr>
              <w:t>Accrued expenses and other liabilities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(3,367</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965" w:type="dxa"/>
            <w:tcBorders/>
            <w:vAlign w:val="bottom"/>
          </w:tcPr>
          <w:p>
            <w:pPr>
              <w:pStyle w:val="TableContents"/>
              <w:bidi w:val="0"/>
              <w:spacing w:before="0" w:after="0"/>
              <w:ind w:left="900" w:right="0" w:hanging="180"/>
              <w:jc w:val="left"/>
              <w:rPr>
                <w:color w:val="000000"/>
              </w:rPr>
            </w:pPr>
            <w:r>
              <w:rPr>
                <w:color w:val="000000"/>
              </w:rPr>
              <w:t>Net cash from operating activities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44,044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40,841</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180" w:right="0" w:hanging="180"/>
              <w:jc w:val="left"/>
              <w:rPr>
                <w:color w:val="000000"/>
              </w:rPr>
            </w:pPr>
            <w:r>
              <w:rPr>
                <w:color w:val="000000"/>
              </w:rPr>
              <w:t>Cash flows from investing activities: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360" w:right="0" w:hanging="180"/>
              <w:jc w:val="left"/>
              <w:rPr>
                <w:color w:val="000000"/>
              </w:rPr>
            </w:pPr>
            <w:r>
              <w:rPr>
                <w:color w:val="000000"/>
              </w:rPr>
              <w:t>Activity in securities available for sale: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540" w:right="0" w:hanging="180"/>
              <w:jc w:val="left"/>
              <w:rPr>
                <w:color w:val="000000"/>
              </w:rPr>
            </w:pPr>
            <w:r>
              <w:rPr>
                <w:color w:val="000000"/>
              </w:rPr>
              <w:t>Purchases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(502,333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(9,374</w:t>
            </w:r>
          </w:p>
        </w:tc>
        <w:tc>
          <w:tcPr>
            <w:tcW w:w="170" w:type="dxa"/>
            <w:tcBorders/>
            <w:vAlign w:val="bottom"/>
          </w:tcPr>
          <w:p>
            <w:pPr>
              <w:pStyle w:val="TableContents"/>
              <w:bidi w:val="0"/>
              <w:spacing w:before="0" w:after="0"/>
              <w:jc w:val="left"/>
              <w:rPr>
                <w:color w:val="000000"/>
              </w:rPr>
            </w:pPr>
            <w:r>
              <w:rPr>
                <w:color w:val="000000"/>
              </w:rPr>
              <w:t>)</w:t>
            </w:r>
          </w:p>
        </w:tc>
      </w:tr>
      <w:tr>
        <w:trPr/>
        <w:tc>
          <w:tcPr>
            <w:tcW w:w="6965" w:type="dxa"/>
            <w:tcBorders/>
            <w:shd w:fill="CCEEFF" w:val="clear"/>
            <w:vAlign w:val="bottom"/>
          </w:tcPr>
          <w:p>
            <w:pPr>
              <w:pStyle w:val="TableContents"/>
              <w:bidi w:val="0"/>
              <w:spacing w:before="0" w:after="0"/>
              <w:ind w:left="540" w:right="0" w:hanging="180"/>
              <w:jc w:val="left"/>
              <w:rPr>
                <w:color w:val="000000"/>
              </w:rPr>
            </w:pPr>
            <w:r>
              <w:rPr>
                <w:color w:val="000000"/>
              </w:rPr>
              <w:t>Maturities, prepayments, and calls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523,316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19,533</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360" w:right="0" w:hanging="180"/>
              <w:jc w:val="left"/>
              <w:rPr>
                <w:color w:val="000000"/>
              </w:rPr>
            </w:pPr>
            <w:r>
              <w:rPr>
                <w:color w:val="000000"/>
              </w:rPr>
              <w:t>Loan originations and principal collections, net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3,919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(45,880</w:t>
            </w:r>
          </w:p>
        </w:tc>
        <w:tc>
          <w:tcPr>
            <w:tcW w:w="170" w:type="dxa"/>
            <w:tcBorders/>
            <w:vAlign w:val="bottom"/>
          </w:tcPr>
          <w:p>
            <w:pPr>
              <w:pStyle w:val="TableContents"/>
              <w:bidi w:val="0"/>
              <w:spacing w:before="0" w:after="0"/>
              <w:jc w:val="left"/>
              <w:rPr>
                <w:color w:val="000000"/>
              </w:rPr>
            </w:pPr>
            <w:r>
              <w:rPr>
                <w:color w:val="000000"/>
              </w:rPr>
              <w:t>)</w:t>
            </w:r>
          </w:p>
        </w:tc>
      </w:tr>
      <w:tr>
        <w:trPr/>
        <w:tc>
          <w:tcPr>
            <w:tcW w:w="6965" w:type="dxa"/>
            <w:tcBorders/>
            <w:shd w:fill="CCEEFF" w:val="clear"/>
            <w:vAlign w:val="bottom"/>
          </w:tcPr>
          <w:p>
            <w:pPr>
              <w:pStyle w:val="TableContents"/>
              <w:bidi w:val="0"/>
              <w:spacing w:before="0" w:after="0"/>
              <w:ind w:left="360" w:right="0" w:hanging="180"/>
              <w:jc w:val="left"/>
              <w:rPr>
                <w:color w:val="000000"/>
              </w:rPr>
            </w:pPr>
            <w:r>
              <w:rPr>
                <w:color w:val="000000"/>
              </w:rPr>
              <w:t>Net cash received from acquisition of BOH Holdings, Inc.</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30,823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360" w:right="0" w:hanging="180"/>
              <w:jc w:val="left"/>
              <w:rPr>
                <w:color w:val="000000"/>
              </w:rPr>
            </w:pPr>
            <w:r>
              <w:rPr>
                <w:color w:val="000000"/>
              </w:rPr>
              <w:t>Purchases of premises and equipment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(2,390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(2,862</w:t>
            </w:r>
          </w:p>
        </w:tc>
        <w:tc>
          <w:tcPr>
            <w:tcW w:w="170" w:type="dxa"/>
            <w:tcBorders/>
            <w:vAlign w:val="bottom"/>
          </w:tcPr>
          <w:p>
            <w:pPr>
              <w:pStyle w:val="TableContents"/>
              <w:bidi w:val="0"/>
              <w:spacing w:before="0" w:after="0"/>
              <w:jc w:val="left"/>
              <w:rPr>
                <w:color w:val="000000"/>
              </w:rPr>
            </w:pPr>
            <w:r>
              <w:rPr>
                <w:color w:val="000000"/>
              </w:rPr>
              <w:t>)</w:t>
            </w:r>
          </w:p>
        </w:tc>
      </w:tr>
      <w:tr>
        <w:trPr/>
        <w:tc>
          <w:tcPr>
            <w:tcW w:w="6965" w:type="dxa"/>
            <w:tcBorders/>
            <w:shd w:fill="CCEEFF" w:val="clear"/>
            <w:vAlign w:val="bottom"/>
          </w:tcPr>
          <w:p>
            <w:pPr>
              <w:pStyle w:val="TableContents"/>
              <w:bidi w:val="0"/>
              <w:spacing w:before="0" w:after="0"/>
              <w:ind w:left="360" w:right="0" w:hanging="180"/>
              <w:jc w:val="left"/>
              <w:rPr>
                <w:color w:val="000000"/>
              </w:rPr>
            </w:pPr>
            <w:r>
              <w:rPr>
                <w:color w:val="000000"/>
              </w:rPr>
              <w:t>Proceeds from sales of premises and equipment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2,240</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360" w:right="0" w:hanging="180"/>
              <w:jc w:val="left"/>
              <w:rPr>
                <w:color w:val="000000"/>
              </w:rPr>
            </w:pPr>
            <w:r>
              <w:rPr>
                <w:color w:val="000000"/>
              </w:rPr>
              <w:t>Proceeds from sales of foreclosed assets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974</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720" w:right="0" w:hanging="0"/>
              <w:jc w:val="left"/>
              <w:rPr>
                <w:color w:val="000000"/>
              </w:rPr>
            </w:pPr>
            <w:r>
              <w:rPr>
                <w:color w:val="000000"/>
              </w:rPr>
              <w:t>Net cash from investing activities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54,880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(35,369</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96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180" w:right="0" w:hanging="180"/>
              <w:jc w:val="left"/>
              <w:rPr>
                <w:color w:val="000000"/>
              </w:rPr>
            </w:pPr>
            <w:r>
              <w:rPr>
                <w:color w:val="000000"/>
              </w:rPr>
              <w:t>Cash flows from financing activities: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360" w:right="0" w:hanging="180"/>
              <w:jc w:val="left"/>
              <w:rPr>
                <w:color w:val="000000"/>
              </w:rPr>
            </w:pPr>
            <w:r>
              <w:rPr>
                <w:color w:val="000000"/>
              </w:rPr>
              <w:t>Net change in deposits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170,704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118,062</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360" w:right="0" w:hanging="180"/>
              <w:jc w:val="left"/>
              <w:rPr>
                <w:color w:val="000000"/>
              </w:rPr>
            </w:pPr>
            <w:r>
              <w:rPr>
                <w:color w:val="000000"/>
              </w:rPr>
              <w:t>Net change in short-term borrowings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(15,000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1,352</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360" w:right="0" w:hanging="180"/>
              <w:jc w:val="left"/>
              <w:rPr>
                <w:color w:val="000000"/>
              </w:rPr>
            </w:pPr>
            <w:r>
              <w:rPr>
                <w:color w:val="000000"/>
              </w:rPr>
              <w:t>Proceeds from common stock issuance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235</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360" w:right="0" w:hanging="180"/>
              <w:jc w:val="left"/>
              <w:rPr>
                <w:color w:val="000000"/>
              </w:rPr>
            </w:pPr>
            <w:r>
              <w:rPr>
                <w:color w:val="000000"/>
              </w:rPr>
              <w:t>Payments to tax authorities for stock-based compensation</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(700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(277</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965" w:type="dxa"/>
            <w:tcBorders/>
            <w:vAlign w:val="bottom"/>
          </w:tcPr>
          <w:p>
            <w:pPr>
              <w:pStyle w:val="TableContents"/>
              <w:bidi w:val="0"/>
              <w:spacing w:before="0" w:after="0"/>
              <w:ind w:left="360" w:right="0" w:hanging="180"/>
              <w:jc w:val="left"/>
              <w:rPr>
                <w:color w:val="000000"/>
              </w:rPr>
            </w:pPr>
            <w:r>
              <w:rPr>
                <w:color w:val="000000"/>
              </w:rPr>
              <w:t>Cash dividends paid on common stock</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(6,026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(4,904</w:t>
            </w:r>
          </w:p>
        </w:tc>
        <w:tc>
          <w:tcPr>
            <w:tcW w:w="170" w:type="dxa"/>
            <w:tcBorders/>
            <w:vAlign w:val="bottom"/>
          </w:tcPr>
          <w:p>
            <w:pPr>
              <w:pStyle w:val="TableContents"/>
              <w:bidi w:val="0"/>
              <w:spacing w:before="0" w:after="0"/>
              <w:jc w:val="left"/>
              <w:rPr>
                <w:color w:val="000000"/>
              </w:rPr>
            </w:pPr>
            <w:r>
              <w:rPr>
                <w:color w:val="000000"/>
              </w:rPr>
              <w:t>)</w:t>
            </w:r>
          </w:p>
        </w:tc>
      </w:tr>
      <w:tr>
        <w:trPr/>
        <w:tc>
          <w:tcPr>
            <w:tcW w:w="6965" w:type="dxa"/>
            <w:tcBorders/>
            <w:shd w:fill="CCEEFF" w:val="clear"/>
            <w:vAlign w:val="bottom"/>
          </w:tcPr>
          <w:p>
            <w:pPr>
              <w:pStyle w:val="TableContents"/>
              <w:bidi w:val="0"/>
              <w:spacing w:before="0" w:after="0"/>
              <w:ind w:left="360" w:right="0" w:hanging="180"/>
              <w:jc w:val="left"/>
              <w:rPr>
                <w:color w:val="000000"/>
              </w:rPr>
            </w:pPr>
            <w:r>
              <w:rPr>
                <w:color w:val="000000"/>
              </w:rPr>
              <w:t>Payments to repurchase common stock</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(12,842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(8,526</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6965" w:type="dxa"/>
            <w:tcBorders/>
            <w:vAlign w:val="bottom"/>
          </w:tcPr>
          <w:p>
            <w:pPr>
              <w:pStyle w:val="TableContents"/>
              <w:bidi w:val="0"/>
              <w:spacing w:before="0" w:after="0"/>
              <w:ind w:left="900" w:right="0" w:hanging="180"/>
              <w:jc w:val="left"/>
              <w:rPr>
                <w:color w:val="000000"/>
              </w:rPr>
            </w:pPr>
            <w:r>
              <w:rPr>
                <w:color w:val="000000"/>
              </w:rPr>
              <w:t>Net cash from financing activities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136,394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105,942</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180" w:right="0" w:hanging="180"/>
              <w:jc w:val="left"/>
              <w:rPr>
                <w:color w:val="000000"/>
              </w:rPr>
            </w:pPr>
            <w:r>
              <w:rPr>
                <w:color w:val="000000"/>
              </w:rPr>
              <w:t>Net change in cash and cash equivalents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235,318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111,414</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180" w:right="0" w:hanging="180"/>
              <w:jc w:val="left"/>
              <w:rPr>
                <w:color w:val="000000"/>
              </w:rPr>
            </w:pPr>
            <w:r>
              <w:rPr>
                <w:color w:val="000000"/>
              </w:rPr>
              <w:t>Beginning cash and cash equivalents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552,439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359,082</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180" w:right="0" w:hanging="180"/>
              <w:jc w:val="left"/>
              <w:rPr>
                <w:color w:val="000000"/>
              </w:rPr>
            </w:pPr>
            <w:r>
              <w:rPr>
                <w:color w:val="000000"/>
              </w:rPr>
              <w:t>Ending cash and cash equivalents</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787,757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470,496</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180" w:right="0" w:hanging="180"/>
              <w:jc w:val="left"/>
              <w:rPr>
                <w:color w:val="000000"/>
              </w:rPr>
            </w:pPr>
            <w:r>
              <w:rPr>
                <w:color w:val="000000"/>
              </w:rPr>
              <w:t>Supplemental disclosures of cash flow information:</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360" w:right="0" w:hanging="180"/>
              <w:jc w:val="left"/>
              <w:rPr>
                <w:color w:val="000000"/>
              </w:rPr>
            </w:pPr>
            <w:r>
              <w:rPr>
                <w:color w:val="000000"/>
              </w:rPr>
              <w:t>Interest paid on deposits and borrowed funds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43,732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44,173</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360" w:right="0" w:hanging="180"/>
              <w:jc w:val="left"/>
              <w:rPr>
                <w:color w:val="000000"/>
              </w:rPr>
            </w:pPr>
            <w:r>
              <w:rPr>
                <w:color w:val="000000"/>
              </w:rPr>
              <w:t>Income taxes paid</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7,412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6,820</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180" w:right="0" w:hanging="180"/>
              <w:jc w:val="left"/>
              <w:rPr>
                <w:color w:val="000000"/>
              </w:rPr>
            </w:pPr>
            <w:r>
              <w:rPr>
                <w:color w:val="000000"/>
              </w:rPr>
              <w:t>Supplemental schedule of noncash activities: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ind w:left="360" w:right="0" w:hanging="180"/>
              <w:jc w:val="left"/>
              <w:rPr>
                <w:color w:val="000000"/>
              </w:rPr>
            </w:pPr>
            <w:r>
              <w:rPr>
                <w:color w:val="000000"/>
              </w:rPr>
              <w:t>Loans transferred to foreclosed assets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905" w:type="dxa"/>
            <w:tcBorders/>
            <w:vAlign w:val="bottom"/>
          </w:tcPr>
          <w:p>
            <w:pPr>
              <w:pStyle w:val="TableContents"/>
              <w:bidi w:val="0"/>
              <w:spacing w:before="0" w:after="0"/>
              <w:jc w:val="right"/>
              <w:rPr>
                <w:color w:val="000000"/>
              </w:rPr>
            </w:pPr>
            <w:r>
              <w:rPr>
                <w:color w:val="000000"/>
              </w:rPr>
              <w:t>539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905" w:type="dxa"/>
            <w:tcBorders/>
            <w:vAlign w:val="bottom"/>
          </w:tcPr>
          <w:p>
            <w:pPr>
              <w:pStyle w:val="TableContents"/>
              <w:bidi w:val="0"/>
              <w:spacing w:before="0" w:after="0"/>
              <w:jc w:val="right"/>
              <w:rPr>
                <w:color w:val="000000"/>
              </w:rPr>
            </w:pPr>
            <w:r>
              <w:rPr>
                <w:color w:val="000000"/>
              </w:rPr>
              <w:t>981</w:t>
            </w:r>
          </w:p>
        </w:tc>
        <w:tc>
          <w:tcPr>
            <w:tcW w:w="170"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ind w:left="360" w:right="0" w:hanging="180"/>
              <w:jc w:val="left"/>
              <w:rPr>
                <w:color w:val="000000"/>
              </w:rPr>
            </w:pPr>
            <w:r>
              <w:rPr>
                <w:color w:val="000000"/>
              </w:rPr>
              <w:t>Additions to mortgage servicing rights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943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583</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SOUTH PLAINS FINANCIAL, INC. AND SUBSIDIARIES</w:t>
      </w:r>
    </w:p>
    <w:p>
      <w:pPr>
        <w:pStyle w:val="TextBody"/>
        <w:bidi w:val="0"/>
        <w:spacing w:before="0" w:after="0"/>
        <w:jc w:val="center"/>
        <w:rPr>
          <w:rFonts w:ascii="Times New Roman" w:hAnsi="Times New Roman"/>
          <w:b/>
          <w:color w:val="000000"/>
          <w:sz w:val="20"/>
          <w:shd w:fill="FFFFFF" w:val="clear"/>
        </w:rPr>
      </w:pPr>
      <w:bookmarkStart w:id="36" w:name="NOTESTOCONSOLIDATEDFINANC"/>
      <w:bookmarkEnd w:id="36"/>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  SUMMARY OF SIGNIFICANT ACCOUNTING POLICIES</w:t>
      </w:r>
    </w:p>
    <w:p>
      <w:pPr>
        <w:pStyle w:val="TextBody"/>
        <w:bidi w:val="0"/>
        <w:spacing w:before="0" w:after="0"/>
        <w:jc w:val="both"/>
        <w:rPr/>
      </w:pPr>
      <w:r>
        <w:rPr/>
      </w:r>
    </w:p>
    <w:p>
      <w:pPr>
        <w:pStyle w:val="TextBody"/>
        <w:bidi w:val="0"/>
        <w:spacing w:before="0" w:after="0"/>
        <w:ind w:left="0" w:right="0" w:firstLine="1"/>
        <w:jc w:val="both"/>
        <w:rPr>
          <w:rFonts w:ascii="Times New Roman" w:hAnsi="Times New Roman"/>
          <w:color w:val="000000"/>
          <w:sz w:val="20"/>
          <w:shd w:fill="FFFFFF" w:val="clear"/>
        </w:rPr>
      </w:pPr>
      <w:r>
        <w:rPr>
          <w:rFonts w:ascii="Times New Roman" w:hAnsi="Times New Roman"/>
          <w:i/>
          <w:color w:val="000000"/>
          <w:sz w:val="20"/>
          <w:u w:val="single"/>
          <w:shd w:fill="FFFFFF" w:val="clear"/>
        </w:rPr>
        <w:t>Nature of Operations</w:t>
      </w:r>
      <w:r>
        <w:rPr>
          <w:rFonts w:ascii="Times New Roman" w:hAnsi="Times New Roman"/>
          <w:color w:val="000000"/>
          <w:sz w:val="20"/>
          <w:shd w:fill="FFFFFF" w:val="clear"/>
        </w:rPr>
        <w:t xml:space="preserve"> – South Plains Financial, Inc. (“SPFI”) is a Texas corporation and registered bank holding company that conducts its principal activities through its subsidiaries from offices located throughout Texas and Eastern New Mexico. Principal activities include commercial and retail banking, along with investment, trust, and mortgage services. The following were subsidiaries of SPFI as of June 30, 2026:</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37" w:name="z2cdca67e9f8944debc6873bdef132a9c"/>
      <w:bookmarkStart w:id="38" w:name="z2cdca67e9f8944debc6873bdef132a9c"/>
      <w:bookmarkEnd w:id="38"/>
    </w:p>
    <w:tbl>
      <w:tblPr>
        <w:tblW w:w="7450" w:type="dxa"/>
        <w:jc w:val="left"/>
        <w:tblInd w:w="0" w:type="dxa"/>
        <w:tblLayout w:type="fixed"/>
        <w:tblCellMar>
          <w:top w:w="0" w:type="dxa"/>
          <w:left w:w="0" w:type="dxa"/>
          <w:bottom w:w="0" w:type="dxa"/>
          <w:right w:w="0" w:type="dxa"/>
        </w:tblCellMar>
      </w:tblPr>
      <w:tblGrid>
        <w:gridCol w:w="5240"/>
        <w:gridCol w:w="2210"/>
      </w:tblGrid>
      <w:tr>
        <w:trPr/>
        <w:tc>
          <w:tcPr>
            <w:tcW w:w="5240" w:type="dxa"/>
            <w:tcBorders/>
            <w:vAlign w:val="center"/>
          </w:tcPr>
          <w:p>
            <w:pPr>
              <w:pStyle w:val="TableContents"/>
              <w:bidi w:val="0"/>
              <w:spacing w:before="0" w:after="0"/>
              <w:ind w:left="180" w:right="0" w:hanging="180"/>
              <w:jc w:val="left"/>
              <w:rPr>
                <w:color w:val="000000"/>
              </w:rPr>
            </w:pPr>
            <w:r>
              <w:rPr>
                <w:color w:val="000000"/>
              </w:rPr>
              <w:t>Wholly-Owned, Consolidated Subsidiaries:</w:t>
            </w:r>
          </w:p>
        </w:tc>
        <w:tc>
          <w:tcPr>
            <w:tcW w:w="221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360" w:right="0" w:hanging="180"/>
              <w:jc w:val="left"/>
              <w:rPr>
                <w:color w:val="000000"/>
              </w:rPr>
            </w:pPr>
            <w:r>
              <w:rPr>
                <w:color w:val="000000"/>
              </w:rPr>
              <w:t>City Bank</w:t>
            </w:r>
          </w:p>
        </w:tc>
        <w:tc>
          <w:tcPr>
            <w:tcW w:w="2210" w:type="dxa"/>
            <w:tcBorders/>
            <w:shd w:fill="CCEEFF" w:val="clear"/>
            <w:vAlign w:val="center"/>
          </w:tcPr>
          <w:p>
            <w:pPr>
              <w:pStyle w:val="TableContents"/>
              <w:bidi w:val="0"/>
              <w:spacing w:before="0" w:after="0"/>
              <w:jc w:val="left"/>
              <w:rPr>
                <w:color w:val="000000"/>
              </w:rPr>
            </w:pPr>
            <w:r>
              <w:rPr>
                <w:color w:val="000000"/>
              </w:rPr>
              <w:t>Bank subsidiary</w:t>
            </w:r>
          </w:p>
        </w:tc>
      </w:tr>
      <w:tr>
        <w:trPr/>
        <w:tc>
          <w:tcPr>
            <w:tcW w:w="5240" w:type="dxa"/>
            <w:tcBorders/>
            <w:vAlign w:val="center"/>
          </w:tcPr>
          <w:p>
            <w:pPr>
              <w:pStyle w:val="TableContents"/>
              <w:bidi w:val="0"/>
              <w:spacing w:before="0" w:after="0"/>
              <w:ind w:left="360" w:right="0" w:hanging="180"/>
              <w:jc w:val="left"/>
              <w:rPr>
                <w:color w:val="000000"/>
              </w:rPr>
            </w:pPr>
            <w:r>
              <w:rPr>
                <w:color w:val="000000"/>
              </w:rPr>
              <w:t>Ruidoso Retail, Inc.</w:t>
            </w:r>
          </w:p>
        </w:tc>
        <w:tc>
          <w:tcPr>
            <w:tcW w:w="2210" w:type="dxa"/>
            <w:tcBorders/>
            <w:vAlign w:val="center"/>
          </w:tcPr>
          <w:p>
            <w:pPr>
              <w:pStyle w:val="TableContents"/>
              <w:bidi w:val="0"/>
              <w:spacing w:before="0" w:after="0"/>
              <w:jc w:val="left"/>
              <w:rPr>
                <w:color w:val="000000"/>
              </w:rPr>
            </w:pPr>
            <w:r>
              <w:rPr>
                <w:color w:val="000000"/>
              </w:rPr>
              <w:t>Non-bank subsidiary</w:t>
            </w:r>
          </w:p>
        </w:tc>
      </w:tr>
      <w:tr>
        <w:trPr/>
        <w:tc>
          <w:tcPr>
            <w:tcW w:w="5240" w:type="dxa"/>
            <w:tcBorders/>
            <w:shd w:fill="CCEEFF" w:val="clear"/>
            <w:vAlign w:val="center"/>
          </w:tcPr>
          <w:p>
            <w:pPr>
              <w:pStyle w:val="TableContents"/>
              <w:bidi w:val="0"/>
              <w:spacing w:before="0" w:after="0"/>
              <w:ind w:left="360" w:right="0" w:hanging="180"/>
              <w:jc w:val="left"/>
              <w:rPr>
                <w:color w:val="000000"/>
              </w:rPr>
            </w:pPr>
            <w:r>
              <w:rPr>
                <w:color w:val="000000"/>
              </w:rPr>
              <w:t>CB Provence, LLC</w:t>
            </w:r>
          </w:p>
        </w:tc>
        <w:tc>
          <w:tcPr>
            <w:tcW w:w="2210" w:type="dxa"/>
            <w:tcBorders/>
            <w:shd w:fill="CCEEFF" w:val="clear"/>
            <w:vAlign w:val="center"/>
          </w:tcPr>
          <w:p>
            <w:pPr>
              <w:pStyle w:val="TableContents"/>
              <w:bidi w:val="0"/>
              <w:spacing w:before="0" w:after="0"/>
              <w:jc w:val="left"/>
              <w:rPr>
                <w:color w:val="000000"/>
              </w:rPr>
            </w:pPr>
            <w:r>
              <w:rPr>
                <w:color w:val="000000"/>
              </w:rPr>
              <w:t>Non-bank subsidiary</w:t>
            </w:r>
          </w:p>
        </w:tc>
      </w:tr>
      <w:tr>
        <w:trPr/>
        <w:tc>
          <w:tcPr>
            <w:tcW w:w="5240" w:type="dxa"/>
            <w:tcBorders/>
            <w:vAlign w:val="center"/>
          </w:tcPr>
          <w:p>
            <w:pPr>
              <w:pStyle w:val="TableContents"/>
              <w:bidi w:val="0"/>
              <w:spacing w:before="0" w:after="0"/>
              <w:ind w:left="360" w:right="0" w:hanging="180"/>
              <w:jc w:val="left"/>
              <w:rPr>
                <w:color w:val="000000"/>
              </w:rPr>
            </w:pPr>
            <w:r>
              <w:rPr>
                <w:color w:val="000000"/>
              </w:rPr>
              <w:t>CBT Brushy Creek, LLC</w:t>
            </w:r>
          </w:p>
        </w:tc>
        <w:tc>
          <w:tcPr>
            <w:tcW w:w="2210" w:type="dxa"/>
            <w:tcBorders/>
            <w:vAlign w:val="center"/>
          </w:tcPr>
          <w:p>
            <w:pPr>
              <w:pStyle w:val="TableContents"/>
              <w:bidi w:val="0"/>
              <w:spacing w:before="0" w:after="0"/>
              <w:jc w:val="left"/>
              <w:rPr>
                <w:color w:val="000000"/>
              </w:rPr>
            </w:pPr>
            <w:r>
              <w:rPr>
                <w:color w:val="000000"/>
              </w:rPr>
              <w:t>Non-bank subsidiary</w:t>
            </w:r>
          </w:p>
        </w:tc>
      </w:tr>
      <w:tr>
        <w:trPr/>
        <w:tc>
          <w:tcPr>
            <w:tcW w:w="5240" w:type="dxa"/>
            <w:tcBorders/>
            <w:shd w:fill="CCEEFF" w:val="clear"/>
            <w:vAlign w:val="center"/>
          </w:tcPr>
          <w:p>
            <w:pPr>
              <w:pStyle w:val="TableContents"/>
              <w:bidi w:val="0"/>
              <w:spacing w:before="0" w:after="0"/>
              <w:ind w:left="360" w:right="0" w:hanging="180"/>
              <w:jc w:val="left"/>
              <w:rPr>
                <w:color w:val="000000"/>
              </w:rPr>
            </w:pPr>
            <w:r>
              <w:rPr>
                <w:color w:val="000000"/>
              </w:rPr>
              <w:t>CBT Properties, LLC</w:t>
            </w:r>
          </w:p>
        </w:tc>
        <w:tc>
          <w:tcPr>
            <w:tcW w:w="2210" w:type="dxa"/>
            <w:tcBorders/>
            <w:shd w:fill="CCEEFF" w:val="clear"/>
            <w:vAlign w:val="center"/>
          </w:tcPr>
          <w:p>
            <w:pPr>
              <w:pStyle w:val="TableContents"/>
              <w:bidi w:val="0"/>
              <w:spacing w:before="0" w:after="0"/>
              <w:jc w:val="left"/>
              <w:rPr>
                <w:color w:val="000000"/>
              </w:rPr>
            </w:pPr>
            <w:r>
              <w:rPr>
                <w:color w:val="000000"/>
              </w:rPr>
              <w:t>Non-bank subsidiary</w:t>
            </w:r>
          </w:p>
        </w:tc>
      </w:tr>
      <w:tr>
        <w:trPr/>
        <w:tc>
          <w:tcPr>
            <w:tcW w:w="5240" w:type="dxa"/>
            <w:tcBorders/>
            <w:vAlign w:val="center"/>
          </w:tcPr>
          <w:p>
            <w:pPr>
              <w:pStyle w:val="TableContents"/>
              <w:bidi w:val="0"/>
              <w:spacing w:before="0" w:after="0"/>
              <w:ind w:left="180" w:right="0" w:hanging="180"/>
              <w:jc w:val="left"/>
              <w:rPr>
                <w:color w:val="000000"/>
              </w:rPr>
            </w:pPr>
            <w:r>
              <w:rPr>
                <w:color w:val="000000"/>
              </w:rPr>
              <w:t>Wholly-Owned, Equity Method Subsidiaries:</w:t>
            </w:r>
          </w:p>
        </w:tc>
        <w:tc>
          <w:tcPr>
            <w:tcW w:w="221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360" w:right="0" w:hanging="180"/>
              <w:jc w:val="left"/>
              <w:rPr>
                <w:color w:val="000000"/>
              </w:rPr>
            </w:pPr>
            <w:r>
              <w:rPr>
                <w:color w:val="000000"/>
              </w:rPr>
              <w:t>South Plains Financial Capital Trusts (“SPFCT”) III-V</w:t>
            </w:r>
          </w:p>
        </w:tc>
        <w:tc>
          <w:tcPr>
            <w:tcW w:w="2210" w:type="dxa"/>
            <w:tcBorders/>
            <w:shd w:fill="CCEEFF" w:val="clear"/>
            <w:vAlign w:val="center"/>
          </w:tcPr>
          <w:p>
            <w:pPr>
              <w:pStyle w:val="TableContents"/>
              <w:bidi w:val="0"/>
              <w:spacing w:before="0" w:after="0"/>
              <w:jc w:val="left"/>
              <w:rPr>
                <w:color w:val="000000"/>
              </w:rPr>
            </w:pPr>
            <w:r>
              <w:rPr>
                <w:color w:val="000000"/>
              </w:rPr>
              <w:t>Non-bank subsidiaries</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Basis of Presentation and Consolidation</w:t>
      </w:r>
      <w:r>
        <w:rPr>
          <w:rFonts w:ascii="Times New Roman" w:hAnsi="Times New Roman"/>
          <w:color w:val="000000"/>
          <w:sz w:val="20"/>
          <w:shd w:fill="FFFFFF" w:val="clear"/>
        </w:rPr>
        <w:t xml:space="preserve"> – The consolidated financial statements in this Quarterly Report on Form 10-Q for the three and six months ended June 30, 2026 (this “Form 10-Q”) include the accounts of SPFI and its wholly-owned consolidated subsidiaries (collectively referred to as the “Company”) identified above. All significant intercompany balances and transactions have been eliminated in consolidation.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U.S.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2025 as filed with the SEC on March 5, 2026 (the “2025 Annual Report on Form 10-K”). Operating results for the interim periods disclosed herein are not necessarily indicative of the results that may be expected for a full year or any future period.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Use of Estimates</w:t>
      </w:r>
      <w:r>
        <w:rPr>
          <w:rFonts w:ascii="Times New Roman" w:hAnsi="Times New Roman"/>
          <w:color w:val="000000"/>
          <w:sz w:val="20"/>
          <w:shd w:fill="FFFFFF" w:val="clear"/>
        </w:rPr>
        <w:t xml:space="preserve"> –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(“ACL”) is a material estimate that is particularly susceptible to significant changes in the near term.</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Recent Accounting Pronouncements</w:t>
      </w:r>
      <w:r>
        <w:rPr>
          <w:rFonts w:ascii="Times New Roman" w:hAnsi="Times New Roman"/>
          <w:color w:val="000000"/>
          <w:sz w:val="20"/>
          <w:shd w:fill="FFFFFF" w:val="clear"/>
        </w:rPr>
        <w:t xml:space="preserve"> – Updates to the Financial Accounting Standards Board (“FASB”) Accounting Standards Codification (“ASC”) are prescribed in Accounting Standards Updates (“ASUs”), which are not authoritative until incorporated into the ASC.</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ASU 2023-06, Disclosure Improvements: Codification Amendments in Response to the SEC’s Disclosure Update and Simplification Initiative. </w:t>
      </w:r>
      <w:r>
        <w:rPr>
          <w:rFonts w:ascii="Times New Roman" w:hAnsi="Times New Roman"/>
          <w:color w:val="000000"/>
          <w:sz w:val="20"/>
          <w:shd w:fill="FFFFFF" w:val="clear"/>
        </w:rPr>
        <w:t>The amendments in this ASU modify the disclosure or presentation requirements of a variety of Topics in the Codification. Certain of the amendments represent clarifications to, or technical corrections of the current requirements. Each amendment in this ASU will only become effective if the SEC removes the related disclosure or presentation requirement from its existing regulations by June 30, 2027. The amendments in this ASU are not expected to have a material impact on the Company’s financial statements.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ASU 2024-03, Income Statement—Reporting Comprehensive Income—Expense Disaggregation Disclosures (Subtopic 220-40)</w:t>
      </w:r>
      <w:r>
        <w:rPr>
          <w:rFonts w:ascii="Times New Roman" w:hAnsi="Times New Roman"/>
          <w:color w:val="000000"/>
          <w:sz w:val="20"/>
          <w:shd w:fill="FFFFFF" w:val="clear"/>
        </w:rPr>
        <w:t>: Disaggregation of Income Statement Expenses. This ASU requires public companies to disclose in tabular format, in the notes to the financial statements, specific disaggregated information about certain prescribed categories of expenses at each interim and annual reporting period. The prescribed categories include, among other things, employee compensation, depreciation, and intangible asset amortization. This ASU is effective for public business entities for annual reporting periods beginning after December 15, 2026, and interim reporting periods beginning after December 15, 2027. Implementation of this ASU may be applied prospectively or retrospectively. The Company does not expect the adoption of this ASU to have a material impact on the Company’s financial statements.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ASU 2025-08 Financial Instruments - Credit Losses (Topic 326): Purchased Loans.</w:t>
      </w:r>
      <w:r>
        <w:rPr>
          <w:rFonts w:ascii="Times New Roman" w:hAnsi="Times New Roman"/>
          <w:color w:val="000000"/>
          <w:sz w:val="20"/>
          <w:shd w:fill="FFFFFF" w:val="clear"/>
        </w:rPr>
        <w:t xml:space="preserve"> This ASU amends the guidance in ASC 326 on the accounting for certain purchased loans. Under this ASU, entities must account for acquired loans (excluding credit cards) that meet certain criteria at acquisition, (“purchased seasoned loans”) by recognizing them at their purchase price plus an allowance for expected credit losses (the “gross-up” approach). This ASU’s amendments align the accounting for purchased seasoned loans with the treatment of financial assets purchased with more-than-insignificant credit deterioration since origination (“PCD”). Purchased seasoned loans (“PSLs”) are defined under this ASU as non-PCD loans that are obtained in a business combination, or non-PCD loans that (1) are obtained in an asset acquisition or upon consolidation of a variable interest entity that is not a business and (2) are acquired more than 90 days after their origination date by a transferee that was not involved in their origination. This ASU also introduces an accounting policy election related to the subsequent measurement of expected credit losses for entities that use a method other than a discounted cash flow analysis to estimate credit losses on purchased seasoned loans. If this accounting policy is elected, entities can use the amortized cost basis of the asset to subsequently measure their allowance for credit losses on loans. The Company did not elect this accounting policy. The Company early adopted ASU 2025-08 on April 1, 2026 on a prospective basis and applied it as part of the purchase accounting for BOH Holdings, Inc. See Note 2 for further discussion of the impact of this ASU.</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ASU 2025-11 Interim Reporting (Topic 270): Narrow-Scope Improvements.</w:t>
      </w:r>
      <w:r>
        <w:rPr>
          <w:rFonts w:ascii="Times New Roman" w:hAnsi="Times New Roman"/>
          <w:color w:val="000000"/>
          <w:sz w:val="20"/>
          <w:shd w:fill="FFFFFF" w:val="clear"/>
        </w:rPr>
        <w:t xml:space="preserve"> This ASU is intended to improve the navigability of the guidance in ASC 270 and clarify when it applies. Under the amendments, an entity is subject to ASC 270 if it provides “interim financial statements and notes in accordance with GAAP.” This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Board stated in the proposed guidance and reiterates in this ASU, the amendments are not intended to “change the fundamental nature of interim reporting or expand or reduce current interim disclosure requirements.” This update is effective for interim reporting periods within annual reporting periods beginning after December 15, 2027, early adoption is permitted. The amendments in this ASU are not expected to have a material impact on the Company's financial statements.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Subsequent Events</w:t>
      </w:r>
      <w:r>
        <w:rPr>
          <w:rFonts w:ascii="Times New Roman" w:hAnsi="Times New Roman"/>
          <w:color w:val="000000"/>
          <w:sz w:val="20"/>
          <w:shd w:fill="FFFFFF" w:val="clear"/>
        </w:rPr>
        <w:t xml:space="preserve"> – The Company has evaluated subsequent events and transactions from June 30, 2026 through the date this Form 10-Q was filed with the SEC for potential recognition or disclosure as required by GAAP.</w:t>
      </w:r>
    </w:p>
    <w:p>
      <w:pPr>
        <w:pStyle w:val="TextBody"/>
        <w:bidi w:val="0"/>
        <w:spacing w:before="0" w:after="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2. BUSINESS COMBINATIONS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1, 2026, SPFI completed the acquisition of BOH Holdings, Inc., a Texas corporation (“BOH”), pursuant to an Agreement and Plan of Reorganization (the “Reorganization Agreement”) dated December 1, 2025, which provided for the acquisition by SPFI of BOH through the merger of BOH with and into SPFI, with SPFI surviving the merger (the “Merger”). The Reorganization Agreement provided that immediately following the consummation of the Merger, Bank of Houston, a Texas state banking association and wholly-owned subsidiary of BOH, would be merged with and into City Bank, a Texas state banking association and wholly-owned subsidiary of SPFI, with City Bank surviving the merger. As a result of the merger, the Company increased its presence in the Houston, Texas market. At March 31, 2026, BOH had approximately $685.0 million in assets, $631.9 million in total gross loans, and $595.6 million in deposits. </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terms of the Reorganization Agreement, shareholders of BOH received 0.1925 shares of the Company’s common stock for each share of BOH common stock held immediately prior to the effective time of the Merger, plus cash, without interest, in lieu of any fractional shares. As a result, the Company issued 2,803,535 shares of its common stock to the former shareholders of BOH.</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was accounted for under ASC 805 as a business combination. Accordingly, the assets acquired and liabilities assumed were recorded at fair value as of the acquisition date. The determination of fair value requires management to make estimates related to discount rates, expected future cash flows, market conditions and other future events that are highly subjective in nature and subject to change. Fair value estimates related to the assets and liabilities from BOH are subject to adjustment for up to one year after the closing date of the acquisition as additional information becomes available. Valuations subject to refinement include, but are not limited to, loans, other assets and other liabilities.</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details the purchase consideration and the preliminary determination of the purchase consideration to the fair value of the assets acquired and liabilities assumed from BOH as of the closing date of the Merger on April 1, 2026 (dollars in thousands):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39" w:name="z35a852792ac34c438f162835b8494cd6"/>
      <w:bookmarkStart w:id="40" w:name="z35a852792ac34c438f162835b8494cd6"/>
      <w:bookmarkEnd w:id="40"/>
    </w:p>
    <w:tbl>
      <w:tblPr>
        <w:tblW w:w="7800" w:type="dxa"/>
        <w:jc w:val="left"/>
        <w:tblInd w:w="0" w:type="dxa"/>
        <w:tblLayout w:type="fixed"/>
        <w:tblCellMar>
          <w:top w:w="0" w:type="dxa"/>
          <w:left w:w="0" w:type="dxa"/>
          <w:bottom w:w="0" w:type="dxa"/>
          <w:right w:w="0" w:type="dxa"/>
        </w:tblCellMar>
      </w:tblPr>
      <w:tblGrid>
        <w:gridCol w:w="6575"/>
        <w:gridCol w:w="90"/>
        <w:gridCol w:w="170"/>
        <w:gridCol w:w="830"/>
        <w:gridCol w:w="135"/>
      </w:tblGrid>
      <w:tr>
        <w:trPr/>
        <w:tc>
          <w:tcPr>
            <w:tcW w:w="6575" w:type="dxa"/>
            <w:tcBorders/>
            <w:vAlign w:val="bottom"/>
          </w:tcPr>
          <w:p>
            <w:pPr>
              <w:pStyle w:val="TableContents"/>
              <w:bidi w:val="0"/>
              <w:spacing w:before="0" w:after="0"/>
              <w:jc w:val="left"/>
              <w:rPr>
                <w:b/>
                <w:color w:val="000000"/>
              </w:rPr>
            </w:pPr>
            <w:r>
              <w:rPr>
                <w:b/>
                <w:color w:val="000000"/>
              </w:rPr>
              <w:t>Purchase consideration:</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0"/>
              <w:ind w:left="180" w:right="0" w:hanging="0"/>
              <w:jc w:val="left"/>
              <w:rPr>
                <w:color w:val="000000"/>
              </w:rPr>
            </w:pPr>
            <w:r>
              <w:rPr>
                <w:color w:val="000000"/>
              </w:rPr>
              <w:t>Fair value of common stock issued</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117,468</w:t>
            </w:r>
          </w:p>
        </w:tc>
        <w:tc>
          <w:tcPr>
            <w:tcW w:w="135"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ind w:left="180" w:right="0" w:hanging="0"/>
              <w:jc w:val="left"/>
              <w:rPr>
                <w:color w:val="000000"/>
              </w:rPr>
            </w:pPr>
            <w:r>
              <w:rPr>
                <w:color w:val="000000"/>
              </w:rPr>
              <w:t>Cash paid to settle outstanding warrants and stock appreciation rights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597</w:t>
            </w:r>
          </w:p>
        </w:tc>
        <w:tc>
          <w:tcPr>
            <w:tcW w:w="135"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0"/>
              <w:ind w:left="180" w:right="0" w:hanging="0"/>
              <w:jc w:val="left"/>
              <w:rPr>
                <w:color w:val="000000"/>
              </w:rPr>
            </w:pPr>
            <w:r>
              <w:rPr>
                <w:color w:val="000000"/>
              </w:rPr>
              <w:t>Cash paid in lieu of fractional shares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w:t>
            </w:r>
          </w:p>
        </w:tc>
        <w:tc>
          <w:tcPr>
            <w:tcW w:w="135"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jc w:val="left"/>
              <w:rPr>
                <w:color w:val="000000"/>
              </w:rPr>
            </w:pPr>
            <w:r>
              <w:rPr>
                <w:color w:val="000000"/>
              </w:rPr>
              <w:t>Total consideration</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118,068</w:t>
            </w:r>
          </w:p>
        </w:tc>
        <w:tc>
          <w:tcPr>
            <w:tcW w:w="135"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jc w:val="left"/>
              <w:rPr>
                <w:b/>
                <w:color w:val="000000"/>
              </w:rPr>
            </w:pPr>
            <w:r>
              <w:rPr>
                <w:b/>
                <w:color w:val="000000"/>
              </w:rPr>
              <w:t>Assets acquired:</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0"/>
              <w:ind w:left="180" w:right="0" w:hanging="0"/>
              <w:jc w:val="left"/>
              <w:rPr>
                <w:color w:val="000000"/>
              </w:rPr>
            </w:pPr>
            <w:r>
              <w:rPr>
                <w:color w:val="000000"/>
              </w:rPr>
              <w:t>Cash and due from banks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4,988</w:t>
            </w:r>
          </w:p>
        </w:tc>
        <w:tc>
          <w:tcPr>
            <w:tcW w:w="135"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ind w:left="180" w:right="0" w:hanging="0"/>
              <w:jc w:val="left"/>
              <w:rPr>
                <w:color w:val="000000"/>
              </w:rPr>
            </w:pPr>
            <w:r>
              <w:rPr>
                <w:color w:val="000000"/>
              </w:rPr>
              <w:t>Interest-bearing deposits in banks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26,435</w:t>
            </w:r>
          </w:p>
        </w:tc>
        <w:tc>
          <w:tcPr>
            <w:tcW w:w="135"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0"/>
              <w:ind w:left="180" w:right="0" w:hanging="0"/>
              <w:jc w:val="left"/>
              <w:rPr>
                <w:color w:val="000000"/>
              </w:rPr>
            </w:pPr>
            <w:r>
              <w:rPr>
                <w:color w:val="000000"/>
              </w:rPr>
              <w:t>Securities available for sale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6,847</w:t>
            </w:r>
          </w:p>
        </w:tc>
        <w:tc>
          <w:tcPr>
            <w:tcW w:w="135"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ind w:left="180" w:right="0" w:hanging="0"/>
              <w:jc w:val="left"/>
              <w:rPr>
                <w:color w:val="000000"/>
              </w:rPr>
            </w:pPr>
            <w:r>
              <w:rPr>
                <w:color w:val="000000"/>
              </w:rPr>
              <w:t>Loans held for investment, net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623,926</w:t>
            </w:r>
          </w:p>
        </w:tc>
        <w:tc>
          <w:tcPr>
            <w:tcW w:w="135"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0"/>
              <w:ind w:left="180" w:right="0" w:hanging="0"/>
              <w:jc w:val="left"/>
              <w:rPr>
                <w:color w:val="000000"/>
              </w:rPr>
            </w:pPr>
            <w:r>
              <w:rPr>
                <w:color w:val="000000"/>
              </w:rPr>
              <w:t>Premises and equipment, net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923</w:t>
            </w:r>
          </w:p>
        </w:tc>
        <w:tc>
          <w:tcPr>
            <w:tcW w:w="135"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ind w:left="180" w:right="0" w:hanging="0"/>
              <w:jc w:val="left"/>
              <w:rPr>
                <w:color w:val="000000"/>
              </w:rPr>
            </w:pPr>
            <w:r>
              <w:rPr>
                <w:color w:val="000000"/>
              </w:rPr>
              <w:t>Bank-owned life insurance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11,214</w:t>
            </w:r>
          </w:p>
        </w:tc>
        <w:tc>
          <w:tcPr>
            <w:tcW w:w="135"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0"/>
              <w:ind w:left="180" w:right="0" w:hanging="0"/>
              <w:jc w:val="left"/>
              <w:rPr>
                <w:color w:val="000000"/>
              </w:rPr>
            </w:pPr>
            <w:r>
              <w:rPr>
                <w:color w:val="000000"/>
              </w:rPr>
              <w:t>Core deposit intangible (10 year life)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4,980</w:t>
            </w:r>
          </w:p>
        </w:tc>
        <w:tc>
          <w:tcPr>
            <w:tcW w:w="135"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ind w:left="180" w:right="0" w:hanging="0"/>
              <w:jc w:val="left"/>
              <w:rPr>
                <w:color w:val="000000"/>
              </w:rPr>
            </w:pPr>
            <w:r>
              <w:rPr>
                <w:color w:val="000000"/>
              </w:rPr>
              <w:t>Deferred tax asset, net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840</w:t>
            </w:r>
          </w:p>
        </w:tc>
        <w:tc>
          <w:tcPr>
            <w:tcW w:w="135"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0"/>
              <w:ind w:left="180" w:right="0" w:hanging="0"/>
              <w:jc w:val="left"/>
              <w:rPr>
                <w:color w:val="000000"/>
              </w:rPr>
            </w:pPr>
            <w:r>
              <w:rPr>
                <w:color w:val="000000"/>
              </w:rPr>
              <w:t>Other assets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5,433</w:t>
            </w:r>
          </w:p>
        </w:tc>
        <w:tc>
          <w:tcPr>
            <w:tcW w:w="135"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jc w:val="left"/>
              <w:rPr>
                <w:color w:val="000000"/>
              </w:rPr>
            </w:pPr>
            <w:r>
              <w:rPr>
                <w:color w:val="000000"/>
              </w:rPr>
              <w:t>Total assets acquired</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685,586</w:t>
            </w:r>
          </w:p>
        </w:tc>
        <w:tc>
          <w:tcPr>
            <w:tcW w:w="135"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jc w:val="left"/>
              <w:rPr>
                <w:b/>
                <w:color w:val="000000"/>
              </w:rPr>
            </w:pPr>
            <w:r>
              <w:rPr>
                <w:b/>
                <w:color w:val="000000"/>
              </w:rPr>
              <w:t>Liabilities assumed:</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0"/>
              <w:ind w:left="180" w:right="0" w:hanging="0"/>
              <w:jc w:val="left"/>
              <w:rPr>
                <w:color w:val="000000"/>
              </w:rPr>
            </w:pPr>
            <w:r>
              <w:rPr>
                <w:color w:val="000000"/>
              </w:rPr>
              <w:t>Noninterest-bearing deposits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92,315</w:t>
            </w:r>
          </w:p>
        </w:tc>
        <w:tc>
          <w:tcPr>
            <w:tcW w:w="135"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ind w:left="180" w:right="0" w:hanging="0"/>
              <w:jc w:val="left"/>
              <w:rPr>
                <w:color w:val="000000"/>
              </w:rPr>
            </w:pPr>
            <w:r>
              <w:rPr>
                <w:color w:val="000000"/>
              </w:rPr>
              <w:t>Interest-bearing deposits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503,530</w:t>
            </w:r>
          </w:p>
        </w:tc>
        <w:tc>
          <w:tcPr>
            <w:tcW w:w="135"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0"/>
              <w:ind w:left="180" w:right="0" w:hanging="0"/>
              <w:jc w:val="left"/>
              <w:rPr>
                <w:color w:val="000000"/>
              </w:rPr>
            </w:pPr>
            <w:r>
              <w:rPr>
                <w:color w:val="000000"/>
              </w:rPr>
              <w:t>Short-term borrowings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15,000</w:t>
            </w:r>
          </w:p>
        </w:tc>
        <w:tc>
          <w:tcPr>
            <w:tcW w:w="135"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ind w:left="180" w:right="0" w:hanging="0"/>
              <w:jc w:val="left"/>
              <w:rPr>
                <w:color w:val="000000"/>
              </w:rPr>
            </w:pPr>
            <w:r>
              <w:rPr>
                <w:color w:val="000000"/>
              </w:rPr>
              <w:t>Accrued expenses and other liabilities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3,950</w:t>
            </w:r>
          </w:p>
        </w:tc>
        <w:tc>
          <w:tcPr>
            <w:tcW w:w="135"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0"/>
              <w:jc w:val="left"/>
              <w:rPr>
                <w:color w:val="000000"/>
              </w:rPr>
            </w:pPr>
            <w:r>
              <w:rPr>
                <w:color w:val="000000"/>
              </w:rPr>
              <w:t>Total liabilities assumed</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614,795</w:t>
            </w:r>
          </w:p>
        </w:tc>
        <w:tc>
          <w:tcPr>
            <w:tcW w:w="135" w:type="dxa"/>
            <w:tcBorders/>
            <w:shd w:fill="CCEEFF" w:val="clear"/>
            <w:vAlign w:val="bottom"/>
          </w:tcPr>
          <w:p>
            <w:pPr>
              <w:pStyle w:val="TableContents"/>
              <w:bidi w:val="0"/>
              <w:spacing w:before="0" w:after="283"/>
              <w:jc w:val="left"/>
              <w:rPr/>
            </w:pPr>
            <w:r>
              <w:rPr/>
              <w:t> </w:t>
            </w:r>
          </w:p>
        </w:tc>
      </w:tr>
      <w:tr>
        <w:trPr/>
        <w:tc>
          <w:tcPr>
            <w:tcW w:w="6575" w:type="dxa"/>
            <w:tcBorders/>
            <w:vAlign w:val="bottom"/>
          </w:tcPr>
          <w:p>
            <w:pPr>
              <w:pStyle w:val="TableContents"/>
              <w:bidi w:val="0"/>
              <w:spacing w:before="0" w:after="0"/>
              <w:jc w:val="left"/>
              <w:rPr>
                <w:color w:val="000000"/>
              </w:rPr>
            </w:pPr>
            <w:r>
              <w:rPr>
                <w:color w:val="000000"/>
              </w:rPr>
              <w:t>Preliminary fair value of net assets acquired</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70,791</w:t>
            </w:r>
          </w:p>
        </w:tc>
        <w:tc>
          <w:tcPr>
            <w:tcW w:w="135" w:type="dxa"/>
            <w:tcBorders/>
            <w:vAlign w:val="bottom"/>
          </w:tcPr>
          <w:p>
            <w:pPr>
              <w:pStyle w:val="TableContents"/>
              <w:bidi w:val="0"/>
              <w:spacing w:before="0" w:after="283"/>
              <w:jc w:val="left"/>
              <w:rPr/>
            </w:pPr>
            <w:r>
              <w:rPr/>
              <w:t> </w:t>
            </w:r>
          </w:p>
        </w:tc>
      </w:tr>
      <w:tr>
        <w:trPr/>
        <w:tc>
          <w:tcPr>
            <w:tcW w:w="6575" w:type="dxa"/>
            <w:tcBorders/>
            <w:shd w:fill="CCEEFF" w:val="clear"/>
            <w:vAlign w:val="bottom"/>
          </w:tcPr>
          <w:p>
            <w:pPr>
              <w:pStyle w:val="TableContents"/>
              <w:bidi w:val="0"/>
              <w:spacing w:before="0" w:after="0"/>
              <w:jc w:val="left"/>
              <w:rPr>
                <w:color w:val="000000"/>
              </w:rPr>
            </w:pPr>
            <w:r>
              <w:rPr>
                <w:color w:val="000000"/>
              </w:rPr>
              <w:t>Preliminary goodwill recorded in acquisition</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47,277</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recorded preliminary goodwill of $47.3 million, none of which is anticipated to be deductible for tax purposes. The preliminary goodwill is primarily attributable to expected synergies, operational efficiencies, and other factors to arise from the transaction.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was a total of $2.6 million of acquisition related expenses recorded in the six months ended June 30, 2026. This total was comprised of $708 thousand in personnel expenses, $1.2 million in professional services expense, and $693 thousand in data conversion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Acquired Loans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Acquired loans were recorded at fair value based on a discounted cash flow valuation methodology that considers, among other things, interest rates, projected default rates, loss given default, and recovery rates. During the valuation process, the Company identified PCD and PSLs in the acquired loan portfolio. Loans acquired with evidence of credit quality deterioration since origination as of the acquisition date were accounted for as PCD. All remaining loans were considered to be PSLs. For both PSLs and PCD loans, the initial estimate of expected credit losses was included in the balance of loans with an offsetting amount recorded to the ACL as of the date of acquisition. Amortization or accretion of discounts or premiums on the acquired loans will be recognized based on payment structure and the contractual maturity of the individual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includes the fair value and unpaid principal balance of the acquired loans on the April 1, 2026 acquisition date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z1959dd7b427c4b5eaad7fe3e12eb1cbc"/>
      <w:bookmarkStart w:id="42" w:name="z1959dd7b427c4b5eaad7fe3e12eb1cbc"/>
      <w:bookmarkEnd w:id="42"/>
    </w:p>
    <w:tbl>
      <w:tblPr>
        <w:tblW w:w="10205" w:type="dxa"/>
        <w:jc w:val="left"/>
        <w:tblInd w:w="0" w:type="dxa"/>
        <w:tblLayout w:type="fixed"/>
        <w:tblCellMar>
          <w:top w:w="0" w:type="dxa"/>
          <w:left w:w="0" w:type="dxa"/>
          <w:bottom w:w="0" w:type="dxa"/>
          <w:right w:w="0" w:type="dxa"/>
        </w:tblCellMar>
      </w:tblPr>
      <w:tblGrid>
        <w:gridCol w:w="1004"/>
        <w:gridCol w:w="90"/>
        <w:gridCol w:w="402"/>
        <w:gridCol w:w="1966"/>
        <w:gridCol w:w="90"/>
        <w:gridCol w:w="90"/>
        <w:gridCol w:w="387"/>
        <w:gridCol w:w="1519"/>
        <w:gridCol w:w="125"/>
        <w:gridCol w:w="90"/>
        <w:gridCol w:w="468"/>
        <w:gridCol w:w="1840"/>
        <w:gridCol w:w="125"/>
        <w:gridCol w:w="90"/>
        <w:gridCol w:w="300"/>
        <w:gridCol w:w="1480"/>
        <w:gridCol w:w="139"/>
      </w:tblGrid>
      <w:tr>
        <w:trPr/>
        <w:tc>
          <w:tcPr>
            <w:tcW w:w="100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Unpaid Principal 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Premium (Discount)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0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ACL on Acquired Loans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Fair Value </w:t>
            </w:r>
          </w:p>
          <w:p>
            <w:pPr>
              <w:pStyle w:val="TableContents"/>
              <w:bidi w:val="0"/>
              <w:spacing w:before="0" w:after="0"/>
              <w:jc w:val="center"/>
              <w:rPr>
                <w:b/>
                <w:color w:val="000000"/>
              </w:rPr>
            </w:pPr>
            <w:r>
              <w:rPr>
                <w:b/>
                <w:color w:val="000000"/>
              </w:rPr>
              <w:t>of Acquired Loans</w:t>
            </w:r>
          </w:p>
        </w:tc>
        <w:tc>
          <w:tcPr>
            <w:tcW w:w="139" w:type="dxa"/>
            <w:tcBorders/>
            <w:vAlign w:val="bottom"/>
          </w:tcPr>
          <w:p>
            <w:pPr>
              <w:pStyle w:val="TableContents"/>
              <w:bidi w:val="0"/>
              <w:spacing w:before="0" w:after="283"/>
              <w:jc w:val="left"/>
              <w:rPr/>
            </w:pPr>
            <w:r>
              <w:rPr/>
              <w:t> </w:t>
            </w:r>
          </w:p>
        </w:tc>
      </w:tr>
      <w:tr>
        <w:trPr/>
        <w:tc>
          <w:tcPr>
            <w:tcW w:w="1004" w:type="dxa"/>
            <w:tcBorders/>
            <w:shd w:fill="CCEEFF" w:val="clear"/>
            <w:vAlign w:val="bottom"/>
          </w:tcPr>
          <w:p>
            <w:pPr>
              <w:pStyle w:val="TableContents"/>
              <w:bidi w:val="0"/>
              <w:spacing w:before="0" w:after="0"/>
              <w:jc w:val="left"/>
              <w:rPr>
                <w:color w:val="000000"/>
              </w:rPr>
            </w:pPr>
            <w:r>
              <w:rPr>
                <w:color w:val="000000"/>
              </w:rPr>
              <w:t>PCD loans</w:t>
            </w:r>
          </w:p>
        </w:tc>
        <w:tc>
          <w:tcPr>
            <w:tcW w:w="90" w:type="dxa"/>
            <w:tcBorders/>
            <w:shd w:fill="CCEEFF" w:val="clear"/>
            <w:vAlign w:val="bottom"/>
          </w:tcPr>
          <w:p>
            <w:pPr>
              <w:pStyle w:val="TableContents"/>
              <w:bidi w:val="0"/>
              <w:spacing w:before="0" w:after="283"/>
              <w:jc w:val="right"/>
              <w:rPr/>
            </w:pPr>
            <w:r>
              <w:rPr/>
              <w:t> </w:t>
            </w:r>
          </w:p>
        </w:tc>
        <w:tc>
          <w:tcPr>
            <w:tcW w:w="402" w:type="dxa"/>
            <w:tcBorders/>
            <w:shd w:fill="CCEEFF" w:val="clear"/>
            <w:vAlign w:val="bottom"/>
          </w:tcPr>
          <w:p>
            <w:pPr>
              <w:pStyle w:val="TableContents"/>
              <w:bidi w:val="0"/>
              <w:spacing w:before="0" w:after="0"/>
              <w:jc w:val="left"/>
              <w:rPr>
                <w:color w:val="000000"/>
              </w:rPr>
            </w:pPr>
            <w:r>
              <w:rPr>
                <w:color w:val="000000"/>
              </w:rPr>
              <w:t>$</w:t>
            </w:r>
          </w:p>
        </w:tc>
        <w:tc>
          <w:tcPr>
            <w:tcW w:w="1966" w:type="dxa"/>
            <w:tcBorders/>
            <w:shd w:fill="CCEEFF" w:val="clear"/>
            <w:vAlign w:val="bottom"/>
          </w:tcPr>
          <w:p>
            <w:pPr>
              <w:pStyle w:val="TableContents"/>
              <w:bidi w:val="0"/>
              <w:spacing w:before="0" w:after="0"/>
              <w:jc w:val="right"/>
              <w:rPr>
                <w:color w:val="000000"/>
              </w:rPr>
            </w:pPr>
            <w:r>
              <w:rPr>
                <w:color w:val="000000"/>
              </w:rPr>
              <w:t>89,004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87" w:type="dxa"/>
            <w:tcBorders/>
            <w:shd w:fill="CCEEFF" w:val="clear"/>
            <w:vAlign w:val="bottom"/>
          </w:tcPr>
          <w:p>
            <w:pPr>
              <w:pStyle w:val="TableContents"/>
              <w:bidi w:val="0"/>
              <w:spacing w:before="0" w:after="0"/>
              <w:jc w:val="left"/>
              <w:rPr>
                <w:color w:val="000000"/>
              </w:rPr>
            </w:pPr>
            <w:r>
              <w:rPr>
                <w:color w:val="000000"/>
              </w:rPr>
              <w:t>$</w:t>
            </w:r>
          </w:p>
        </w:tc>
        <w:tc>
          <w:tcPr>
            <w:tcW w:w="1519" w:type="dxa"/>
            <w:tcBorders/>
            <w:shd w:fill="CCEEFF" w:val="clear"/>
            <w:vAlign w:val="bottom"/>
          </w:tcPr>
          <w:p>
            <w:pPr>
              <w:pStyle w:val="TableContents"/>
              <w:bidi w:val="0"/>
              <w:spacing w:before="0" w:after="0"/>
              <w:jc w:val="right"/>
              <w:rPr>
                <w:color w:val="000000"/>
              </w:rPr>
            </w:pPr>
            <w:r>
              <w:rPr>
                <w:color w:val="000000"/>
              </w:rPr>
              <w:t>(1,579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468" w:type="dxa"/>
            <w:tcBorders/>
            <w:shd w:fill="CCEEFF" w:val="clear"/>
            <w:vAlign w:val="bottom"/>
          </w:tcPr>
          <w:p>
            <w:pPr>
              <w:pStyle w:val="TableContents"/>
              <w:bidi w:val="0"/>
              <w:spacing w:before="0" w:after="0"/>
              <w:jc w:val="left"/>
              <w:rPr>
                <w:color w:val="000000"/>
              </w:rPr>
            </w:pPr>
            <w:r>
              <w:rPr>
                <w:color w:val="000000"/>
              </w:rPr>
              <w:t>$</w:t>
            </w:r>
          </w:p>
        </w:tc>
        <w:tc>
          <w:tcPr>
            <w:tcW w:w="1840" w:type="dxa"/>
            <w:tcBorders/>
            <w:shd w:fill="CCEEFF" w:val="clear"/>
            <w:vAlign w:val="bottom"/>
          </w:tcPr>
          <w:p>
            <w:pPr>
              <w:pStyle w:val="TableContents"/>
              <w:bidi w:val="0"/>
              <w:spacing w:before="0" w:after="0"/>
              <w:jc w:val="right"/>
              <w:rPr>
                <w:color w:val="000000"/>
              </w:rPr>
            </w:pPr>
            <w:r>
              <w:rPr>
                <w:color w:val="000000"/>
              </w:rPr>
              <w:t>(3,173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300" w:type="dxa"/>
            <w:tcBorders/>
            <w:shd w:fill="CCEEFF" w:val="clear"/>
            <w:vAlign w:val="bottom"/>
          </w:tcPr>
          <w:p>
            <w:pPr>
              <w:pStyle w:val="TableContents"/>
              <w:bidi w:val="0"/>
              <w:spacing w:before="0" w:after="0"/>
              <w:jc w:val="left"/>
              <w:rPr>
                <w:color w:val="000000"/>
              </w:rPr>
            </w:pPr>
            <w:r>
              <w:rPr>
                <w:color w:val="000000"/>
              </w:rPr>
              <w:t>$</w:t>
            </w:r>
          </w:p>
        </w:tc>
        <w:tc>
          <w:tcPr>
            <w:tcW w:w="1480" w:type="dxa"/>
            <w:tcBorders/>
            <w:shd w:fill="CCEEFF" w:val="clear"/>
            <w:vAlign w:val="bottom"/>
          </w:tcPr>
          <w:p>
            <w:pPr>
              <w:pStyle w:val="TableContents"/>
              <w:bidi w:val="0"/>
              <w:spacing w:before="0" w:after="0"/>
              <w:jc w:val="right"/>
              <w:rPr>
                <w:color w:val="000000"/>
              </w:rPr>
            </w:pPr>
            <w:r>
              <w:rPr>
                <w:color w:val="000000"/>
              </w:rPr>
              <w:t>84,252</w:t>
            </w:r>
          </w:p>
        </w:tc>
        <w:tc>
          <w:tcPr>
            <w:tcW w:w="139" w:type="dxa"/>
            <w:tcBorders/>
            <w:shd w:fill="CCEEFF" w:val="clear"/>
            <w:vAlign w:val="bottom"/>
          </w:tcPr>
          <w:p>
            <w:pPr>
              <w:pStyle w:val="TableContents"/>
              <w:bidi w:val="0"/>
              <w:spacing w:before="0" w:after="283"/>
              <w:jc w:val="left"/>
              <w:rPr/>
            </w:pPr>
            <w:r>
              <w:rPr/>
              <w:t> </w:t>
            </w:r>
          </w:p>
        </w:tc>
      </w:tr>
      <w:tr>
        <w:trPr/>
        <w:tc>
          <w:tcPr>
            <w:tcW w:w="1004" w:type="dxa"/>
            <w:tcBorders/>
            <w:vAlign w:val="bottom"/>
          </w:tcPr>
          <w:p>
            <w:pPr>
              <w:pStyle w:val="TableContents"/>
              <w:bidi w:val="0"/>
              <w:spacing w:before="0" w:after="0"/>
              <w:jc w:val="left"/>
              <w:rPr>
                <w:color w:val="000000"/>
              </w:rPr>
            </w:pPr>
            <w:r>
              <w:rPr>
                <w:color w:val="000000"/>
              </w:rPr>
              <w:t>PSLs</w:t>
            </w:r>
          </w:p>
        </w:tc>
        <w:tc>
          <w:tcPr>
            <w:tcW w:w="90" w:type="dxa"/>
            <w:tcBorders/>
            <w:vAlign w:val="bottom"/>
          </w:tcPr>
          <w:p>
            <w:pPr>
              <w:pStyle w:val="TableContents"/>
              <w:bidi w:val="0"/>
              <w:spacing w:before="0" w:after="283"/>
              <w:jc w:val="right"/>
              <w:rPr/>
            </w:pPr>
            <w:r>
              <w:rPr/>
              <w:t> </w:t>
            </w:r>
          </w:p>
        </w:tc>
        <w:tc>
          <w:tcPr>
            <w:tcW w:w="402" w:type="dxa"/>
            <w:tcBorders>
              <w:bottom w:val="single" w:sz="12" w:space="0" w:color="000000"/>
            </w:tcBorders>
            <w:tcMar>
              <w:bottom w:w="28" w:type="dxa"/>
            </w:tcMar>
            <w:vAlign w:val="bottom"/>
          </w:tcPr>
          <w:p>
            <w:pPr>
              <w:pStyle w:val="TableContents"/>
              <w:bidi w:val="0"/>
              <w:spacing w:before="0" w:after="283"/>
              <w:jc w:val="left"/>
              <w:rPr/>
            </w:pPr>
            <w:r>
              <w:rPr/>
              <w:t> </w:t>
            </w:r>
          </w:p>
        </w:tc>
        <w:tc>
          <w:tcPr>
            <w:tcW w:w="196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543,503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5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1,471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8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(5,300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3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539,674</w:t>
            </w:r>
          </w:p>
        </w:tc>
        <w:tc>
          <w:tcPr>
            <w:tcW w:w="139" w:type="dxa"/>
            <w:tcBorders/>
            <w:vAlign w:val="bottom"/>
          </w:tcPr>
          <w:p>
            <w:pPr>
              <w:pStyle w:val="TableContents"/>
              <w:bidi w:val="0"/>
              <w:spacing w:before="0" w:after="283"/>
              <w:jc w:val="left"/>
              <w:rPr/>
            </w:pPr>
            <w:r>
              <w:rPr/>
              <w:t> </w:t>
            </w:r>
          </w:p>
        </w:tc>
      </w:tr>
      <w:tr>
        <w:trPr/>
        <w:tc>
          <w:tcPr>
            <w:tcW w:w="1004"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0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96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632,507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8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46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8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(8,473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30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623,926</w:t>
            </w:r>
          </w:p>
        </w:tc>
        <w:tc>
          <w:tcPr>
            <w:tcW w:w="139"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Pro Forma Information (unaudited)</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results of operations of BOH have been included in the Company’s consolidated financial statements prospectively beginning on April 1, 2026. The Company has determined it is impractical to disclose stand-alone revenues and earnings for the former BOH operations for the period subsequent to the acquisition date due to the streamlining and integration of processes. The following table presents selected unaudited pro forma financial information reflecting the acquisition of BOH assuming the Merger was completed as of January 1, 2025. The unaudited pro forma financial information includes adjustments for scheduled amortization and accretion of significant fair value adjustments recorded at the acquisition. The unaudited pro forma financial information is presented for illustrative purposes only and is not necessarily indicative of the combined financial results of the Company and BOH had the transaction actually been completed at the beginning of the periods presented, nor does it indicate future results for any other interim or full-year period.</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Information for the three and six months ended June 30, 2026 reflects the actual results of the Company, excluding merger costs, and the actual results of BOH for the three months ended March 31, 2026, excluding merger costs and including amortization of intangible assets. Information for the three and six months ended June 30, 2025, includes BOH’s actual results for those periods and reflects adjustments related to the amortization of intangible assets.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z31a3eb5b54af48b08e5aeca013ebe689"/>
      <w:bookmarkStart w:id="44" w:name="z31a3eb5b54af48b08e5aeca013ebe689"/>
      <w:bookmarkEnd w:id="44"/>
    </w:p>
    <w:tbl>
      <w:tblPr>
        <w:tblW w:w="7076" w:type="dxa"/>
        <w:jc w:val="left"/>
        <w:tblInd w:w="0" w:type="dxa"/>
        <w:tblLayout w:type="fixed"/>
        <w:tblCellMar>
          <w:top w:w="0" w:type="dxa"/>
          <w:left w:w="0" w:type="dxa"/>
          <w:bottom w:w="0" w:type="dxa"/>
          <w:right w:w="0" w:type="dxa"/>
        </w:tblCellMar>
      </w:tblPr>
      <w:tblGrid>
        <w:gridCol w:w="2255"/>
        <w:gridCol w:w="90"/>
        <w:gridCol w:w="196"/>
        <w:gridCol w:w="819"/>
        <w:gridCol w:w="103"/>
        <w:gridCol w:w="103"/>
        <w:gridCol w:w="196"/>
        <w:gridCol w:w="819"/>
        <w:gridCol w:w="90"/>
        <w:gridCol w:w="90"/>
        <w:gridCol w:w="170"/>
        <w:gridCol w:w="830"/>
        <w:gridCol w:w="90"/>
        <w:gridCol w:w="90"/>
        <w:gridCol w:w="170"/>
        <w:gridCol w:w="830"/>
        <w:gridCol w:w="135"/>
      </w:tblGrid>
      <w:tr>
        <w:trPr/>
        <w:tc>
          <w:tcPr>
            <w:tcW w:w="225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35"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b/>
                <w:color w:val="000000"/>
              </w:rPr>
            </w:pPr>
            <w:r>
              <w:rPr>
                <w:b/>
                <w:color w:val="000000"/>
              </w:rPr>
              <w:t>(dollars in thousands)</w:t>
            </w:r>
          </w:p>
        </w:tc>
        <w:tc>
          <w:tcPr>
            <w:tcW w:w="9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lineRule="auto" w:line="240" w:before="0" w:after="0"/>
              <w:jc w:val="left"/>
              <w:rPr>
                <w:color w:val="000000"/>
              </w:rPr>
            </w:pPr>
            <w:r>
              <w:rPr>
                <w:color w:val="000000"/>
              </w:rPr>
              <w:t>Total revenue(1)</w:t>
            </w:r>
          </w:p>
        </w:tc>
        <w:tc>
          <w:tcPr>
            <w:tcW w:w="90"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47,588</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46,068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132,997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131,951</w:t>
            </w:r>
          </w:p>
        </w:tc>
        <w:tc>
          <w:tcPr>
            <w:tcW w:w="135"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color w:val="000000"/>
              </w:rPr>
            </w:pPr>
            <w:r>
              <w:rPr>
                <w:color w:val="000000"/>
              </w:rPr>
              <w:t>Net income</w:t>
            </w:r>
          </w:p>
        </w:tc>
        <w:tc>
          <w:tcPr>
            <w:tcW w:w="90" w:type="dxa"/>
            <w:tcBorders/>
            <w:vAlign w:val="bottom"/>
          </w:tcPr>
          <w:p>
            <w:pPr>
              <w:pStyle w:val="TableContents"/>
              <w:bidi w:val="0"/>
              <w:spacing w:before="0" w:after="283"/>
              <w:jc w:val="righ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18,074</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righ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14,925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38,784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38,545</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(1) Total revenue is defined as the sum of net interest income plus non-interest income.</w:t>
      </w:r>
    </w:p>
    <w:p>
      <w:pPr>
        <w:pStyle w:val="TextBody"/>
        <w:bidi w:val="0"/>
        <w:spacing w:before="0" w:after="0"/>
        <w:jc w:val="left"/>
        <w:rPr/>
      </w:pPr>
      <w:r>
        <w:rPr/>
      </w:r>
    </w:p>
    <w:p>
      <w:pPr>
        <w:pStyle w:val="TextBody"/>
        <w:bidi w:val="0"/>
        <w:spacing w:before="180" w:after="18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180" w:after="180"/>
        <w:jc w:val="left"/>
        <w:rPr/>
      </w:pPr>
      <w:r>
        <w:rPr/>
      </w:r>
    </w:p>
    <w:p>
      <w:pPr>
        <w:pStyle w:val="TextBody"/>
        <w:bidi w:val="0"/>
        <w:spacing w:before="180" w:after="18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3.  SECURITIES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available for sale are summarized as follows as of the dates presented below (dollars in thousands):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45" w:name="z2b189643afa249bd85bc1aabdfda7c1a"/>
      <w:bookmarkStart w:id="46" w:name="z2b189643afa249bd85bc1aabdfda7c1a"/>
      <w:bookmarkEnd w:id="46"/>
    </w:p>
    <w:tbl>
      <w:tblPr>
        <w:tblW w:w="10205" w:type="dxa"/>
        <w:jc w:val="left"/>
        <w:tblInd w:w="0" w:type="dxa"/>
        <w:tblLayout w:type="fixed"/>
        <w:tblCellMar>
          <w:top w:w="0" w:type="dxa"/>
          <w:left w:w="0" w:type="dxa"/>
          <w:bottom w:w="0" w:type="dxa"/>
          <w:right w:w="0" w:type="dxa"/>
        </w:tblCellMar>
      </w:tblPr>
      <w:tblGrid>
        <w:gridCol w:w="3660"/>
        <w:gridCol w:w="90"/>
        <w:gridCol w:w="192"/>
        <w:gridCol w:w="938"/>
        <w:gridCol w:w="90"/>
        <w:gridCol w:w="90"/>
        <w:gridCol w:w="340"/>
        <w:gridCol w:w="820"/>
        <w:gridCol w:w="90"/>
        <w:gridCol w:w="90"/>
        <w:gridCol w:w="206"/>
        <w:gridCol w:w="954"/>
        <w:gridCol w:w="125"/>
        <w:gridCol w:w="90"/>
        <w:gridCol w:w="642"/>
        <w:gridCol w:w="473"/>
        <w:gridCol w:w="90"/>
        <w:gridCol w:w="90"/>
        <w:gridCol w:w="170"/>
        <w:gridCol w:w="830"/>
        <w:gridCol w:w="135"/>
      </w:tblGrid>
      <w:tr>
        <w:trPr/>
        <w:tc>
          <w:tcPr>
            <w:tcW w:w="36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Gains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 xml:space="preserve">Gross </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Allowance</w:t>
            </w:r>
          </w:p>
          <w:p>
            <w:pPr>
              <w:pStyle w:val="TableContents"/>
              <w:bidi w:val="0"/>
              <w:spacing w:before="0" w:after="0"/>
              <w:jc w:val="center"/>
              <w:rPr>
                <w:b/>
                <w:color w:val="000000"/>
              </w:rPr>
            </w:pPr>
            <w:r>
              <w:rPr>
                <w:b/>
                <w:color w:val="000000"/>
              </w:rPr>
              <w:t>for Credit</w:t>
            </w:r>
          </w:p>
          <w:p>
            <w:pPr>
              <w:pStyle w:val="TableContents"/>
              <w:bidi w:val="0"/>
              <w:spacing w:before="0" w:after="0"/>
              <w:jc w:val="center"/>
              <w:rPr>
                <w:b/>
                <w:color w:val="000000"/>
              </w:rPr>
            </w:pPr>
            <w:r>
              <w:rPr>
                <w:b/>
                <w:color w:val="000000"/>
              </w:rPr>
              <w:t>Losses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135" w:type="dxa"/>
            <w:tcBorders/>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0"/>
              <w:jc w:val="left"/>
              <w:rPr>
                <w:color w:val="000000"/>
                <w:u w:val="single"/>
              </w:rPr>
            </w:pPr>
            <w:r>
              <w:rPr>
                <w:color w:val="000000"/>
                <w:u w:val="single"/>
              </w:rPr>
              <w:t>June 30, 2026</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0"/>
              <w:jc w:val="left"/>
              <w:rPr>
                <w:color w:val="000000"/>
              </w:rPr>
            </w:pPr>
            <w:r>
              <w:rPr>
                <w:color w:val="000000"/>
              </w:rPr>
              <w:t>Available for sale:</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660" w:type="dxa"/>
            <w:tcBorders/>
            <w:shd w:fill="CCEEFF" w:val="clear"/>
            <w:vAlign w:val="bottom"/>
          </w:tcPr>
          <w:p>
            <w:pPr>
              <w:pStyle w:val="TableContents"/>
              <w:bidi w:val="0"/>
              <w:spacing w:before="0" w:after="0"/>
              <w:ind w:left="180" w:right="0" w:hanging="0"/>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938" w:type="dxa"/>
            <w:tcBorders/>
            <w:shd w:fill="CCEEFF" w:val="clear"/>
            <w:vAlign w:val="bottom"/>
          </w:tcPr>
          <w:p>
            <w:pPr>
              <w:pStyle w:val="TableContents"/>
              <w:bidi w:val="0"/>
              <w:spacing w:before="0" w:after="0"/>
              <w:jc w:val="right"/>
              <w:rPr>
                <w:color w:val="000000"/>
              </w:rPr>
            </w:pPr>
            <w:r>
              <w:rPr>
                <w:color w:val="000000"/>
              </w:rPr>
              <w:t>197,674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0" w:type="dxa"/>
            <w:tcBorders/>
            <w:shd w:fill="CCEEFF" w:val="clear"/>
            <w:vAlign w:val="bottom"/>
          </w:tcPr>
          <w:p>
            <w:pPr>
              <w:pStyle w:val="TableContents"/>
              <w:bidi w:val="0"/>
              <w:spacing w:before="0" w:after="0"/>
              <w:jc w:val="left"/>
              <w:rPr>
                <w:color w:val="000000"/>
              </w:rPr>
            </w:pPr>
            <w:r>
              <w:rPr>
                <w:color w:val="000000"/>
              </w:rPr>
              <w:t>$</w:t>
            </w:r>
          </w:p>
        </w:tc>
        <w:tc>
          <w:tcPr>
            <w:tcW w:w="820" w:type="dxa"/>
            <w:tcBorders/>
            <w:shd w:fill="CCEEFF" w:val="clear"/>
            <w:vAlign w:val="bottom"/>
          </w:tcPr>
          <w:p>
            <w:pPr>
              <w:pStyle w:val="TableContents"/>
              <w:bidi w:val="0"/>
              <w:spacing w:before="0" w:after="0"/>
              <w:jc w:val="right"/>
              <w:rPr>
                <w:color w:val="000000"/>
              </w:rPr>
            </w:pPr>
            <w:r>
              <w:rPr>
                <w:color w:val="000000"/>
              </w:rPr>
              <w:t>554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color w:val="000000"/>
              </w:rPr>
            </w:pPr>
            <w:r>
              <w:rPr>
                <w:color w:val="000000"/>
              </w:rPr>
              <w:t>$</w:t>
            </w:r>
          </w:p>
        </w:tc>
        <w:tc>
          <w:tcPr>
            <w:tcW w:w="954" w:type="dxa"/>
            <w:tcBorders/>
            <w:shd w:fill="CCEEFF" w:val="clear"/>
            <w:vAlign w:val="bottom"/>
          </w:tcPr>
          <w:p>
            <w:pPr>
              <w:pStyle w:val="TableContents"/>
              <w:bidi w:val="0"/>
              <w:spacing w:before="0" w:after="0"/>
              <w:jc w:val="right"/>
              <w:rPr>
                <w:color w:val="000000"/>
              </w:rPr>
            </w:pPr>
            <w:r>
              <w:rPr>
                <w:color w:val="000000"/>
              </w:rPr>
              <w:t>(20,442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642" w:type="dxa"/>
            <w:tcBorders/>
            <w:shd w:fill="CCEEFF" w:val="clear"/>
            <w:vAlign w:val="bottom"/>
          </w:tcPr>
          <w:p>
            <w:pPr>
              <w:pStyle w:val="TableContents"/>
              <w:bidi w:val="0"/>
              <w:spacing w:before="0" w:after="0"/>
              <w:jc w:val="left"/>
              <w:rPr>
                <w:color w:val="000000"/>
              </w:rPr>
            </w:pPr>
            <w:r>
              <w:rPr>
                <w:color w:val="000000"/>
              </w:rPr>
              <w:t>$</w:t>
            </w:r>
          </w:p>
        </w:tc>
        <w:tc>
          <w:tcPr>
            <w:tcW w:w="47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177,786</w:t>
            </w:r>
          </w:p>
        </w:tc>
        <w:tc>
          <w:tcPr>
            <w:tcW w:w="135" w:type="dxa"/>
            <w:tcBorders/>
            <w:shd w:fill="CCEEFF" w:val="clear"/>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0"/>
              <w:ind w:left="180" w:right="0" w:hanging="0"/>
              <w:jc w:val="left"/>
              <w:rPr>
                <w:color w:val="000000"/>
              </w:rPr>
            </w:pPr>
            <w:r>
              <w:rPr>
                <w:color w:val="000000"/>
              </w:rPr>
              <w:t>Residential mortgage-backed securities</w:t>
            </w:r>
          </w:p>
        </w:tc>
        <w:tc>
          <w:tcPr>
            <w:tcW w:w="9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288,743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107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0"/>
              <w:jc w:val="right"/>
              <w:rPr>
                <w:color w:val="000000"/>
              </w:rPr>
            </w:pPr>
            <w:r>
              <w:rPr>
                <w:color w:val="000000"/>
              </w:rPr>
              <w:t>(41,857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246,993</w:t>
            </w:r>
          </w:p>
        </w:tc>
        <w:tc>
          <w:tcPr>
            <w:tcW w:w="135" w:type="dxa"/>
            <w:tcBorders/>
            <w:vAlign w:val="bottom"/>
          </w:tcPr>
          <w:p>
            <w:pPr>
              <w:pStyle w:val="TableContents"/>
              <w:bidi w:val="0"/>
              <w:spacing w:before="0" w:after="283"/>
              <w:jc w:val="left"/>
              <w:rPr/>
            </w:pPr>
            <w:r>
              <w:rPr/>
              <w:t> </w:t>
            </w:r>
          </w:p>
        </w:tc>
      </w:tr>
      <w:tr>
        <w:trPr/>
        <w:tc>
          <w:tcPr>
            <w:tcW w:w="3660" w:type="dxa"/>
            <w:tcBorders/>
            <w:shd w:fill="CCEEFF" w:val="clear"/>
            <w:vAlign w:val="bottom"/>
          </w:tcPr>
          <w:p>
            <w:pPr>
              <w:pStyle w:val="TableContents"/>
              <w:bidi w:val="0"/>
              <w:spacing w:before="0" w:after="0"/>
              <w:ind w:left="180" w:right="0" w:hanging="0"/>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50,587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0"/>
              <w:jc w:val="right"/>
              <w:rPr>
                <w:color w:val="000000"/>
              </w:rPr>
            </w:pPr>
            <w:r>
              <w:rPr>
                <w:color w:val="000000"/>
              </w:rPr>
              <w:t>(4,302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642"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46,285</w:t>
            </w:r>
          </w:p>
        </w:tc>
        <w:tc>
          <w:tcPr>
            <w:tcW w:w="135" w:type="dxa"/>
            <w:tcBorders/>
            <w:shd w:fill="CCEEFF" w:val="clear"/>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0"/>
              <w:ind w:left="180" w:right="0" w:hanging="0"/>
              <w:jc w:val="left"/>
              <w:rPr>
                <w:color w:val="000000"/>
              </w:rPr>
            </w:pPr>
            <w:r>
              <w:rPr>
                <w:color w:val="000000"/>
              </w:rPr>
              <w:t>Commercial collateralized mortgage obligations</w:t>
            </w:r>
          </w:p>
        </w:tc>
        <w:tc>
          <w:tcPr>
            <w:tcW w:w="9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66,689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0"/>
              <w:jc w:val="right"/>
              <w:rPr>
                <w:color w:val="000000"/>
              </w:rPr>
            </w:pPr>
            <w:r>
              <w:rPr>
                <w:color w:val="000000"/>
              </w:rPr>
              <w:t>(168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66,525</w:t>
            </w:r>
          </w:p>
        </w:tc>
        <w:tc>
          <w:tcPr>
            <w:tcW w:w="135" w:type="dxa"/>
            <w:tcBorders/>
            <w:vAlign w:val="bottom"/>
          </w:tcPr>
          <w:p>
            <w:pPr>
              <w:pStyle w:val="TableContents"/>
              <w:bidi w:val="0"/>
              <w:spacing w:before="0" w:after="283"/>
              <w:jc w:val="left"/>
              <w:rPr/>
            </w:pPr>
            <w:r>
              <w:rPr/>
              <w:t> </w:t>
            </w:r>
          </w:p>
        </w:tc>
      </w:tr>
      <w:tr>
        <w:trPr/>
        <w:tc>
          <w:tcPr>
            <w:tcW w:w="3660" w:type="dxa"/>
            <w:tcBorders/>
            <w:shd w:fill="CCEEFF" w:val="clear"/>
            <w:vAlign w:val="bottom"/>
          </w:tcPr>
          <w:p>
            <w:pPr>
              <w:pStyle w:val="TableContents"/>
              <w:bidi w:val="0"/>
              <w:spacing w:before="0" w:after="0"/>
              <w:ind w:left="180" w:right="0" w:hanging="0"/>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13,001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0"/>
              <w:jc w:val="right"/>
              <w:rPr>
                <w:color w:val="000000"/>
              </w:rPr>
            </w:pPr>
            <w:r>
              <w:rPr>
                <w:color w:val="000000"/>
              </w:rPr>
              <w:t>(951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642"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12,050</w:t>
            </w:r>
          </w:p>
        </w:tc>
        <w:tc>
          <w:tcPr>
            <w:tcW w:w="135" w:type="dxa"/>
            <w:tcBorders/>
            <w:shd w:fill="CCEEFF" w:val="clear"/>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0"/>
              <w:ind w:left="180" w:right="0" w:hanging="0"/>
              <w:jc w:val="left"/>
              <w:rPr>
                <w:color w:val="000000"/>
              </w:rPr>
            </w:pPr>
            <w:r>
              <w:rPr>
                <w:color w:val="000000"/>
              </w:rPr>
              <w:t>Other securities</w:t>
            </w:r>
          </w:p>
        </w:tc>
        <w:tc>
          <w:tcPr>
            <w:tcW w:w="90"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5,599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5,788</w:t>
            </w:r>
          </w:p>
        </w:tc>
        <w:tc>
          <w:tcPr>
            <w:tcW w:w="135" w:type="dxa"/>
            <w:tcBorders/>
            <w:vAlign w:val="bottom"/>
          </w:tcPr>
          <w:p>
            <w:pPr>
              <w:pStyle w:val="TableContents"/>
              <w:bidi w:val="0"/>
              <w:spacing w:before="0" w:after="283"/>
              <w:jc w:val="left"/>
              <w:rPr/>
            </w:pPr>
            <w:r>
              <w:rPr/>
              <w:t> </w:t>
            </w:r>
          </w:p>
        </w:tc>
      </w:tr>
      <w:tr>
        <w:trPr/>
        <w:tc>
          <w:tcPr>
            <w:tcW w:w="36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622,293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5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(67,782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64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7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555,427</w:t>
            </w:r>
          </w:p>
        </w:tc>
        <w:tc>
          <w:tcPr>
            <w:tcW w:w="135" w:type="dxa"/>
            <w:tcBorders/>
            <w:shd w:fill="CCEEFF" w:val="clear"/>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660" w:type="dxa"/>
            <w:tcBorders/>
            <w:shd w:fill="CCEEFF" w:val="clear"/>
            <w:vAlign w:val="bottom"/>
          </w:tcPr>
          <w:p>
            <w:pPr>
              <w:pStyle w:val="TableContents"/>
              <w:bidi w:val="0"/>
              <w:spacing w:before="0" w:after="0"/>
              <w:jc w:val="left"/>
              <w:rPr>
                <w:color w:val="000000"/>
                <w:u w:val="single"/>
              </w:rPr>
            </w:pPr>
            <w:r>
              <w:rPr>
                <w:color w:val="000000"/>
                <w:u w:val="single"/>
              </w:rPr>
              <w:t>December 31, 2025</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42"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0"/>
              <w:jc w:val="left"/>
              <w:rPr>
                <w:color w:val="000000"/>
              </w:rPr>
            </w:pPr>
            <w:r>
              <w:rPr>
                <w:color w:val="000000"/>
              </w:rPr>
              <w:t>Available for sale:</w:t>
            </w:r>
          </w:p>
        </w:tc>
        <w:tc>
          <w:tcPr>
            <w:tcW w:w="9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660" w:type="dxa"/>
            <w:tcBorders/>
            <w:shd w:fill="CCEEFF" w:val="clear"/>
            <w:vAlign w:val="bottom"/>
          </w:tcPr>
          <w:p>
            <w:pPr>
              <w:pStyle w:val="TableContents"/>
              <w:bidi w:val="0"/>
              <w:spacing w:before="0" w:after="0"/>
              <w:ind w:left="180" w:right="0" w:hanging="0"/>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938" w:type="dxa"/>
            <w:tcBorders/>
            <w:shd w:fill="CCEEFF" w:val="clear"/>
            <w:vAlign w:val="bottom"/>
          </w:tcPr>
          <w:p>
            <w:pPr>
              <w:pStyle w:val="TableContents"/>
              <w:bidi w:val="0"/>
              <w:spacing w:before="0" w:after="0"/>
              <w:jc w:val="right"/>
              <w:rPr>
                <w:color w:val="000000"/>
              </w:rPr>
            </w:pPr>
            <w:r>
              <w:rPr>
                <w:color w:val="000000"/>
              </w:rPr>
              <w:t>199,417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0" w:type="dxa"/>
            <w:tcBorders/>
            <w:shd w:fill="CCEEFF" w:val="clear"/>
            <w:vAlign w:val="bottom"/>
          </w:tcPr>
          <w:p>
            <w:pPr>
              <w:pStyle w:val="TableContents"/>
              <w:bidi w:val="0"/>
              <w:spacing w:before="0" w:after="0"/>
              <w:jc w:val="left"/>
              <w:rPr>
                <w:color w:val="000000"/>
              </w:rPr>
            </w:pPr>
            <w:r>
              <w:rPr>
                <w:color w:val="000000"/>
              </w:rPr>
              <w:t>$</w:t>
            </w:r>
          </w:p>
        </w:tc>
        <w:tc>
          <w:tcPr>
            <w:tcW w:w="820" w:type="dxa"/>
            <w:tcBorders/>
            <w:shd w:fill="CCEEFF" w:val="clear"/>
            <w:vAlign w:val="bottom"/>
          </w:tcPr>
          <w:p>
            <w:pPr>
              <w:pStyle w:val="TableContents"/>
              <w:bidi w:val="0"/>
              <w:spacing w:before="0" w:after="0"/>
              <w:jc w:val="right"/>
              <w:rPr>
                <w:color w:val="000000"/>
              </w:rPr>
            </w:pPr>
            <w:r>
              <w:rPr>
                <w:color w:val="000000"/>
              </w:rPr>
              <w:t>388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color w:val="000000"/>
              </w:rPr>
            </w:pPr>
            <w:r>
              <w:rPr>
                <w:color w:val="000000"/>
              </w:rPr>
              <w:t>$</w:t>
            </w:r>
          </w:p>
        </w:tc>
        <w:tc>
          <w:tcPr>
            <w:tcW w:w="954" w:type="dxa"/>
            <w:tcBorders/>
            <w:shd w:fill="CCEEFF" w:val="clear"/>
            <w:vAlign w:val="bottom"/>
          </w:tcPr>
          <w:p>
            <w:pPr>
              <w:pStyle w:val="TableContents"/>
              <w:bidi w:val="0"/>
              <w:spacing w:before="0" w:after="0"/>
              <w:jc w:val="right"/>
              <w:rPr>
                <w:color w:val="000000"/>
              </w:rPr>
            </w:pPr>
            <w:r>
              <w:rPr>
                <w:color w:val="000000"/>
              </w:rPr>
              <w:t>(23,500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642" w:type="dxa"/>
            <w:tcBorders/>
            <w:shd w:fill="CCEEFF" w:val="clear"/>
            <w:vAlign w:val="bottom"/>
          </w:tcPr>
          <w:p>
            <w:pPr>
              <w:pStyle w:val="TableContents"/>
              <w:bidi w:val="0"/>
              <w:spacing w:before="0" w:after="0"/>
              <w:jc w:val="left"/>
              <w:rPr>
                <w:color w:val="000000"/>
              </w:rPr>
            </w:pPr>
            <w:r>
              <w:rPr>
                <w:color w:val="000000"/>
              </w:rPr>
              <w:t>$</w:t>
            </w:r>
          </w:p>
        </w:tc>
        <w:tc>
          <w:tcPr>
            <w:tcW w:w="47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176,305</w:t>
            </w:r>
          </w:p>
        </w:tc>
        <w:tc>
          <w:tcPr>
            <w:tcW w:w="135" w:type="dxa"/>
            <w:tcBorders/>
            <w:shd w:fill="CCEEFF" w:val="clear"/>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0"/>
              <w:ind w:left="180" w:right="0" w:hanging="0"/>
              <w:jc w:val="left"/>
              <w:rPr>
                <w:color w:val="000000"/>
              </w:rPr>
            </w:pPr>
            <w:r>
              <w:rPr>
                <w:color w:val="000000"/>
              </w:rPr>
              <w:t>Residential mortgage-backed securities</w:t>
            </w:r>
          </w:p>
        </w:tc>
        <w:tc>
          <w:tcPr>
            <w:tcW w:w="9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302,711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130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0"/>
              <w:jc w:val="right"/>
              <w:rPr>
                <w:color w:val="000000"/>
              </w:rPr>
            </w:pPr>
            <w:r>
              <w:rPr>
                <w:color w:val="000000"/>
              </w:rPr>
              <w:t>(42,081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260,760</w:t>
            </w:r>
          </w:p>
        </w:tc>
        <w:tc>
          <w:tcPr>
            <w:tcW w:w="135" w:type="dxa"/>
            <w:tcBorders/>
            <w:vAlign w:val="bottom"/>
          </w:tcPr>
          <w:p>
            <w:pPr>
              <w:pStyle w:val="TableContents"/>
              <w:bidi w:val="0"/>
              <w:spacing w:before="0" w:after="283"/>
              <w:jc w:val="left"/>
              <w:rPr/>
            </w:pPr>
            <w:r>
              <w:rPr/>
              <w:t> </w:t>
            </w:r>
          </w:p>
        </w:tc>
      </w:tr>
      <w:tr>
        <w:trPr/>
        <w:tc>
          <w:tcPr>
            <w:tcW w:w="3660" w:type="dxa"/>
            <w:tcBorders/>
            <w:shd w:fill="CCEEFF" w:val="clear"/>
            <w:vAlign w:val="bottom"/>
          </w:tcPr>
          <w:p>
            <w:pPr>
              <w:pStyle w:val="TableContents"/>
              <w:bidi w:val="0"/>
              <w:spacing w:before="0" w:after="0"/>
              <w:ind w:left="180" w:right="0" w:hanging="0"/>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48,769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0"/>
              <w:jc w:val="right"/>
              <w:rPr>
                <w:color w:val="000000"/>
              </w:rPr>
            </w:pPr>
            <w:r>
              <w:rPr>
                <w:color w:val="000000"/>
              </w:rPr>
              <w:t>(3,983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642"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44,786</w:t>
            </w:r>
          </w:p>
        </w:tc>
        <w:tc>
          <w:tcPr>
            <w:tcW w:w="135" w:type="dxa"/>
            <w:tcBorders/>
            <w:shd w:fill="CCEEFF" w:val="clear"/>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0"/>
              <w:ind w:left="180" w:right="0" w:hanging="0"/>
              <w:jc w:val="left"/>
              <w:rPr>
                <w:color w:val="000000"/>
              </w:rPr>
            </w:pPr>
            <w:r>
              <w:rPr>
                <w:color w:val="000000"/>
              </w:rPr>
              <w:t>Commercial collateralized mortgage obligations</w:t>
            </w:r>
          </w:p>
        </w:tc>
        <w:tc>
          <w:tcPr>
            <w:tcW w:w="9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67,708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before="0" w:after="0"/>
              <w:jc w:val="right"/>
              <w:rPr>
                <w:color w:val="000000"/>
              </w:rPr>
            </w:pPr>
            <w:r>
              <w:rPr>
                <w:color w:val="000000"/>
              </w:rPr>
              <w:t>(188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642"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67,597</w:t>
            </w:r>
          </w:p>
        </w:tc>
        <w:tc>
          <w:tcPr>
            <w:tcW w:w="135" w:type="dxa"/>
            <w:tcBorders/>
            <w:vAlign w:val="bottom"/>
          </w:tcPr>
          <w:p>
            <w:pPr>
              <w:pStyle w:val="TableContents"/>
              <w:bidi w:val="0"/>
              <w:spacing w:before="0" w:after="283"/>
              <w:jc w:val="left"/>
              <w:rPr/>
            </w:pPr>
            <w:r>
              <w:rPr/>
              <w:t> </w:t>
            </w:r>
          </w:p>
        </w:tc>
      </w:tr>
      <w:tr>
        <w:trPr/>
        <w:tc>
          <w:tcPr>
            <w:tcW w:w="3660" w:type="dxa"/>
            <w:tcBorders/>
            <w:shd w:fill="CCEEFF" w:val="clear"/>
            <w:vAlign w:val="bottom"/>
          </w:tcPr>
          <w:p>
            <w:pPr>
              <w:pStyle w:val="TableContents"/>
              <w:bidi w:val="0"/>
              <w:spacing w:before="0" w:after="0"/>
              <w:ind w:left="180" w:right="0" w:hanging="0"/>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13,972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0"/>
              <w:jc w:val="right"/>
              <w:rPr>
                <w:color w:val="000000"/>
              </w:rPr>
            </w:pPr>
            <w:r>
              <w:rPr>
                <w:color w:val="000000"/>
              </w:rPr>
              <w:t>(840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642"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13,132</w:t>
            </w:r>
          </w:p>
        </w:tc>
        <w:tc>
          <w:tcPr>
            <w:tcW w:w="135" w:type="dxa"/>
            <w:tcBorders/>
            <w:shd w:fill="CCEEFF" w:val="clear"/>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0"/>
              <w:ind w:left="180" w:right="0" w:hanging="0"/>
              <w:jc w:val="left"/>
              <w:rPr>
                <w:color w:val="000000"/>
              </w:rPr>
            </w:pPr>
            <w:r>
              <w:rPr>
                <w:color w:val="000000"/>
              </w:rPr>
              <w:t>Other securities</w:t>
            </w:r>
          </w:p>
        </w:tc>
        <w:tc>
          <w:tcPr>
            <w:tcW w:w="90"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642"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4,960</w:t>
            </w:r>
          </w:p>
        </w:tc>
        <w:tc>
          <w:tcPr>
            <w:tcW w:w="135" w:type="dxa"/>
            <w:tcBorders/>
            <w:vAlign w:val="bottom"/>
          </w:tcPr>
          <w:p>
            <w:pPr>
              <w:pStyle w:val="TableContents"/>
              <w:bidi w:val="0"/>
              <w:spacing w:before="0" w:after="283"/>
              <w:jc w:val="left"/>
              <w:rPr/>
            </w:pPr>
            <w:r>
              <w:rPr/>
              <w:t> </w:t>
            </w:r>
          </w:p>
        </w:tc>
      </w:tr>
      <w:tr>
        <w:trPr/>
        <w:tc>
          <w:tcPr>
            <w:tcW w:w="36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637,577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5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(70,632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64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7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567,540</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amortized cost and estimated fair value of securities at June 30, 2026 are presented below by contractual maturity (dollars in thousands). Expected maturities may differ from contractual maturities because issuers may have the right to call or prepay obligations. Declining-balance securities are shown separately since they are not due at a single maturity date.</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47" w:name="zde0b1c18404846d18c34732eb674fb47"/>
      <w:bookmarkStart w:id="48" w:name="zde0b1c18404846d18c34732eb674fb47"/>
      <w:bookmarkEnd w:id="48"/>
    </w:p>
    <w:tbl>
      <w:tblPr>
        <w:tblW w:w="5624" w:type="dxa"/>
        <w:jc w:val="left"/>
        <w:tblInd w:w="0" w:type="dxa"/>
        <w:tblLayout w:type="fixed"/>
        <w:tblCellMar>
          <w:top w:w="0" w:type="dxa"/>
          <w:left w:w="0" w:type="dxa"/>
          <w:bottom w:w="0" w:type="dxa"/>
          <w:right w:w="0" w:type="dxa"/>
        </w:tblCellMar>
      </w:tblPr>
      <w:tblGrid>
        <w:gridCol w:w="2945"/>
        <w:gridCol w:w="90"/>
        <w:gridCol w:w="192"/>
        <w:gridCol w:w="938"/>
        <w:gridCol w:w="90"/>
        <w:gridCol w:w="90"/>
        <w:gridCol w:w="194"/>
        <w:gridCol w:w="950"/>
        <w:gridCol w:w="135"/>
      </w:tblGrid>
      <w:tr>
        <w:trPr/>
        <w:tc>
          <w:tcPr>
            <w:tcW w:w="29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5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Available for Sale</w:t>
            </w:r>
          </w:p>
        </w:tc>
        <w:tc>
          <w:tcPr>
            <w:tcW w:w="135" w:type="dxa"/>
            <w:tcBorders/>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Fair Value</w:t>
            </w:r>
          </w:p>
        </w:tc>
        <w:tc>
          <w:tcPr>
            <w:tcW w:w="13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color w:val="000000"/>
              </w:rPr>
            </w:pPr>
            <w:r>
              <w:rPr>
                <w:color w:val="000000"/>
              </w:rPr>
              <w:t>Within 1 year</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93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color w:val="000000"/>
              </w:rPr>
            </w:pPr>
            <w:r>
              <w:rPr>
                <w:color w:val="000000"/>
              </w:rPr>
              <w:t>$</w:t>
            </w:r>
          </w:p>
        </w:tc>
        <w:tc>
          <w:tcPr>
            <w:tcW w:w="95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jc w:val="left"/>
              <w:rPr>
                <w:color w:val="000000"/>
              </w:rPr>
            </w:pPr>
            <w:r>
              <w:rPr>
                <w:color w:val="000000"/>
              </w:rPr>
              <w:t>After 1 year through 5 years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5,064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5,010</w:t>
            </w:r>
          </w:p>
        </w:tc>
        <w:tc>
          <w:tcPr>
            <w:tcW w:w="13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color w:val="000000"/>
              </w:rPr>
            </w:pPr>
            <w:r>
              <w:rPr>
                <w:color w:val="000000"/>
              </w:rPr>
              <w:t>After 5 years through 10 years</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19,481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color w:val="000000"/>
              </w:rPr>
            </w:pPr>
            <w:r>
              <w:rPr>
                <w:color w:val="000000"/>
              </w:rPr>
              <w:t>19,012</w:t>
            </w:r>
          </w:p>
        </w:tc>
        <w:tc>
          <w:tcPr>
            <w:tcW w:w="13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jc w:val="left"/>
              <w:rPr>
                <w:color w:val="000000"/>
              </w:rPr>
            </w:pPr>
            <w:r>
              <w:rPr>
                <w:color w:val="000000"/>
              </w:rPr>
              <w:t>After 10 years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178,728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color w:val="000000"/>
              </w:rPr>
            </w:pPr>
            <w:r>
              <w:rPr>
                <w:color w:val="000000"/>
              </w:rPr>
              <w:t>159,552</w:t>
            </w:r>
          </w:p>
        </w:tc>
        <w:tc>
          <w:tcPr>
            <w:tcW w:w="13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color w:val="000000"/>
              </w:rPr>
            </w:pPr>
            <w:r>
              <w:rPr>
                <w:color w:val="000000"/>
              </w:rPr>
              <w:t>Declining-balance securities</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419,020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371,853</w:t>
            </w:r>
          </w:p>
        </w:tc>
        <w:tc>
          <w:tcPr>
            <w:tcW w:w="13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622,293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555,427</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both June 30, 2026 and December 31, 2025, there were no holdings of securities of any one issuer, other than the U.S. government, its agencies, or its sponsored enterprises, in an amount greater than 10% of stockholders’ equity.</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with a carrying value of approximately $447.2 million and $413.7 million at June 30, 2026 and December 31, 2025, respectively, were pledged to collateralize public deposits and for other purposes as required or permitted by law.</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segregates securities with unrealized losses at the dates indicated, by the duration they have been in a loss position for which an allowance for credit losses has not been recorded (dollars in thousands):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49" w:name="zc445fa86a5bc4fd7a60faeaeef11a741"/>
      <w:bookmarkStart w:id="50" w:name="zc445fa86a5bc4fd7a60faeaeef11a741"/>
      <w:bookmarkEnd w:id="50"/>
    </w:p>
    <w:tbl>
      <w:tblPr>
        <w:tblW w:w="10205" w:type="dxa"/>
        <w:jc w:val="left"/>
        <w:tblInd w:w="0" w:type="dxa"/>
        <w:tblLayout w:type="fixed"/>
        <w:tblCellMar>
          <w:top w:w="0" w:type="dxa"/>
          <w:left w:w="0" w:type="dxa"/>
          <w:bottom w:w="0" w:type="dxa"/>
          <w:right w:w="0" w:type="dxa"/>
        </w:tblCellMar>
      </w:tblPr>
      <w:tblGrid>
        <w:gridCol w:w="2600"/>
        <w:gridCol w:w="90"/>
        <w:gridCol w:w="189"/>
        <w:gridCol w:w="790"/>
        <w:gridCol w:w="99"/>
        <w:gridCol w:w="99"/>
        <w:gridCol w:w="340"/>
        <w:gridCol w:w="820"/>
        <w:gridCol w:w="90"/>
        <w:gridCol w:w="90"/>
        <w:gridCol w:w="170"/>
        <w:gridCol w:w="830"/>
        <w:gridCol w:w="90"/>
        <w:gridCol w:w="90"/>
        <w:gridCol w:w="224"/>
        <w:gridCol w:w="936"/>
        <w:gridCol w:w="90"/>
        <w:gridCol w:w="90"/>
        <w:gridCol w:w="170"/>
        <w:gridCol w:w="830"/>
        <w:gridCol w:w="90"/>
        <w:gridCol w:w="90"/>
        <w:gridCol w:w="224"/>
        <w:gridCol w:w="936"/>
        <w:gridCol w:w="138"/>
      </w:tblGrid>
      <w:tr>
        <w:trPr/>
        <w:tc>
          <w:tcPr>
            <w:tcW w:w="260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33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than 12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12 Months or More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8"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9"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w:t>
            </w:r>
          </w:p>
        </w:tc>
        <w:tc>
          <w:tcPr>
            <w:tcW w:w="138" w:type="dxa"/>
            <w:tcBorders/>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ind w:left="180" w:right="0" w:hanging="180"/>
              <w:jc w:val="left"/>
              <w:rPr>
                <w:color w:val="000000"/>
                <w:u w:val="single"/>
              </w:rPr>
            </w:pPr>
            <w:r>
              <w:rPr>
                <w:color w:val="000000"/>
                <w:u w:val="single"/>
              </w:rPr>
              <w:t>June 30, 2026</w:t>
            </w:r>
          </w:p>
        </w:tc>
        <w:tc>
          <w:tcPr>
            <w:tcW w:w="90" w:type="dxa"/>
            <w:tcBorders/>
            <w:vAlign w:val="bottom"/>
          </w:tcPr>
          <w:p>
            <w:pPr>
              <w:pStyle w:val="TableContents"/>
              <w:bidi w:val="0"/>
              <w:spacing w:before="0" w:after="283"/>
              <w:jc w:val="left"/>
              <w:rPr/>
            </w:pPr>
            <w:r>
              <w:rPr/>
              <w:t> </w:t>
            </w:r>
          </w:p>
        </w:tc>
        <w:tc>
          <w:tcPr>
            <w:tcW w:w="979"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80" w:right="0" w:hanging="180"/>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0"/>
              <w:jc w:val="left"/>
              <w:rPr>
                <w:color w:val="000000"/>
              </w:rPr>
            </w:pPr>
            <w:r>
              <w:rPr>
                <w:color w:val="000000"/>
              </w:rPr>
              <w:t>$</w:t>
            </w:r>
          </w:p>
        </w:tc>
        <w:tc>
          <w:tcPr>
            <w:tcW w:w="790" w:type="dxa"/>
            <w:tcBorders/>
            <w:shd w:fill="CCEEFF" w:val="clear"/>
            <w:vAlign w:val="bottom"/>
          </w:tcPr>
          <w:p>
            <w:pPr>
              <w:pStyle w:val="TableContents"/>
              <w:bidi w:val="0"/>
              <w:spacing w:before="0" w:after="0"/>
              <w:jc w:val="right"/>
              <w:rPr>
                <w:color w:val="000000"/>
              </w:rPr>
            </w:pPr>
            <w:r>
              <w:rPr>
                <w:color w:val="000000"/>
              </w:rPr>
              <w:t>277</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0"/>
              <w:jc w:val="left"/>
              <w:rPr>
                <w:color w:val="000000"/>
              </w:rPr>
            </w:pPr>
            <w:r>
              <w:rPr>
                <w:color w:val="000000"/>
              </w:rPr>
              <w:t>$</w:t>
            </w:r>
          </w:p>
        </w:tc>
        <w:tc>
          <w:tcPr>
            <w:tcW w:w="820" w:type="dxa"/>
            <w:tcBorders/>
            <w:shd w:fill="CCEEFF" w:val="clear"/>
            <w:vAlign w:val="bottom"/>
          </w:tcPr>
          <w:p>
            <w:pPr>
              <w:pStyle w:val="TableContents"/>
              <w:bidi w:val="0"/>
              <w:spacing w:before="0" w:after="0"/>
              <w:jc w:val="right"/>
              <w:rPr>
                <w:color w:val="000000"/>
              </w:rPr>
            </w:pPr>
            <w:r>
              <w:rPr>
                <w:color w:val="000000"/>
              </w:rPr>
              <w:t>1</w:t>
            </w:r>
          </w:p>
        </w:tc>
        <w:tc>
          <w:tcPr>
            <w:tcW w:w="90" w:type="dxa"/>
            <w:tcBorders/>
            <w:shd w:fill="CCEEFF" w:val="clear"/>
            <w:vAlign w:val="bottom"/>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166,348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936" w:type="dxa"/>
            <w:tcBorders/>
            <w:shd w:fill="CCEEFF" w:val="clear"/>
            <w:vAlign w:val="bottom"/>
          </w:tcPr>
          <w:p>
            <w:pPr>
              <w:pStyle w:val="TableContents"/>
              <w:bidi w:val="0"/>
              <w:spacing w:before="0" w:after="0"/>
              <w:jc w:val="right"/>
              <w:rPr>
                <w:color w:val="000000"/>
              </w:rPr>
            </w:pPr>
            <w:r>
              <w:rPr>
                <w:color w:val="000000"/>
              </w:rPr>
              <w:t>20,441</w:t>
            </w:r>
          </w:p>
        </w:tc>
        <w:tc>
          <w:tcPr>
            <w:tcW w:w="90" w:type="dxa"/>
            <w:tcBorders/>
            <w:shd w:fill="CCEEFF" w:val="clear"/>
            <w:vAlign w:val="bottom"/>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166,625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936" w:type="dxa"/>
            <w:tcBorders/>
            <w:shd w:fill="CCEEFF" w:val="clear"/>
            <w:vAlign w:val="bottom"/>
          </w:tcPr>
          <w:p>
            <w:pPr>
              <w:pStyle w:val="TableContents"/>
              <w:bidi w:val="0"/>
              <w:spacing w:before="0" w:after="0"/>
              <w:jc w:val="right"/>
              <w:rPr>
                <w:color w:val="000000"/>
              </w:rPr>
            </w:pPr>
            <w:r>
              <w:rPr>
                <w:color w:val="000000"/>
              </w:rPr>
              <w:t>20,442</w:t>
            </w:r>
          </w:p>
        </w:tc>
        <w:tc>
          <w:tcPr>
            <w:tcW w:w="138" w:type="dxa"/>
            <w:tcBorders/>
            <w:shd w:fill="CCEEFF" w:val="clear"/>
            <w:vAlign w:val="bottom"/>
          </w:tcPr>
          <w:p>
            <w:pPr>
              <w:pStyle w:val="TableContents"/>
              <w:bidi w:val="0"/>
              <w:spacing w:before="0" w:after="0"/>
              <w:jc w:val="left"/>
              <w:rPr>
                <w:color w:val="000000"/>
              </w:rPr>
            </w:pPr>
            <w:r>
              <w:rPr>
                <w:color w:val="000000"/>
              </w:rPr>
            </w:r>
          </w:p>
        </w:tc>
      </w:tr>
      <w:tr>
        <w:trPr/>
        <w:tc>
          <w:tcPr>
            <w:tcW w:w="2600" w:type="dxa"/>
            <w:tcBorders/>
            <w:vAlign w:val="bottom"/>
          </w:tcPr>
          <w:p>
            <w:pPr>
              <w:pStyle w:val="TableContents"/>
              <w:bidi w:val="0"/>
              <w:spacing w:before="0" w:after="0"/>
              <w:ind w:left="180" w:right="0" w:hanging="180"/>
              <w:jc w:val="left"/>
              <w:rPr>
                <w:color w:val="000000"/>
              </w:rPr>
            </w:pPr>
            <w:r>
              <w:rPr>
                <w:color w:val="000000"/>
              </w:rPr>
              <w:t>Residential mortgage-backed securities</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right"/>
              <w:rPr>
                <w:color w:val="000000"/>
              </w:rPr>
            </w:pPr>
            <w:r>
              <w:rPr>
                <w:color w:val="000000"/>
              </w:rPr>
              <w:t>3,806</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89</w:t>
            </w:r>
          </w:p>
        </w:tc>
        <w:tc>
          <w:tcPr>
            <w:tcW w:w="90" w:type="dxa"/>
            <w:tcBorders/>
            <w:vAlign w:val="bottom"/>
          </w:tcPr>
          <w:p>
            <w:pPr>
              <w:pStyle w:val="TableContents"/>
              <w:bidi w:val="0"/>
              <w:spacing w:before="0" w:after="0"/>
              <w:jc w:val="left"/>
              <w:rPr>
                <w:color w:val="000000"/>
              </w:rPr>
            </w:pPr>
            <w:r>
              <w:rPr>
                <w:color w:val="000000"/>
              </w:rPr>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236,040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41,768</w:t>
            </w:r>
          </w:p>
        </w:tc>
        <w:tc>
          <w:tcPr>
            <w:tcW w:w="90" w:type="dxa"/>
            <w:tcBorders/>
            <w:vAlign w:val="bottom"/>
          </w:tcPr>
          <w:p>
            <w:pPr>
              <w:pStyle w:val="TableContents"/>
              <w:bidi w:val="0"/>
              <w:spacing w:before="0" w:after="0"/>
              <w:jc w:val="left"/>
              <w:rPr>
                <w:color w:val="000000"/>
              </w:rPr>
            </w:pPr>
            <w:r>
              <w:rPr>
                <w:color w:val="000000"/>
              </w:rPr>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239,846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41,857</w:t>
            </w:r>
          </w:p>
        </w:tc>
        <w:tc>
          <w:tcPr>
            <w:tcW w:w="138" w:type="dxa"/>
            <w:tcBorders/>
            <w:vAlign w:val="bottom"/>
          </w:tcPr>
          <w:p>
            <w:pPr>
              <w:pStyle w:val="TableContents"/>
              <w:bidi w:val="0"/>
              <w:spacing w:before="0" w:after="0"/>
              <w:jc w:val="left"/>
              <w:rPr>
                <w:color w:val="000000"/>
              </w:rPr>
            </w:pPr>
            <w:r>
              <w:rPr>
                <w:color w:val="000000"/>
              </w:rPr>
            </w:r>
          </w:p>
        </w:tc>
      </w:tr>
      <w:tr>
        <w:trPr/>
        <w:tc>
          <w:tcPr>
            <w:tcW w:w="2600" w:type="dxa"/>
            <w:tcBorders/>
            <w:shd w:fill="CCEEFF" w:val="clear"/>
            <w:vAlign w:val="bottom"/>
          </w:tcPr>
          <w:p>
            <w:pPr>
              <w:pStyle w:val="TableContents"/>
              <w:bidi w:val="0"/>
              <w:spacing w:before="0" w:after="0"/>
              <w:ind w:left="180" w:right="0" w:hanging="180"/>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0"/>
              <w:jc w:val="right"/>
              <w:rPr>
                <w:color w:val="000000"/>
              </w:rPr>
            </w:pPr>
            <w:r>
              <w:rPr>
                <w:color w:val="000000"/>
              </w:rPr>
              <w:t>5,918</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97</w:t>
            </w:r>
          </w:p>
        </w:tc>
        <w:tc>
          <w:tcPr>
            <w:tcW w:w="90" w:type="dxa"/>
            <w:tcBorders/>
            <w:shd w:fill="CCEEFF" w:val="clear"/>
            <w:vAlign w:val="bottom"/>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40,367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4,205</w:t>
            </w:r>
          </w:p>
        </w:tc>
        <w:tc>
          <w:tcPr>
            <w:tcW w:w="90" w:type="dxa"/>
            <w:tcBorders/>
            <w:shd w:fill="CCEEFF" w:val="clear"/>
            <w:vAlign w:val="bottom"/>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46,285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4,302</w:t>
            </w:r>
          </w:p>
        </w:tc>
        <w:tc>
          <w:tcPr>
            <w:tcW w:w="138" w:type="dxa"/>
            <w:tcBorders/>
            <w:shd w:fill="CCEEFF" w:val="clear"/>
            <w:vAlign w:val="bottom"/>
          </w:tcPr>
          <w:p>
            <w:pPr>
              <w:pStyle w:val="TableContents"/>
              <w:bidi w:val="0"/>
              <w:spacing w:before="0" w:after="0"/>
              <w:jc w:val="left"/>
              <w:rPr>
                <w:color w:val="000000"/>
              </w:rPr>
            </w:pPr>
            <w:r>
              <w:rPr>
                <w:color w:val="000000"/>
              </w:rPr>
            </w:r>
          </w:p>
        </w:tc>
      </w:tr>
      <w:tr>
        <w:trPr/>
        <w:tc>
          <w:tcPr>
            <w:tcW w:w="2600" w:type="dxa"/>
            <w:tcBorders/>
            <w:vAlign w:val="bottom"/>
          </w:tcPr>
          <w:p>
            <w:pPr>
              <w:pStyle w:val="TableContents"/>
              <w:bidi w:val="0"/>
              <w:spacing w:before="0" w:after="0"/>
              <w:ind w:left="180" w:right="0" w:hanging="180"/>
              <w:jc w:val="left"/>
              <w:rPr>
                <w:color w:val="000000"/>
              </w:rPr>
            </w:pPr>
            <w:r>
              <w:rPr>
                <w:color w:val="000000"/>
              </w:rPr>
              <w:t>Commercial collateralized mortgage obligations</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right"/>
              <w:rPr>
                <w:color w:val="000000"/>
              </w:rPr>
            </w:pPr>
            <w:r>
              <w:rPr>
                <w:color w:val="000000"/>
              </w:rPr>
              <w:t>62,708</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168</w:t>
            </w:r>
          </w:p>
        </w:tc>
        <w:tc>
          <w:tcPr>
            <w:tcW w:w="90" w:type="dxa"/>
            <w:tcBorders/>
            <w:vAlign w:val="bottom"/>
          </w:tcPr>
          <w:p>
            <w:pPr>
              <w:pStyle w:val="TableContents"/>
              <w:bidi w:val="0"/>
              <w:spacing w:before="0" w:after="0"/>
              <w:jc w:val="left"/>
              <w:rPr>
                <w:color w:val="000000"/>
              </w:rPr>
            </w:pPr>
            <w:r>
              <w:rPr>
                <w:color w:val="000000"/>
              </w:rPr>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62,708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168</w:t>
            </w:r>
          </w:p>
        </w:tc>
        <w:tc>
          <w:tcPr>
            <w:tcW w:w="138" w:type="dxa"/>
            <w:tcBorders/>
            <w:vAlign w:val="bottom"/>
          </w:tcPr>
          <w:p>
            <w:pPr>
              <w:pStyle w:val="TableContents"/>
              <w:bidi w:val="0"/>
              <w:spacing w:before="0" w:after="0"/>
              <w:jc w:val="left"/>
              <w:rPr>
                <w:color w:val="000000"/>
              </w:rPr>
            </w:pPr>
            <w:r>
              <w:rPr>
                <w:color w:val="000000"/>
              </w:rPr>
            </w:r>
          </w:p>
        </w:tc>
      </w:tr>
      <w:tr>
        <w:trPr/>
        <w:tc>
          <w:tcPr>
            <w:tcW w:w="2600" w:type="dxa"/>
            <w:tcBorders/>
            <w:shd w:fill="CCEEFF" w:val="clear"/>
            <w:vAlign w:val="bottom"/>
          </w:tcPr>
          <w:p>
            <w:pPr>
              <w:pStyle w:val="TableContents"/>
              <w:bidi w:val="0"/>
              <w:spacing w:before="0" w:after="0"/>
              <w:ind w:left="180" w:right="0" w:hanging="180"/>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0"/>
              <w:jc w:val="right"/>
              <w:rPr>
                <w:color w:val="000000"/>
              </w:rPr>
            </w:pPr>
            <w:r>
              <w:rPr>
                <w:color w:val="000000"/>
              </w:rPr>
              <w:t>-</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12,050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951</w:t>
            </w:r>
          </w:p>
        </w:tc>
        <w:tc>
          <w:tcPr>
            <w:tcW w:w="90" w:type="dxa"/>
            <w:tcBorders/>
            <w:shd w:fill="CCEEFF" w:val="clear"/>
            <w:vAlign w:val="bottom"/>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12,050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951</w:t>
            </w:r>
          </w:p>
        </w:tc>
        <w:tc>
          <w:tcPr>
            <w:tcW w:w="138" w:type="dxa"/>
            <w:tcBorders/>
            <w:shd w:fill="CCEEFF" w:val="clear"/>
            <w:vAlign w:val="bottom"/>
          </w:tcPr>
          <w:p>
            <w:pPr>
              <w:pStyle w:val="TableContents"/>
              <w:bidi w:val="0"/>
              <w:spacing w:before="0" w:after="0"/>
              <w:jc w:val="left"/>
              <w:rPr>
                <w:color w:val="000000"/>
              </w:rPr>
            </w:pPr>
            <w:r>
              <w:rPr>
                <w:color w:val="000000"/>
              </w:rPr>
            </w:r>
          </w:p>
        </w:tc>
      </w:tr>
      <w:tr>
        <w:trPr/>
        <w:tc>
          <w:tcPr>
            <w:tcW w:w="2600" w:type="dxa"/>
            <w:tcBorders/>
            <w:vAlign w:val="bottom"/>
          </w:tcPr>
          <w:p>
            <w:pPr>
              <w:pStyle w:val="TableContents"/>
              <w:bidi w:val="0"/>
              <w:spacing w:before="0" w:after="0"/>
              <w:ind w:left="180" w:right="0" w:hanging="180"/>
              <w:jc w:val="left"/>
              <w:rPr>
                <w:color w:val="000000"/>
              </w:rPr>
            </w:pPr>
            <w:r>
              <w:rPr>
                <w:color w:val="000000"/>
              </w:rPr>
              <w:t>Other securities</w:t>
            </w:r>
          </w:p>
        </w:tc>
        <w:tc>
          <w:tcPr>
            <w:tcW w:w="90" w:type="dxa"/>
            <w:tcBorders/>
            <w:vAlign w:val="bottom"/>
          </w:tcPr>
          <w:p>
            <w:pPr>
              <w:pStyle w:val="TableContents"/>
              <w:bidi w:val="0"/>
              <w:spacing w:before="0" w:after="283"/>
              <w:jc w:val="lef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2,335</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62</w:t>
            </w:r>
          </w:p>
        </w:tc>
        <w:tc>
          <w:tcPr>
            <w:tcW w:w="90" w:type="dxa"/>
            <w:tcBorders/>
            <w:vAlign w:val="bottom"/>
          </w:tcPr>
          <w:p>
            <w:pPr>
              <w:pStyle w:val="TableContents"/>
              <w:bidi w:val="0"/>
              <w:spacing w:before="0" w:after="0"/>
              <w:jc w:val="left"/>
              <w:rPr>
                <w:color w:val="000000"/>
              </w:rPr>
            </w:pPr>
            <w:r>
              <w:rPr>
                <w:color w:val="000000"/>
              </w:rPr>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62</w:t>
            </w:r>
          </w:p>
        </w:tc>
        <w:tc>
          <w:tcPr>
            <w:tcW w:w="138" w:type="dxa"/>
            <w:tcBorders/>
            <w:vAlign w:val="bottom"/>
          </w:tcPr>
          <w:p>
            <w:pPr>
              <w:pStyle w:val="TableContents"/>
              <w:bidi w:val="0"/>
              <w:spacing w:before="0" w:after="0"/>
              <w:jc w:val="left"/>
              <w:rPr>
                <w:color w:val="000000"/>
              </w:rPr>
            </w:pPr>
            <w:r>
              <w:rPr>
                <w:color w:val="000000"/>
              </w:rPr>
            </w:r>
          </w:p>
        </w:tc>
      </w:tr>
      <w:tr>
        <w:trPr/>
        <w:tc>
          <w:tcPr>
            <w:tcW w:w="2600"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75,044</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417</w:t>
            </w:r>
          </w:p>
        </w:tc>
        <w:tc>
          <w:tcPr>
            <w:tcW w:w="90" w:type="dxa"/>
            <w:tcBorders/>
            <w:shd w:fill="CCEEFF" w:val="clear"/>
            <w:vAlign w:val="bottom"/>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454,805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67,365</w:t>
            </w:r>
          </w:p>
        </w:tc>
        <w:tc>
          <w:tcPr>
            <w:tcW w:w="90" w:type="dxa"/>
            <w:tcBorders/>
            <w:shd w:fill="CCEEFF" w:val="clear"/>
            <w:vAlign w:val="bottom"/>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529,849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67,782</w:t>
            </w:r>
          </w:p>
        </w:tc>
        <w:tc>
          <w:tcPr>
            <w:tcW w:w="138" w:type="dxa"/>
            <w:tcBorders/>
            <w:shd w:fill="CCEEFF" w:val="clear"/>
            <w:vAlign w:val="bottom"/>
          </w:tcPr>
          <w:p>
            <w:pPr>
              <w:pStyle w:val="TableContents"/>
              <w:bidi w:val="0"/>
              <w:spacing w:before="0" w:after="0"/>
              <w:jc w:val="left"/>
              <w:rPr>
                <w:color w:val="000000"/>
              </w:rPr>
            </w:pPr>
            <w:r>
              <w:rPr>
                <w:color w:val="000000"/>
              </w:rPr>
            </w:r>
          </w:p>
        </w:tc>
      </w:tr>
      <w:tr>
        <w:trPr/>
        <w:tc>
          <w:tcPr>
            <w:tcW w:w="260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80" w:right="0" w:hanging="180"/>
              <w:jc w:val="left"/>
              <w:rPr>
                <w:color w:val="000000"/>
                <w:u w:val="single"/>
              </w:rPr>
            </w:pPr>
            <w:r>
              <w:rPr>
                <w:color w:val="000000"/>
                <w:u w:val="single"/>
              </w:rPr>
              <w:t>December 31, 2025</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ind w:left="180" w:right="0" w:hanging="180"/>
              <w:jc w:val="left"/>
              <w:rPr>
                <w:color w:val="000000"/>
              </w:rPr>
            </w:pPr>
            <w:r>
              <w:rPr>
                <w:color w:val="000000"/>
              </w:rPr>
              <w:t>State and municipal</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0"/>
              <w:jc w:val="left"/>
              <w:rPr>
                <w:color w:val="000000"/>
              </w:rPr>
            </w:pPr>
            <w:r>
              <w:rPr>
                <w:color w:val="000000"/>
              </w:rPr>
              <w:t>$</w:t>
            </w:r>
          </w:p>
        </w:tc>
        <w:tc>
          <w:tcPr>
            <w:tcW w:w="790" w:type="dxa"/>
            <w:tcBorders/>
            <w:vAlign w:val="bottom"/>
          </w:tcPr>
          <w:p>
            <w:pPr>
              <w:pStyle w:val="TableContents"/>
              <w:bidi w:val="0"/>
              <w:spacing w:before="0" w:after="0"/>
              <w:jc w:val="right"/>
              <w:rPr>
                <w:color w:val="000000"/>
              </w:rPr>
            </w:pPr>
            <w:r>
              <w:rPr>
                <w:color w:val="000000"/>
              </w:rPr>
              <w:t>205</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0"/>
              <w:jc w:val="left"/>
              <w:rPr>
                <w:color w:val="000000"/>
              </w:rPr>
            </w:pPr>
            <w:r>
              <w:rPr>
                <w:color w:val="000000"/>
              </w:rPr>
              <w:t>$</w:t>
            </w:r>
          </w:p>
        </w:tc>
        <w:tc>
          <w:tcPr>
            <w:tcW w:w="8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165,618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0"/>
              <w:jc w:val="left"/>
              <w:rPr>
                <w:color w:val="000000"/>
              </w:rPr>
            </w:pPr>
            <w:r>
              <w:rPr>
                <w:color w:val="000000"/>
              </w:rPr>
              <w:t>$</w:t>
            </w:r>
          </w:p>
        </w:tc>
        <w:tc>
          <w:tcPr>
            <w:tcW w:w="936" w:type="dxa"/>
            <w:tcBorders/>
            <w:vAlign w:val="bottom"/>
          </w:tcPr>
          <w:p>
            <w:pPr>
              <w:pStyle w:val="TableContents"/>
              <w:bidi w:val="0"/>
              <w:spacing w:before="0" w:after="0"/>
              <w:jc w:val="right"/>
              <w:rPr>
                <w:color w:val="000000"/>
              </w:rPr>
            </w:pPr>
            <w:r>
              <w:rPr>
                <w:color w:val="000000"/>
              </w:rPr>
              <w:t>23,500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165,823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0"/>
              <w:jc w:val="left"/>
              <w:rPr>
                <w:color w:val="000000"/>
              </w:rPr>
            </w:pPr>
            <w:r>
              <w:rPr>
                <w:color w:val="000000"/>
              </w:rPr>
              <w:t>$</w:t>
            </w:r>
          </w:p>
        </w:tc>
        <w:tc>
          <w:tcPr>
            <w:tcW w:w="936" w:type="dxa"/>
            <w:tcBorders/>
            <w:vAlign w:val="bottom"/>
          </w:tcPr>
          <w:p>
            <w:pPr>
              <w:pStyle w:val="TableContents"/>
              <w:bidi w:val="0"/>
              <w:spacing w:before="0" w:after="0"/>
              <w:jc w:val="right"/>
              <w:rPr>
                <w:color w:val="000000"/>
              </w:rPr>
            </w:pPr>
            <w:r>
              <w:rPr>
                <w:color w:val="000000"/>
              </w:rPr>
              <w:t>23,500</w:t>
            </w:r>
          </w:p>
        </w:tc>
        <w:tc>
          <w:tcPr>
            <w:tcW w:w="138"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80" w:right="0" w:hanging="180"/>
              <w:jc w:val="left"/>
              <w:rPr>
                <w:color w:val="000000"/>
              </w:rPr>
            </w:pPr>
            <w:r>
              <w:rPr>
                <w:color w:val="000000"/>
              </w:rPr>
              <w:t>Residential mortgage-backed securities</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0"/>
              <w:jc w:val="right"/>
              <w:rPr>
                <w:color w:val="000000"/>
              </w:rPr>
            </w:pPr>
            <w:r>
              <w:rPr>
                <w:color w:val="000000"/>
              </w:rPr>
              <w:t>3,132</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249,710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42,033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252,842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42,081</w:t>
            </w:r>
          </w:p>
        </w:tc>
        <w:tc>
          <w:tcPr>
            <w:tcW w:w="138"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ind w:left="180" w:right="0" w:hanging="180"/>
              <w:jc w:val="left"/>
              <w:rPr>
                <w:color w:val="000000"/>
              </w:rPr>
            </w:pPr>
            <w:r>
              <w:rPr>
                <w:color w:val="000000"/>
              </w:rPr>
              <w:t>Commercial mortgage-backed securities</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right"/>
              <w:rPr>
                <w:color w:val="000000"/>
              </w:rPr>
            </w:pPr>
            <w:r>
              <w:rPr>
                <w:color w:val="000000"/>
              </w:rPr>
              <w:t>3,503</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41,284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3,976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44,787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3,983</w:t>
            </w:r>
          </w:p>
        </w:tc>
        <w:tc>
          <w:tcPr>
            <w:tcW w:w="138"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80" w:right="0" w:hanging="180"/>
              <w:jc w:val="left"/>
              <w:rPr>
                <w:color w:val="000000"/>
              </w:rPr>
            </w:pPr>
            <w:r>
              <w:rPr>
                <w:color w:val="000000"/>
              </w:rPr>
              <w:t>Commercial collateralized mortgage obligations</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0"/>
              <w:jc w:val="right"/>
              <w:rPr>
                <w:color w:val="000000"/>
              </w:rPr>
            </w:pPr>
            <w:r>
              <w:rPr>
                <w:color w:val="000000"/>
              </w:rPr>
              <w:t>63,210</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color w:val="000000"/>
              </w:rPr>
            </w:pPr>
            <w:r>
              <w:rPr>
                <w:color w:val="000000"/>
              </w:rPr>
              <w:t>188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63,210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0"/>
              <w:jc w:val="right"/>
              <w:rPr>
                <w:color w:val="000000"/>
              </w:rPr>
            </w:pPr>
            <w:r>
              <w:rPr>
                <w:color w:val="000000"/>
              </w:rPr>
              <w:t>188</w:t>
            </w:r>
          </w:p>
        </w:tc>
        <w:tc>
          <w:tcPr>
            <w:tcW w:w="138"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ind w:left="180" w:right="0" w:hanging="180"/>
              <w:jc w:val="left"/>
              <w:rPr>
                <w:color w:val="000000"/>
              </w:rPr>
            </w:pPr>
            <w:r>
              <w:rPr>
                <w:color w:val="000000"/>
              </w:rPr>
              <w:t>Asset-backed and other amortizing securities</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0"/>
              <w:jc w:val="right"/>
              <w:rPr>
                <w:color w:val="000000"/>
              </w:rPr>
            </w:pPr>
            <w:r>
              <w:rPr>
                <w:color w:val="000000"/>
              </w:rPr>
              <w:t>-</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13,132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840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13,132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color w:val="000000"/>
              </w:rPr>
            </w:pPr>
            <w:r>
              <w:rPr>
                <w:color w:val="000000"/>
              </w:rPr>
              <w:t>840</w:t>
            </w:r>
          </w:p>
        </w:tc>
        <w:tc>
          <w:tcPr>
            <w:tcW w:w="138"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80" w:right="0" w:hanging="180"/>
              <w:jc w:val="left"/>
              <w:rPr>
                <w:color w:val="000000"/>
              </w:rPr>
            </w:pPr>
            <w:r>
              <w:rPr>
                <w:color w:val="000000"/>
              </w:rPr>
              <w:t>Other securities</w:t>
            </w:r>
          </w:p>
        </w:tc>
        <w:tc>
          <w:tcPr>
            <w:tcW w:w="90" w:type="dxa"/>
            <w:tcBorders/>
            <w:shd w:fill="CCEEFF" w:val="clear"/>
            <w:vAlign w:val="bottom"/>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w:t>
            </w:r>
          </w:p>
        </w:tc>
        <w:tc>
          <w:tcPr>
            <w:tcW w:w="138" w:type="dxa"/>
            <w:tcBorders/>
            <w:shd w:fill="CCEEFF" w:val="clear"/>
            <w:vAlign w:val="bottom"/>
          </w:tcPr>
          <w:p>
            <w:pPr>
              <w:pStyle w:val="TableContents"/>
              <w:bidi w:val="0"/>
              <w:spacing w:before="0" w:after="283"/>
              <w:jc w:val="left"/>
              <w:rPr/>
            </w:pPr>
            <w:r>
              <w:rPr/>
              <w:t> </w:t>
            </w:r>
          </w:p>
        </w:tc>
      </w:tr>
      <w:tr>
        <w:trPr/>
        <w:tc>
          <w:tcPr>
            <w:tcW w:w="260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8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70,050</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2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474,705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70,389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544,755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70,632</w:t>
            </w:r>
          </w:p>
        </w:tc>
        <w:tc>
          <w:tcPr>
            <w:tcW w:w="138"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132 securities with an unrealized loss at June 30, 2026, generally due to a continuation of the elevated market interest rate environment. Management evaluates securities available for sale (“AFS”)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and believes that it is not likely that the securities will have to be sold before a recovery of cost. The fair value of these securities is expected to recover as the securities approach their maturity date or repricing date or if market yields for such investments decline. Accordingly, as of June 30, 2026, management believes the unrealized loss positions detailed in the previous table are due to non-credit related factors, including changes in interest rates and other market conditions, and therefore no ACL for AFS securities or losses have been recognized or realized in the consolidated financial statements.</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4.  LOANS HELD FOR INVESTMENT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held for investment are summarized by category as of the dates presented below (dollars in thousands):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51" w:name="z06221fcd582b4f00902c713b456dc1fd"/>
      <w:bookmarkStart w:id="52" w:name="z06221fcd582b4f00902c713b456dc1fd"/>
      <w:bookmarkEnd w:id="52"/>
    </w:p>
    <w:tbl>
      <w:tblPr>
        <w:tblW w:w="6584" w:type="dxa"/>
        <w:jc w:val="left"/>
        <w:tblInd w:w="0" w:type="dxa"/>
        <w:tblLayout w:type="fixed"/>
        <w:tblCellMar>
          <w:top w:w="0" w:type="dxa"/>
          <w:left w:w="0" w:type="dxa"/>
          <w:bottom w:w="0" w:type="dxa"/>
          <w:right w:w="0" w:type="dxa"/>
        </w:tblCellMar>
      </w:tblPr>
      <w:tblGrid>
        <w:gridCol w:w="3485"/>
        <w:gridCol w:w="90"/>
        <w:gridCol w:w="170"/>
        <w:gridCol w:w="1010"/>
        <w:gridCol w:w="125"/>
        <w:gridCol w:w="90"/>
        <w:gridCol w:w="208"/>
        <w:gridCol w:w="1236"/>
        <w:gridCol w:w="170"/>
      </w:tblGrid>
      <w:tr>
        <w:trPr/>
        <w:tc>
          <w:tcPr>
            <w:tcW w:w="34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w:t>
            </w:r>
          </w:p>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2025</w:t>
            </w:r>
          </w:p>
        </w:tc>
        <w:tc>
          <w:tcPr>
            <w:tcW w:w="17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1,332,520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0"/>
              <w:jc w:val="left"/>
              <w:rPr>
                <w:color w:val="000000"/>
              </w:rPr>
            </w:pPr>
            <w:r>
              <w:rPr>
                <w:color w:val="000000"/>
              </w:rPr>
              <w:t>$</w:t>
            </w:r>
          </w:p>
        </w:tc>
        <w:tc>
          <w:tcPr>
            <w:tcW w:w="1236" w:type="dxa"/>
            <w:tcBorders/>
            <w:shd w:fill="CCEEFF" w:val="clear"/>
            <w:vAlign w:val="bottom"/>
          </w:tcPr>
          <w:p>
            <w:pPr>
              <w:pStyle w:val="TableContents"/>
              <w:bidi w:val="0"/>
              <w:spacing w:before="0" w:after="0"/>
              <w:jc w:val="right"/>
              <w:rPr>
                <w:color w:val="000000"/>
              </w:rPr>
            </w:pPr>
            <w:r>
              <w:rPr>
                <w:color w:val="000000"/>
              </w:rPr>
              <w:t>1,064,625</w:t>
            </w:r>
          </w:p>
        </w:tc>
        <w:tc>
          <w:tcPr>
            <w:tcW w:w="17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429,380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0"/>
              <w:jc w:val="right"/>
              <w:rPr>
                <w:color w:val="000000"/>
              </w:rPr>
            </w:pPr>
            <w:r>
              <w:rPr>
                <w:color w:val="000000"/>
              </w:rPr>
              <w:t>409,351</w:t>
            </w:r>
          </w:p>
        </w:tc>
        <w:tc>
          <w:tcPr>
            <w:tcW w:w="17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827,452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0"/>
              <w:jc w:val="right"/>
              <w:rPr>
                <w:color w:val="000000"/>
              </w:rPr>
            </w:pPr>
            <w:r>
              <w:rPr>
                <w:color w:val="000000"/>
              </w:rPr>
              <w:t>659,323</w:t>
            </w:r>
          </w:p>
        </w:tc>
        <w:tc>
          <w:tcPr>
            <w:tcW w:w="17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714,014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0"/>
              <w:jc w:val="right"/>
              <w:rPr>
                <w:color w:val="000000"/>
              </w:rPr>
            </w:pPr>
            <w:r>
              <w:rPr>
                <w:color w:val="000000"/>
              </w:rPr>
              <w:t>589,851</w:t>
            </w:r>
          </w:p>
        </w:tc>
        <w:tc>
          <w:tcPr>
            <w:tcW w:w="17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263,810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0"/>
              <w:jc w:val="right"/>
              <w:rPr>
                <w:color w:val="000000"/>
              </w:rPr>
            </w:pPr>
            <w:r>
              <w:rPr>
                <w:color w:val="000000"/>
              </w:rPr>
              <w:t>259,157</w:t>
            </w:r>
          </w:p>
        </w:tc>
        <w:tc>
          <w:tcPr>
            <w:tcW w:w="17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61,060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0"/>
              <w:jc w:val="right"/>
              <w:rPr>
                <w:color w:val="000000"/>
              </w:rPr>
            </w:pPr>
            <w:r>
              <w:rPr>
                <w:color w:val="000000"/>
              </w:rPr>
              <w:t>62,092</w:t>
            </w:r>
          </w:p>
        </w:tc>
        <w:tc>
          <w:tcPr>
            <w:tcW w:w="17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143,198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0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100,103</w:t>
            </w:r>
          </w:p>
        </w:tc>
        <w:tc>
          <w:tcPr>
            <w:tcW w:w="17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3,771,434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0"/>
              <w:jc w:val="right"/>
              <w:rPr>
                <w:color w:val="000000"/>
              </w:rPr>
            </w:pPr>
            <w:r>
              <w:rPr>
                <w:color w:val="000000"/>
              </w:rPr>
              <w:t>3,144,502</w:t>
            </w:r>
          </w:p>
        </w:tc>
        <w:tc>
          <w:tcPr>
            <w:tcW w:w="17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jc w:val="left"/>
              <w:rPr>
                <w:color w:val="000000"/>
              </w:rPr>
            </w:pPr>
            <w:r>
              <w:rPr>
                <w:color w:val="000000"/>
              </w:rPr>
              <w:t>Allowance for credit losses on loans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(53,076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0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(45,131</w:t>
            </w:r>
          </w:p>
        </w:tc>
        <w:tc>
          <w:tcPr>
            <w:tcW w:w="170" w:type="dxa"/>
            <w:tcBorders/>
            <w:vAlign w:val="bottom"/>
          </w:tcPr>
          <w:p>
            <w:pPr>
              <w:pStyle w:val="TableContents"/>
              <w:bidi w:val="0"/>
              <w:spacing w:before="0" w:after="0"/>
              <w:jc w:val="left"/>
              <w:rPr>
                <w:color w:val="000000"/>
              </w:rPr>
            </w:pPr>
            <w:r>
              <w:rPr>
                <w:color w:val="000000"/>
              </w:rPr>
              <w:t>)</w:t>
            </w:r>
          </w:p>
        </w:tc>
      </w:tr>
      <w:tr>
        <w:trPr/>
        <w:tc>
          <w:tcPr>
            <w:tcW w:w="3485" w:type="dxa"/>
            <w:tcBorders/>
            <w:shd w:fill="CCEEFF" w:val="clear"/>
            <w:vAlign w:val="bottom"/>
          </w:tcPr>
          <w:p>
            <w:pPr>
              <w:pStyle w:val="TableContents"/>
              <w:bidi w:val="0"/>
              <w:spacing w:before="0" w:after="0"/>
              <w:jc w:val="left"/>
              <w:rPr>
                <w:color w:val="000000"/>
              </w:rPr>
            </w:pPr>
            <w:r>
              <w:rPr>
                <w:color w:val="000000"/>
              </w:rPr>
              <w:t>Loans, net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3,718,358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3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3,099,371</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Commercial Real Estate</w:t>
      </w:r>
      <w:r>
        <w:rPr>
          <w:rFonts w:ascii="Times New Roman" w:hAnsi="Times New Roman"/>
          <w:color w:val="000000"/>
          <w:sz w:val="20"/>
          <w:shd w:fill="FFFFFF" w:val="clear"/>
        </w:rPr>
        <w:t xml:space="preserve"> –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Commercial – General and Specialized</w:t>
      </w:r>
      <w:r>
        <w:rPr>
          <w:rFonts w:ascii="Times New Roman" w:hAnsi="Times New Roman"/>
          <w:color w:val="000000"/>
          <w:sz w:val="20"/>
          <w:shd w:fill="FFFFFF" w:val="clear"/>
        </w:rPr>
        <w:t xml:space="preserve"> – Commercial loans are underwritten after evaluating and understanding the borrower’s 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Consumer</w:t>
      </w:r>
      <w:r>
        <w:rPr>
          <w:rFonts w:ascii="Times New Roman" w:hAnsi="Times New Roman"/>
          <w:color w:val="000000"/>
          <w:sz w:val="20"/>
          <w:shd w:fill="FFFFFF" w:val="clear"/>
        </w:rPr>
        <w:t xml:space="preserve"> – Loans to consumers include 1-4 family residential loans, auto loans, and other loans for recreational vehicles or 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Construction</w:t>
      </w:r>
      <w:r>
        <w:rPr>
          <w:rFonts w:ascii="Times New Roman" w:hAnsi="Times New Roman"/>
          <w:color w:val="000000"/>
          <w:sz w:val="20"/>
          <w:shd w:fill="FFFFFF" w:val="clear"/>
        </w:rPr>
        <w:t xml:space="preserve"> –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commercial real estate and construction categories comprise the Company’s nonowner-occupied real estate loans. Total nonowner-occupied real estate loans were $1.48 billion at June 30, 2026, and $1.16 billion at December 31, 2025.</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details the activity in the ACL for loans for the periods indicated (dollars in thousands). Allocation of a portion of the ACL to one category of loans does not preclude its availability to absorb losses in other categories.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fcaf985787184c74aad755160ee05dd5"/>
      <w:bookmarkStart w:id="54" w:name="zfcaf985787184c74aad755160ee05dd5"/>
      <w:bookmarkEnd w:id="54"/>
    </w:p>
    <w:tbl>
      <w:tblPr>
        <w:tblW w:w="10205" w:type="dxa"/>
        <w:jc w:val="left"/>
        <w:tblInd w:w="0" w:type="dxa"/>
        <w:tblLayout w:type="fixed"/>
        <w:tblCellMar>
          <w:top w:w="0" w:type="dxa"/>
          <w:left w:w="0" w:type="dxa"/>
          <w:bottom w:w="0" w:type="dxa"/>
          <w:right w:w="0" w:type="dxa"/>
        </w:tblCellMar>
      </w:tblPr>
      <w:tblGrid>
        <w:gridCol w:w="1343"/>
        <w:gridCol w:w="90"/>
        <w:gridCol w:w="212"/>
        <w:gridCol w:w="892"/>
        <w:gridCol w:w="90"/>
        <w:gridCol w:w="90"/>
        <w:gridCol w:w="229"/>
        <w:gridCol w:w="800"/>
        <w:gridCol w:w="90"/>
        <w:gridCol w:w="90"/>
        <w:gridCol w:w="229"/>
        <w:gridCol w:w="800"/>
        <w:gridCol w:w="90"/>
        <w:gridCol w:w="90"/>
        <w:gridCol w:w="228"/>
        <w:gridCol w:w="798"/>
        <w:gridCol w:w="125"/>
        <w:gridCol w:w="90"/>
        <w:gridCol w:w="254"/>
        <w:gridCol w:w="996"/>
        <w:gridCol w:w="125"/>
        <w:gridCol w:w="90"/>
        <w:gridCol w:w="335"/>
        <w:gridCol w:w="810"/>
        <w:gridCol w:w="90"/>
        <w:gridCol w:w="90"/>
        <w:gridCol w:w="173"/>
        <w:gridCol w:w="724"/>
        <w:gridCol w:w="142"/>
      </w:tblGrid>
      <w:tr>
        <w:trPr/>
        <w:tc>
          <w:tcPr>
            <w:tcW w:w="1343"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Beginning 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Initial</w:t>
            </w:r>
          </w:p>
          <w:p>
            <w:pPr>
              <w:pStyle w:val="TableContents"/>
              <w:bidi w:val="0"/>
              <w:spacing w:before="0" w:after="0"/>
              <w:jc w:val="center"/>
              <w:rPr>
                <w:b/>
                <w:color w:val="000000"/>
              </w:rPr>
            </w:pPr>
            <w:r>
              <w:rPr>
                <w:b/>
                <w:color w:val="000000"/>
              </w:rPr>
              <w:t>ACL on Acquired</w:t>
            </w:r>
          </w:p>
          <w:p>
            <w:pPr>
              <w:pStyle w:val="TableContents"/>
              <w:bidi w:val="0"/>
              <w:spacing w:before="0" w:after="0"/>
              <w:jc w:val="center"/>
              <w:rPr>
                <w:b/>
                <w:color w:val="000000"/>
              </w:rPr>
            </w:pPr>
            <w:r>
              <w:rPr>
                <w:b/>
                <w:color w:val="000000"/>
              </w:rPr>
              <w:t>PCD</w:t>
            </w:r>
          </w:p>
          <w:p>
            <w:pPr>
              <w:pStyle w:val="TableContents"/>
              <w:bidi w:val="0"/>
              <w:spacing w:before="0" w:after="0"/>
              <w:jc w:val="center"/>
              <w:rPr>
                <w:b/>
                <w:color w:val="000000"/>
              </w:rPr>
            </w:pPr>
            <w:r>
              <w:rPr>
                <w:b/>
                <w:color w:val="000000"/>
              </w:rPr>
              <w:t>Loans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Initial</w:t>
            </w:r>
          </w:p>
          <w:p>
            <w:pPr>
              <w:pStyle w:val="TableContents"/>
              <w:bidi w:val="0"/>
              <w:spacing w:before="0" w:after="0"/>
              <w:jc w:val="center"/>
              <w:rPr>
                <w:b/>
                <w:color w:val="000000"/>
              </w:rPr>
            </w:pPr>
            <w:r>
              <w:rPr>
                <w:b/>
                <w:color w:val="000000"/>
              </w:rPr>
              <w:t>ACL on Acquired</w:t>
            </w:r>
          </w:p>
          <w:p>
            <w:pPr>
              <w:pStyle w:val="TableContents"/>
              <w:bidi w:val="0"/>
              <w:spacing w:before="0" w:after="0"/>
              <w:jc w:val="center"/>
              <w:rPr>
                <w:b/>
                <w:color w:val="000000"/>
              </w:rPr>
            </w:pPr>
            <w:r>
              <w:rPr>
                <w:b/>
                <w:color w:val="000000"/>
              </w:rPr>
              <w:t>PSLs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Provision</w:t>
            </w:r>
          </w:p>
          <w:p>
            <w:pPr>
              <w:pStyle w:val="TableContents"/>
              <w:bidi w:val="0"/>
              <w:spacing w:before="0" w:after="0"/>
              <w:jc w:val="center"/>
              <w:rPr>
                <w:b/>
                <w:color w:val="000000"/>
              </w:rPr>
            </w:pPr>
            <w:r>
              <w:rPr>
                <w:b/>
                <w:color w:val="000000"/>
              </w:rPr>
              <w:t>for Credit Losses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Charge-offs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Recoveries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Ending Balance</w:t>
            </w:r>
          </w:p>
        </w:tc>
        <w:tc>
          <w:tcPr>
            <w:tcW w:w="142" w:type="dxa"/>
            <w:tcBorders/>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color w:val="000000"/>
                <w:u w:val="single"/>
              </w:rPr>
            </w:pPr>
            <w:r>
              <w:rPr>
                <w:color w:val="000000"/>
                <w:u w:val="single"/>
              </w:rPr>
              <w:t>For the three months ended June 30, 2026</w:t>
            </w:r>
          </w:p>
        </w:tc>
        <w:tc>
          <w:tcPr>
            <w:tcW w:w="90" w:type="dxa"/>
            <w:tcBorders/>
            <w:vAlign w:val="bottom"/>
          </w:tcPr>
          <w:p>
            <w:pPr>
              <w:pStyle w:val="TableContents"/>
              <w:bidi w:val="0"/>
              <w:spacing w:before="0" w:after="283"/>
              <w:jc w:val="left"/>
              <w:rPr/>
            </w:pPr>
            <w:r>
              <w:rPr/>
              <w:t> </w:t>
            </w:r>
          </w:p>
        </w:tc>
        <w:tc>
          <w:tcPr>
            <w:tcW w:w="110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6"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7" w:type="dxa"/>
            <w:gridSpan w:val="2"/>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color w:val="000000"/>
              </w:rPr>
            </w:pPr>
            <w:r>
              <w:rPr>
                <w:color w:val="000000"/>
              </w:rPr>
              <w:t>$</w:t>
            </w:r>
          </w:p>
        </w:tc>
        <w:tc>
          <w:tcPr>
            <w:tcW w:w="892" w:type="dxa"/>
            <w:tcBorders/>
            <w:shd w:fill="CCEEFF" w:val="clear"/>
            <w:vAlign w:val="bottom"/>
          </w:tcPr>
          <w:p>
            <w:pPr>
              <w:pStyle w:val="TableContents"/>
              <w:bidi w:val="0"/>
              <w:spacing w:before="0" w:after="0"/>
              <w:jc w:val="right"/>
              <w:rPr>
                <w:color w:val="000000"/>
              </w:rPr>
            </w:pPr>
            <w:r>
              <w:rPr>
                <w:color w:val="000000"/>
              </w:rPr>
              <w:t>15,017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1,897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1,705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color w:val="000000"/>
              </w:rPr>
            </w:pPr>
            <w:r>
              <w:rPr>
                <w:color w:val="000000"/>
              </w:rPr>
              <w:t>$</w:t>
            </w:r>
          </w:p>
        </w:tc>
        <w:tc>
          <w:tcPr>
            <w:tcW w:w="798" w:type="dxa"/>
            <w:tcBorders/>
            <w:shd w:fill="CCEEFF" w:val="clear"/>
            <w:vAlign w:val="bottom"/>
          </w:tcPr>
          <w:p>
            <w:pPr>
              <w:pStyle w:val="TableContents"/>
              <w:bidi w:val="0"/>
              <w:spacing w:before="0" w:after="0"/>
              <w:jc w:val="right"/>
              <w:rPr>
                <w:color w:val="000000"/>
              </w:rPr>
            </w:pPr>
            <w:r>
              <w:rPr>
                <w:color w:val="000000"/>
              </w:rPr>
              <w:t>(227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0"/>
              <w:jc w:val="left"/>
              <w:rPr>
                <w:color w:val="000000"/>
              </w:rPr>
            </w:pPr>
            <w:r>
              <w:rPr>
                <w:color w:val="000000"/>
              </w:rPr>
              <w:t>$</w:t>
            </w:r>
          </w:p>
        </w:tc>
        <w:tc>
          <w:tcPr>
            <w:tcW w:w="996" w:type="dxa"/>
            <w:tcBorders/>
            <w:shd w:fill="CCEEFF" w:val="clear"/>
            <w:vAlign w:val="bottom"/>
          </w:tcPr>
          <w:p>
            <w:pPr>
              <w:pStyle w:val="TableContents"/>
              <w:bidi w:val="0"/>
              <w:spacing w:before="0" w:after="0"/>
              <w:jc w:val="right"/>
              <w:rPr>
                <w:color w:val="000000"/>
              </w:rPr>
            </w:pPr>
            <w:r>
              <w:rPr>
                <w:color w:val="000000"/>
              </w:rPr>
              <w:t>(64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left"/>
              <w:rPr>
                <w:color w:val="000000"/>
              </w:rPr>
            </w:pPr>
            <w:r>
              <w:rPr>
                <w:color w:val="000000"/>
              </w:rPr>
              <w:t>$</w:t>
            </w:r>
          </w:p>
        </w:tc>
        <w:tc>
          <w:tcPr>
            <w:tcW w:w="8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724" w:type="dxa"/>
            <w:tcBorders/>
            <w:shd w:fill="CCEEFF" w:val="clear"/>
            <w:vAlign w:val="bottom"/>
          </w:tcPr>
          <w:p>
            <w:pPr>
              <w:pStyle w:val="TableContents"/>
              <w:bidi w:val="0"/>
              <w:spacing w:before="0" w:after="0"/>
              <w:jc w:val="right"/>
              <w:rPr>
                <w:color w:val="000000"/>
              </w:rPr>
            </w:pPr>
            <w:r>
              <w:rPr>
                <w:color w:val="000000"/>
              </w:rPr>
              <w:t>18,328</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color w:val="000000"/>
              </w:rPr>
            </w:pPr>
            <w:r>
              <w:rPr>
                <w:color w:val="000000"/>
              </w:rPr>
              <w:t>5,351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color w:val="000000"/>
              </w:rPr>
            </w:pPr>
            <w:r>
              <w:rPr>
                <w:color w:val="000000"/>
              </w:rPr>
              <w:t>(107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(84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color w:val="000000"/>
              </w:rPr>
            </w:pPr>
            <w:r>
              <w:rPr>
                <w:color w:val="000000"/>
              </w:rPr>
              <w:t>5,613</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color w:val="000000"/>
              </w:rPr>
            </w:pPr>
            <w:r>
              <w:rPr>
                <w:color w:val="000000"/>
              </w:rPr>
              <w:t>7,384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914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193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(280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0"/>
              <w:jc w:val="right"/>
              <w:rPr>
                <w:color w:val="000000"/>
              </w:rPr>
            </w:pPr>
            <w:r>
              <w:rPr>
                <w:color w:val="000000"/>
              </w:rPr>
              <w:t>8,590</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360" w:right="0" w:hanging="18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color w:val="000000"/>
              </w:rPr>
            </w:pPr>
            <w:r>
              <w:rPr>
                <w:color w:val="000000"/>
              </w:rPr>
              <w:t>10,803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732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2,207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(152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0"/>
              <w:jc w:val="right"/>
              <w:rPr>
                <w:color w:val="000000"/>
              </w:rPr>
            </w:pPr>
            <w:r>
              <w:rPr>
                <w:color w:val="000000"/>
              </w:rPr>
              <w:t>13,594</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360" w:right="0" w:hanging="18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color w:val="000000"/>
              </w:rPr>
            </w:pPr>
            <w:r>
              <w:rPr>
                <w:color w:val="000000"/>
              </w:rPr>
              <w:t>3,298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color w:val="000000"/>
              </w:rPr>
            </w:pPr>
            <w:r>
              <w:rPr>
                <w:color w:val="000000"/>
              </w:rPr>
              <w:t>226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(122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color w:val="000000"/>
              </w:rPr>
            </w:pPr>
            <w:r>
              <w:rPr>
                <w:color w:val="000000"/>
              </w:rPr>
              <w:t>3,449</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360" w:right="0" w:hanging="18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color w:val="000000"/>
              </w:rPr>
            </w:pPr>
            <w:r>
              <w:rPr>
                <w:color w:val="000000"/>
              </w:rPr>
              <w:t>1,057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219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(264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105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0"/>
              <w:jc w:val="right"/>
              <w:rPr>
                <w:color w:val="000000"/>
              </w:rPr>
            </w:pPr>
            <w:r>
              <w:rPr>
                <w:color w:val="000000"/>
              </w:rPr>
              <w:t>1,120</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7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2,382</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9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44,822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3,173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9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(816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2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53,076</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color w:val="000000"/>
                <w:u w:val="single"/>
              </w:rPr>
            </w:pPr>
            <w:r>
              <w:rPr>
                <w:color w:val="000000"/>
                <w:u w:val="single"/>
              </w:rPr>
              <w:t>For the three months ended June 30, 2025</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color w:val="000000"/>
              </w:rPr>
            </w:pPr>
            <w:r>
              <w:rPr>
                <w:color w:val="000000"/>
              </w:rPr>
              <w:t>Commercial real estate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0"/>
              <w:jc w:val="left"/>
              <w:rPr>
                <w:color w:val="000000"/>
              </w:rPr>
            </w:pPr>
            <w:r>
              <w:rPr>
                <w:color w:val="000000"/>
              </w:rPr>
              <w:t>$</w:t>
            </w:r>
          </w:p>
        </w:tc>
        <w:tc>
          <w:tcPr>
            <w:tcW w:w="892" w:type="dxa"/>
            <w:tcBorders/>
            <w:vAlign w:val="bottom"/>
          </w:tcPr>
          <w:p>
            <w:pPr>
              <w:pStyle w:val="TableContents"/>
              <w:bidi w:val="0"/>
              <w:spacing w:before="0" w:after="0"/>
              <w:jc w:val="right"/>
              <w:rPr>
                <w:color w:val="000000"/>
              </w:rPr>
            </w:pPr>
            <w:r>
              <w:rPr>
                <w:color w:val="000000"/>
              </w:rPr>
              <w:t>15,787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0"/>
              <w:jc w:val="left"/>
              <w:rPr>
                <w:color w:val="000000"/>
              </w:rPr>
            </w:pPr>
            <w:r>
              <w:rPr>
                <w:color w:val="000000"/>
              </w:rPr>
              <w:t>$</w:t>
            </w:r>
          </w:p>
        </w:tc>
        <w:tc>
          <w:tcPr>
            <w:tcW w:w="798" w:type="dxa"/>
            <w:tcBorders/>
            <w:vAlign w:val="bottom"/>
          </w:tcPr>
          <w:p>
            <w:pPr>
              <w:pStyle w:val="TableContents"/>
              <w:bidi w:val="0"/>
              <w:spacing w:before="0" w:after="0"/>
              <w:jc w:val="right"/>
              <w:rPr>
                <w:color w:val="000000"/>
              </w:rPr>
            </w:pPr>
            <w:r>
              <w:rPr>
                <w:color w:val="000000"/>
              </w:rPr>
              <w:t>(81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0"/>
              <w:jc w:val="left"/>
              <w:rPr>
                <w:color w:val="000000"/>
              </w:rPr>
            </w:pPr>
            <w:r>
              <w:rPr>
                <w:color w:val="000000"/>
              </w:rPr>
              <w:t>$</w:t>
            </w:r>
          </w:p>
        </w:tc>
        <w:tc>
          <w:tcPr>
            <w:tcW w:w="99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0"/>
              <w:jc w:val="left"/>
              <w:rPr>
                <w:color w:val="000000"/>
              </w:rPr>
            </w:pPr>
            <w:r>
              <w:rPr>
                <w:color w:val="000000"/>
              </w:rPr>
              <w:t>$</w:t>
            </w:r>
          </w:p>
        </w:tc>
        <w:tc>
          <w:tcPr>
            <w:tcW w:w="8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724" w:type="dxa"/>
            <w:tcBorders/>
            <w:vAlign w:val="bottom"/>
          </w:tcPr>
          <w:p>
            <w:pPr>
              <w:pStyle w:val="TableContents"/>
              <w:bidi w:val="0"/>
              <w:spacing w:before="0" w:after="0"/>
              <w:jc w:val="right"/>
              <w:rPr>
                <w:color w:val="000000"/>
              </w:rPr>
            </w:pPr>
            <w:r>
              <w:rPr>
                <w:color w:val="000000"/>
              </w:rPr>
              <w:t>15,706</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color w:val="000000"/>
              </w:rPr>
            </w:pPr>
            <w:r>
              <w:rPr>
                <w:color w:val="000000"/>
              </w:rPr>
              <w:t>4,523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311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0"/>
              <w:jc w:val="right"/>
              <w:rPr>
                <w:color w:val="000000"/>
              </w:rPr>
            </w:pPr>
            <w:r>
              <w:rPr>
                <w:color w:val="000000"/>
              </w:rPr>
              <w:t>4,881</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color w:val="000000"/>
              </w:rPr>
            </w:pPr>
            <w:r>
              <w:rPr>
                <w:color w:val="000000"/>
              </w:rPr>
              <w:t>Commercial - general</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color w:val="000000"/>
              </w:rPr>
            </w:pPr>
            <w:r>
              <w:rPr>
                <w:color w:val="000000"/>
              </w:rPr>
              <w:t>6,403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color w:val="000000"/>
              </w:rPr>
            </w:pPr>
            <w:r>
              <w:rPr>
                <w:color w:val="000000"/>
              </w:rPr>
              <w:t>856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(284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253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color w:val="000000"/>
              </w:rPr>
            </w:pPr>
            <w:r>
              <w:rPr>
                <w:color w:val="000000"/>
              </w:rPr>
              <w:t>7,228</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color w:val="000000"/>
              </w:rPr>
            </w:pPr>
            <w:r>
              <w:rPr>
                <w:color w:val="000000"/>
              </w:rPr>
              <w:t>Consumer:</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360" w:right="0" w:hanging="180"/>
              <w:jc w:val="left"/>
              <w:rPr>
                <w:color w:val="000000"/>
              </w:rPr>
            </w:pPr>
            <w:r>
              <w:rPr>
                <w:color w:val="000000"/>
              </w:rPr>
              <w:t>1-4 family residential</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color w:val="000000"/>
              </w:rPr>
            </w:pPr>
            <w:r>
              <w:rPr>
                <w:color w:val="000000"/>
              </w:rPr>
              <w:t>10,079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color w:val="000000"/>
              </w:rPr>
            </w:pPr>
            <w:r>
              <w:rPr>
                <w:color w:val="000000"/>
              </w:rPr>
              <w:t>1,030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color w:val="000000"/>
              </w:rPr>
            </w:pPr>
            <w:r>
              <w:rPr>
                <w:color w:val="000000"/>
              </w:rPr>
              <w:t>11,150</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360" w:right="0" w:hanging="180"/>
              <w:jc w:val="left"/>
              <w:rPr>
                <w:color w:val="000000"/>
              </w:rPr>
            </w:pPr>
            <w:r>
              <w:rPr>
                <w:color w:val="000000"/>
              </w:rPr>
              <w:t>Auto loans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color w:val="000000"/>
              </w:rPr>
            </w:pPr>
            <w:r>
              <w:rPr>
                <w:color w:val="000000"/>
              </w:rPr>
              <w:t>3,096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252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(392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0"/>
              <w:jc w:val="right"/>
              <w:rPr>
                <w:color w:val="000000"/>
              </w:rPr>
            </w:pPr>
            <w:r>
              <w:rPr>
                <w:color w:val="000000"/>
              </w:rPr>
              <w:t>2,995</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360" w:right="0" w:hanging="180"/>
              <w:jc w:val="left"/>
              <w:rPr>
                <w:color w:val="000000"/>
              </w:rPr>
            </w:pPr>
            <w:r>
              <w:rPr>
                <w:color w:val="000000"/>
              </w:rPr>
              <w:t>Other consumer</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color w:val="000000"/>
              </w:rPr>
            </w:pPr>
            <w:r>
              <w:rPr>
                <w:color w:val="000000"/>
              </w:rPr>
              <w:t>1,107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color w:val="000000"/>
              </w:rPr>
            </w:pPr>
            <w:r>
              <w:rPr>
                <w:color w:val="000000"/>
              </w:rPr>
              <w:t>157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(258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color w:val="000000"/>
              </w:rPr>
            </w:pPr>
            <w:r>
              <w:rPr>
                <w:color w:val="000000"/>
              </w:rPr>
              <w:t>1,102</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color w:val="000000"/>
              </w:rPr>
            </w:pPr>
            <w:r>
              <w:rPr>
                <w:color w:val="000000"/>
              </w:rPr>
              <w:t>Construction</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1,948</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9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42,968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9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(934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2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45,010</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color w:val="000000"/>
                <w:u w:val="single"/>
              </w:rPr>
            </w:pPr>
            <w:r>
              <w:rPr>
                <w:color w:val="000000"/>
                <w:u w:val="single"/>
              </w:rPr>
              <w:t>For the six months ended June 30, 2026</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color w:val="000000"/>
              </w:rPr>
            </w:pPr>
            <w:r>
              <w:rPr>
                <w:color w:val="000000"/>
              </w:rPr>
              <w:t>$</w:t>
            </w:r>
          </w:p>
        </w:tc>
        <w:tc>
          <w:tcPr>
            <w:tcW w:w="892" w:type="dxa"/>
            <w:tcBorders/>
            <w:shd w:fill="CCEEFF" w:val="clear"/>
            <w:vAlign w:val="bottom"/>
          </w:tcPr>
          <w:p>
            <w:pPr>
              <w:pStyle w:val="TableContents"/>
              <w:bidi w:val="0"/>
              <w:spacing w:before="0" w:after="0"/>
              <w:jc w:val="right"/>
              <w:rPr>
                <w:color w:val="000000"/>
              </w:rPr>
            </w:pPr>
            <w:r>
              <w:rPr>
                <w:color w:val="000000"/>
              </w:rPr>
              <w:t>15,214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1,897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1,705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color w:val="000000"/>
              </w:rPr>
            </w:pPr>
            <w:r>
              <w:rPr>
                <w:color w:val="000000"/>
              </w:rPr>
              <w:t>$</w:t>
            </w:r>
          </w:p>
        </w:tc>
        <w:tc>
          <w:tcPr>
            <w:tcW w:w="798" w:type="dxa"/>
            <w:tcBorders/>
            <w:shd w:fill="CCEEFF" w:val="clear"/>
            <w:vAlign w:val="bottom"/>
          </w:tcPr>
          <w:p>
            <w:pPr>
              <w:pStyle w:val="TableContents"/>
              <w:bidi w:val="0"/>
              <w:spacing w:before="0" w:after="0"/>
              <w:jc w:val="right"/>
              <w:rPr>
                <w:color w:val="000000"/>
              </w:rPr>
            </w:pPr>
            <w:r>
              <w:rPr>
                <w:color w:val="000000"/>
              </w:rPr>
              <w:t>(424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0"/>
              <w:jc w:val="left"/>
              <w:rPr>
                <w:color w:val="000000"/>
              </w:rPr>
            </w:pPr>
            <w:r>
              <w:rPr>
                <w:color w:val="000000"/>
              </w:rPr>
              <w:t>$</w:t>
            </w:r>
          </w:p>
        </w:tc>
        <w:tc>
          <w:tcPr>
            <w:tcW w:w="996" w:type="dxa"/>
            <w:tcBorders/>
            <w:shd w:fill="CCEEFF" w:val="clear"/>
            <w:vAlign w:val="bottom"/>
          </w:tcPr>
          <w:p>
            <w:pPr>
              <w:pStyle w:val="TableContents"/>
              <w:bidi w:val="0"/>
              <w:spacing w:before="0" w:after="0"/>
              <w:jc w:val="right"/>
              <w:rPr>
                <w:color w:val="000000"/>
              </w:rPr>
            </w:pPr>
            <w:r>
              <w:rPr>
                <w:color w:val="000000"/>
              </w:rPr>
              <w:t>(64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left"/>
              <w:rPr>
                <w:color w:val="000000"/>
              </w:rPr>
            </w:pPr>
            <w:r>
              <w:rPr>
                <w:color w:val="000000"/>
              </w:rPr>
              <w:t>$</w:t>
            </w:r>
          </w:p>
        </w:tc>
        <w:tc>
          <w:tcPr>
            <w:tcW w:w="8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724" w:type="dxa"/>
            <w:tcBorders/>
            <w:shd w:fill="CCEEFF" w:val="clear"/>
            <w:vAlign w:val="bottom"/>
          </w:tcPr>
          <w:p>
            <w:pPr>
              <w:pStyle w:val="TableContents"/>
              <w:bidi w:val="0"/>
              <w:spacing w:before="0" w:after="0"/>
              <w:jc w:val="right"/>
              <w:rPr>
                <w:color w:val="000000"/>
              </w:rPr>
            </w:pPr>
            <w:r>
              <w:rPr>
                <w:color w:val="000000"/>
              </w:rPr>
              <w:t>18,328</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color w:val="000000"/>
              </w:rPr>
            </w:pPr>
            <w:r>
              <w:rPr>
                <w:color w:val="000000"/>
              </w:rPr>
              <w:t>5,231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226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color w:val="000000"/>
              </w:rPr>
            </w:pPr>
            <w:r>
              <w:rPr>
                <w:color w:val="000000"/>
              </w:rPr>
              <w:t>(16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(84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color w:val="000000"/>
              </w:rPr>
            </w:pPr>
            <w:r>
              <w:rPr>
                <w:color w:val="000000"/>
              </w:rPr>
              <w:t>5,613</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color w:val="000000"/>
              </w:rPr>
            </w:pPr>
            <w:r>
              <w:rPr>
                <w:color w:val="000000"/>
              </w:rPr>
              <w:t>7,448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914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289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(456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0"/>
              <w:jc w:val="right"/>
              <w:rPr>
                <w:color w:val="000000"/>
              </w:rPr>
            </w:pPr>
            <w:r>
              <w:rPr>
                <w:color w:val="000000"/>
              </w:rPr>
              <w:t>8,590</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360" w:right="0" w:hanging="18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color w:val="000000"/>
              </w:rPr>
            </w:pPr>
            <w:r>
              <w:rPr>
                <w:color w:val="000000"/>
              </w:rPr>
              <w:t>11,103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732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2,207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(747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301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0"/>
              <w:jc w:val="right"/>
              <w:rPr>
                <w:color w:val="000000"/>
              </w:rPr>
            </w:pPr>
            <w:r>
              <w:rPr>
                <w:color w:val="000000"/>
              </w:rPr>
              <w:t>13,594</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360" w:right="0" w:hanging="18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color w:val="000000"/>
              </w:rPr>
            </w:pPr>
            <w:r>
              <w:rPr>
                <w:color w:val="000000"/>
              </w:rPr>
              <w:t>3,033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color w:val="000000"/>
              </w:rPr>
            </w:pPr>
            <w:r>
              <w:rPr>
                <w:color w:val="000000"/>
              </w:rPr>
              <w:t>741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(403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color w:val="000000"/>
              </w:rPr>
            </w:pPr>
            <w:r>
              <w:rPr>
                <w:color w:val="000000"/>
              </w:rPr>
              <w:t>3,449</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360" w:right="0" w:hanging="18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color w:val="000000"/>
              </w:rPr>
            </w:pPr>
            <w:r>
              <w:rPr>
                <w:color w:val="000000"/>
              </w:rPr>
              <w:t>1,150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349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(603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0"/>
              <w:jc w:val="right"/>
              <w:rPr>
                <w:color w:val="000000"/>
              </w:rPr>
            </w:pPr>
            <w:r>
              <w:rPr>
                <w:color w:val="000000"/>
              </w:rPr>
              <w:t>1,120</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7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2,382</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9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45,131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3,173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9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(1,612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2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53,076</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color w:val="000000"/>
                <w:u w:val="single"/>
              </w:rPr>
            </w:pPr>
            <w:r>
              <w:rPr>
                <w:color w:val="000000"/>
                <w:u w:val="single"/>
              </w:rPr>
              <w:t>For the six months ended June 30, 2025</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color w:val="000000"/>
              </w:rPr>
            </w:pPr>
            <w:r>
              <w:rPr>
                <w:color w:val="000000"/>
              </w:rPr>
              <w:t>Commercial real estate</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0"/>
              <w:jc w:val="left"/>
              <w:rPr>
                <w:color w:val="000000"/>
              </w:rPr>
            </w:pPr>
            <w:r>
              <w:rPr>
                <w:color w:val="000000"/>
              </w:rPr>
              <w:t>$</w:t>
            </w:r>
          </w:p>
        </w:tc>
        <w:tc>
          <w:tcPr>
            <w:tcW w:w="892" w:type="dxa"/>
            <w:tcBorders/>
            <w:vAlign w:val="bottom"/>
          </w:tcPr>
          <w:p>
            <w:pPr>
              <w:pStyle w:val="TableContents"/>
              <w:bidi w:val="0"/>
              <w:spacing w:before="0" w:after="0"/>
              <w:jc w:val="right"/>
              <w:rPr>
                <w:color w:val="000000"/>
              </w:rPr>
            </w:pPr>
            <w:r>
              <w:rPr>
                <w:color w:val="000000"/>
              </w:rPr>
              <w:t>15,973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0"/>
              <w:jc w:val="left"/>
              <w:rPr>
                <w:color w:val="000000"/>
              </w:rPr>
            </w:pPr>
            <w:r>
              <w:rPr>
                <w:color w:val="000000"/>
              </w:rPr>
              <w:t>$</w:t>
            </w:r>
          </w:p>
        </w:tc>
        <w:tc>
          <w:tcPr>
            <w:tcW w:w="798" w:type="dxa"/>
            <w:tcBorders/>
            <w:vAlign w:val="bottom"/>
          </w:tcPr>
          <w:p>
            <w:pPr>
              <w:pStyle w:val="TableContents"/>
              <w:bidi w:val="0"/>
              <w:spacing w:before="0" w:after="0"/>
              <w:jc w:val="right"/>
              <w:rPr>
                <w:color w:val="000000"/>
              </w:rPr>
            </w:pPr>
            <w:r>
              <w:rPr>
                <w:color w:val="000000"/>
              </w:rPr>
              <w:t>(267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0"/>
              <w:jc w:val="left"/>
              <w:rPr>
                <w:color w:val="000000"/>
              </w:rPr>
            </w:pPr>
            <w:r>
              <w:rPr>
                <w:color w:val="000000"/>
              </w:rPr>
              <w:t>$</w:t>
            </w:r>
          </w:p>
        </w:tc>
        <w:tc>
          <w:tcPr>
            <w:tcW w:w="99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0"/>
              <w:jc w:val="left"/>
              <w:rPr>
                <w:color w:val="000000"/>
              </w:rPr>
            </w:pPr>
            <w:r>
              <w:rPr>
                <w:color w:val="000000"/>
              </w:rPr>
              <w:t>$</w:t>
            </w:r>
          </w:p>
        </w:tc>
        <w:tc>
          <w:tcPr>
            <w:tcW w:w="8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724" w:type="dxa"/>
            <w:tcBorders/>
            <w:vAlign w:val="bottom"/>
          </w:tcPr>
          <w:p>
            <w:pPr>
              <w:pStyle w:val="TableContents"/>
              <w:bidi w:val="0"/>
              <w:spacing w:before="0" w:after="0"/>
              <w:jc w:val="right"/>
              <w:rPr>
                <w:color w:val="000000"/>
              </w:rPr>
            </w:pPr>
            <w:r>
              <w:rPr>
                <w:color w:val="000000"/>
              </w:rPr>
              <w:t>15,706</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color w:val="000000"/>
              </w:rPr>
            </w:pPr>
            <w:r>
              <w:rPr>
                <w:color w:val="000000"/>
              </w:rPr>
              <w:t>4,640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160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0"/>
              <w:jc w:val="right"/>
              <w:rPr>
                <w:color w:val="000000"/>
              </w:rPr>
            </w:pPr>
            <w:r>
              <w:rPr>
                <w:color w:val="000000"/>
              </w:rPr>
              <w:t>4,881</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color w:val="000000"/>
              </w:rPr>
            </w:pPr>
            <w:r>
              <w:rPr>
                <w:color w:val="000000"/>
              </w:rPr>
              <w:t>Commercial - general</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color w:val="000000"/>
              </w:rPr>
            </w:pPr>
            <w:r>
              <w:rPr>
                <w:color w:val="000000"/>
              </w:rPr>
              <w:t>6,874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color w:val="000000"/>
              </w:rPr>
            </w:pPr>
            <w:r>
              <w:rPr>
                <w:color w:val="000000"/>
              </w:rPr>
              <w:t>439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(358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273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color w:val="000000"/>
              </w:rPr>
            </w:pPr>
            <w:r>
              <w:rPr>
                <w:color w:val="000000"/>
              </w:rPr>
              <w:t>7,228</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color w:val="000000"/>
              </w:rPr>
            </w:pPr>
            <w:r>
              <w:rPr>
                <w:color w:val="000000"/>
              </w:rPr>
              <w:t>Consumer:</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360" w:right="0" w:hanging="180"/>
              <w:jc w:val="left"/>
              <w:rPr>
                <w:color w:val="000000"/>
              </w:rPr>
            </w:pPr>
            <w:r>
              <w:rPr>
                <w:color w:val="000000"/>
              </w:rPr>
              <w:t>1-4 family residential</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color w:val="000000"/>
              </w:rPr>
            </w:pPr>
            <w:r>
              <w:rPr>
                <w:color w:val="000000"/>
              </w:rPr>
              <w:t>9,677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color w:val="000000"/>
              </w:rPr>
            </w:pPr>
            <w:r>
              <w:rPr>
                <w:color w:val="000000"/>
              </w:rPr>
              <w:t>1,425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color w:val="000000"/>
              </w:rPr>
            </w:pPr>
            <w:r>
              <w:rPr>
                <w:color w:val="000000"/>
              </w:rPr>
              <w:t>11,150</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360" w:right="0" w:hanging="180"/>
              <w:jc w:val="left"/>
              <w:rPr>
                <w:color w:val="000000"/>
              </w:rPr>
            </w:pPr>
            <w:r>
              <w:rPr>
                <w:color w:val="000000"/>
              </w:rPr>
              <w:t>Auto loans</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color w:val="000000"/>
              </w:rPr>
            </w:pPr>
            <w:r>
              <w:rPr>
                <w:color w:val="000000"/>
              </w:rPr>
              <w:t>3,015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color w:val="000000"/>
              </w:rPr>
            </w:pPr>
            <w:r>
              <w:rPr>
                <w:color w:val="000000"/>
              </w:rPr>
              <w:t>583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color w:val="000000"/>
              </w:rPr>
            </w:pPr>
            <w:r>
              <w:rPr>
                <w:color w:val="000000"/>
              </w:rPr>
              <w:t>(694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0"/>
              <w:jc w:val="right"/>
              <w:rPr>
                <w:color w:val="000000"/>
              </w:rPr>
            </w:pPr>
            <w:r>
              <w:rPr>
                <w:color w:val="000000"/>
              </w:rPr>
              <w:t>2,995</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360" w:right="0" w:hanging="180"/>
              <w:jc w:val="left"/>
              <w:rPr>
                <w:color w:val="000000"/>
              </w:rPr>
            </w:pPr>
            <w:r>
              <w:rPr>
                <w:color w:val="000000"/>
              </w:rPr>
              <w:t>Other consumer</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color w:val="000000"/>
              </w:rPr>
            </w:pPr>
            <w:r>
              <w:rPr>
                <w:color w:val="000000"/>
              </w:rPr>
              <w:t>1,115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color w:val="000000"/>
              </w:rPr>
            </w:pPr>
            <w:r>
              <w:rPr>
                <w:color w:val="000000"/>
              </w:rPr>
              <w:t>410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color w:val="000000"/>
              </w:rPr>
            </w:pPr>
            <w:r>
              <w:rPr>
                <w:color w:val="000000"/>
              </w:rPr>
              <w:t>(572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0"/>
              <w:jc w:val="right"/>
              <w:rPr>
                <w:color w:val="000000"/>
              </w:rPr>
            </w:pPr>
            <w:r>
              <w:rPr>
                <w:color w:val="000000"/>
              </w:rPr>
              <w:t>149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color w:val="000000"/>
              </w:rPr>
            </w:pPr>
            <w:r>
              <w:rPr>
                <w:color w:val="000000"/>
              </w:rPr>
              <w:t>1,102</w:t>
            </w:r>
          </w:p>
        </w:tc>
        <w:tc>
          <w:tcPr>
            <w:tcW w:w="142" w:type="dxa"/>
            <w:tcBorders/>
            <w:vAlign w:val="bottom"/>
          </w:tcPr>
          <w:p>
            <w:pPr>
              <w:pStyle w:val="TableContents"/>
              <w:bidi w:val="0"/>
              <w:spacing w:before="0" w:after="283"/>
              <w:jc w:val="left"/>
              <w:rPr/>
            </w:pPr>
            <w:r>
              <w:rPr/>
              <w:t> </w:t>
            </w:r>
          </w:p>
        </w:tc>
      </w:tr>
      <w:tr>
        <w:trPr/>
        <w:tc>
          <w:tcPr>
            <w:tcW w:w="1343" w:type="dxa"/>
            <w:tcBorders/>
            <w:shd w:fill="CCEEFF" w:val="clear"/>
            <w:vAlign w:val="bottom"/>
          </w:tcPr>
          <w:p>
            <w:pPr>
              <w:pStyle w:val="TableContents"/>
              <w:bidi w:val="0"/>
              <w:spacing w:before="0" w:after="0"/>
              <w:ind w:left="180" w:right="0" w:hanging="180"/>
              <w:jc w:val="left"/>
              <w:rPr>
                <w:color w:val="000000"/>
              </w:rPr>
            </w:pPr>
            <w:r>
              <w:rPr>
                <w:color w:val="000000"/>
              </w:rPr>
              <w:t>Construction</w:t>
            </w:r>
          </w:p>
        </w:tc>
        <w:tc>
          <w:tcPr>
            <w:tcW w:w="90" w:type="dxa"/>
            <w:tcBorders/>
            <w:shd w:fill="CCEEFF" w:val="clear"/>
            <w:vAlign w:val="bottom"/>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1,948</w:t>
            </w:r>
          </w:p>
        </w:tc>
        <w:tc>
          <w:tcPr>
            <w:tcW w:w="142" w:type="dxa"/>
            <w:tcBorders/>
            <w:shd w:fill="CCEEFF" w:val="clear"/>
            <w:vAlign w:val="bottom"/>
          </w:tcPr>
          <w:p>
            <w:pPr>
              <w:pStyle w:val="TableContents"/>
              <w:bidi w:val="0"/>
              <w:spacing w:before="0" w:after="283"/>
              <w:jc w:val="left"/>
              <w:rPr/>
            </w:pPr>
            <w:r>
              <w:rPr/>
              <w:t> </w:t>
            </w:r>
          </w:p>
        </w:tc>
      </w:tr>
      <w:tr>
        <w:trPr/>
        <w:tc>
          <w:tcPr>
            <w:tcW w:w="1343"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9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43,237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2,750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9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(1,624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3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2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45,010</w:t>
            </w:r>
          </w:p>
        </w:tc>
        <w:tc>
          <w:tcPr>
            <w:tcW w:w="142"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provision for credit losses on the consolidated statements of income is comprised of the provision for credit losses on loans, noted in the above table, and the provision for off-balance sheet credit loss exposures. During the three and six months ended June 30, 2026 the Company recorded a provision for off-balance sheet credit exposures of $- and $260 thousand, respectively. During the three and six months ended June 30, 2025, the Company recorded a provision for off-balance sheet credit exposures of $- and $170 thousand, respectively.</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Company’s amortized cost and related ACL for individually evaluated collateral dependent loans by class using the fair value of collateral loss estimation methodology of evaluating expected credit losses at the dates indicated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5" w:name="zd65c19c31d0b482b8d46ab9a57cfb481"/>
      <w:bookmarkStart w:id="56" w:name="zd65c19c31d0b482b8d46ab9a57cfb481"/>
      <w:bookmarkEnd w:id="56"/>
    </w:p>
    <w:tbl>
      <w:tblPr>
        <w:tblW w:w="10205" w:type="dxa"/>
        <w:jc w:val="left"/>
        <w:tblInd w:w="0" w:type="dxa"/>
        <w:tblLayout w:type="fixed"/>
        <w:tblCellMar>
          <w:top w:w="0" w:type="dxa"/>
          <w:left w:w="0" w:type="dxa"/>
          <w:bottom w:w="0" w:type="dxa"/>
          <w:right w:w="0" w:type="dxa"/>
        </w:tblCellMar>
      </w:tblPr>
      <w:tblGrid>
        <w:gridCol w:w="2049"/>
        <w:gridCol w:w="90"/>
        <w:gridCol w:w="266"/>
        <w:gridCol w:w="924"/>
        <w:gridCol w:w="90"/>
        <w:gridCol w:w="90"/>
        <w:gridCol w:w="239"/>
        <w:gridCol w:w="832"/>
        <w:gridCol w:w="90"/>
        <w:gridCol w:w="90"/>
        <w:gridCol w:w="190"/>
        <w:gridCol w:w="460"/>
        <w:gridCol w:w="90"/>
        <w:gridCol w:w="90"/>
        <w:gridCol w:w="660"/>
        <w:gridCol w:w="2297"/>
        <w:gridCol w:w="90"/>
        <w:gridCol w:w="90"/>
        <w:gridCol w:w="299"/>
        <w:gridCol w:w="1041"/>
        <w:gridCol w:w="138"/>
      </w:tblGrid>
      <w:tr>
        <w:trPr/>
        <w:tc>
          <w:tcPr>
            <w:tcW w:w="2049"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Equipment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Real Estate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5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Loans Individually Evaluated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ACL</w:t>
            </w:r>
          </w:p>
          <w:p>
            <w:pPr>
              <w:pStyle w:val="TableContents"/>
              <w:bidi w:val="0"/>
              <w:spacing w:before="0" w:after="0"/>
              <w:jc w:val="center"/>
              <w:rPr>
                <w:b/>
                <w:color w:val="000000"/>
              </w:rPr>
            </w:pPr>
            <w:r>
              <w:rPr>
                <w:b/>
                <w:color w:val="000000"/>
              </w:rPr>
              <w:t>for</w:t>
            </w:r>
          </w:p>
          <w:p>
            <w:pPr>
              <w:pStyle w:val="TableContents"/>
              <w:bidi w:val="0"/>
              <w:spacing w:before="0" w:after="0"/>
              <w:jc w:val="center"/>
              <w:rPr>
                <w:color w:val="000000"/>
              </w:rPr>
            </w:pPr>
            <w:r>
              <w:rPr>
                <w:color w:val="000000"/>
              </w:rPr>
              <w:t> </w:t>
            </w:r>
            <w:r>
              <w:rPr>
                <w:b/>
                <w:color w:val="000000"/>
              </w:rPr>
              <w:t>Individually</w:t>
            </w:r>
          </w:p>
          <w:p>
            <w:pPr>
              <w:pStyle w:val="TableContents"/>
              <w:bidi w:val="0"/>
              <w:spacing w:before="0" w:after="0"/>
              <w:jc w:val="center"/>
              <w:rPr>
                <w:b/>
                <w:color w:val="000000"/>
              </w:rPr>
            </w:pPr>
            <w:r>
              <w:rPr>
                <w:b/>
                <w:color w:val="000000"/>
              </w:rPr>
              <w:t xml:space="preserve">Evaluated </w:t>
            </w:r>
          </w:p>
          <w:p>
            <w:pPr>
              <w:pStyle w:val="TableContents"/>
              <w:bidi w:val="0"/>
              <w:spacing w:before="0" w:after="0"/>
              <w:jc w:val="center"/>
              <w:rPr>
                <w:b/>
                <w:color w:val="000000"/>
              </w:rPr>
            </w:pPr>
            <w:r>
              <w:rPr>
                <w:b/>
                <w:color w:val="000000"/>
              </w:rPr>
              <w:t>Loans</w:t>
            </w:r>
          </w:p>
        </w:tc>
        <w:tc>
          <w:tcPr>
            <w:tcW w:w="138" w:type="dxa"/>
            <w:tcBorders/>
            <w:vAlign w:val="bottom"/>
          </w:tcPr>
          <w:p>
            <w:pPr>
              <w:pStyle w:val="TableContents"/>
              <w:bidi w:val="0"/>
              <w:spacing w:before="0" w:after="283"/>
              <w:jc w:val="left"/>
              <w:rPr/>
            </w:pPr>
            <w:r>
              <w:rPr/>
              <w:t> </w:t>
            </w:r>
          </w:p>
        </w:tc>
      </w:tr>
      <w:tr>
        <w:trPr/>
        <w:tc>
          <w:tcPr>
            <w:tcW w:w="2049" w:type="dxa"/>
            <w:tcBorders/>
            <w:vAlign w:val="bottom"/>
          </w:tcPr>
          <w:p>
            <w:pPr>
              <w:pStyle w:val="TableContents"/>
              <w:bidi w:val="0"/>
              <w:spacing w:before="0" w:after="0"/>
              <w:ind w:left="180" w:right="0" w:hanging="180"/>
              <w:jc w:val="left"/>
              <w:rPr>
                <w:color w:val="000000"/>
                <w:u w:val="single"/>
              </w:rPr>
            </w:pPr>
            <w:r>
              <w:rPr>
                <w:color w:val="000000"/>
                <w:u w:val="single"/>
              </w:rPr>
              <w:t>June 30, 2026</w:t>
            </w:r>
          </w:p>
        </w:tc>
        <w:tc>
          <w:tcPr>
            <w:tcW w:w="9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57"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r>
      <w:tr>
        <w:trPr/>
        <w:tc>
          <w:tcPr>
            <w:tcW w:w="2049" w:type="dxa"/>
            <w:tcBorders/>
            <w:shd w:fill="CCEEFF" w:val="clear"/>
            <w:vAlign w:val="bottom"/>
          </w:tcPr>
          <w:p>
            <w:pPr>
              <w:pStyle w:val="TableContents"/>
              <w:bidi w:val="0"/>
              <w:spacing w:before="0" w:after="0"/>
              <w:ind w:left="180" w:right="0" w:hanging="18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0"/>
              <w:jc w:val="left"/>
              <w:rPr>
                <w:color w:val="000000"/>
              </w:rPr>
            </w:pPr>
            <w:r>
              <w:rPr>
                <w:color w:val="000000"/>
              </w:rPr>
              <w:t>$</w:t>
            </w:r>
          </w:p>
        </w:tc>
        <w:tc>
          <w:tcPr>
            <w:tcW w:w="92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0"/>
              <w:jc w:val="left"/>
              <w:rPr>
                <w:color w:val="000000"/>
              </w:rPr>
            </w:pPr>
            <w:r>
              <w:rPr>
                <w:color w:val="000000"/>
              </w:rPr>
              <w:t>$</w:t>
            </w:r>
          </w:p>
        </w:tc>
        <w:tc>
          <w:tcPr>
            <w:tcW w:w="832" w:type="dxa"/>
            <w:tcBorders/>
            <w:shd w:fill="CCEEFF" w:val="clear"/>
            <w:vAlign w:val="bottom"/>
          </w:tcPr>
          <w:p>
            <w:pPr>
              <w:pStyle w:val="TableContents"/>
              <w:bidi w:val="0"/>
              <w:spacing w:before="0" w:after="0"/>
              <w:jc w:val="right"/>
              <w:rPr>
                <w:color w:val="000000"/>
              </w:rPr>
            </w:pPr>
            <w:r>
              <w:rPr>
                <w:color w:val="000000"/>
              </w:rPr>
              <w:t>1,666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0"/>
              <w:jc w:val="left"/>
              <w:rPr>
                <w:color w:val="000000"/>
              </w:rPr>
            </w:pPr>
            <w:r>
              <w:rPr>
                <w:color w:val="000000"/>
              </w:rPr>
              <w:t>$</w:t>
            </w:r>
          </w:p>
        </w:tc>
        <w:tc>
          <w:tcPr>
            <w:tcW w:w="460" w:type="dxa"/>
            <w:tcBorders/>
            <w:shd w:fill="CCEEFF" w:val="clear"/>
            <w:vAlign w:val="bottom"/>
          </w:tcPr>
          <w:p>
            <w:pPr>
              <w:pStyle w:val="TableContents"/>
              <w:bidi w:val="0"/>
              <w:spacing w:before="0" w:after="0"/>
              <w:jc w:val="right"/>
              <w:rPr>
                <w:color w:val="000000"/>
              </w:rPr>
            </w:pPr>
            <w:r>
              <w:rPr>
                <w:color w:val="000000"/>
              </w:rPr>
              <w:t>256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left"/>
              <w:rPr>
                <w:color w:val="000000"/>
              </w:rPr>
            </w:pPr>
            <w:r>
              <w:rPr>
                <w:color w:val="000000"/>
              </w:rPr>
              <w:t>$</w:t>
            </w:r>
          </w:p>
        </w:tc>
        <w:tc>
          <w:tcPr>
            <w:tcW w:w="2297" w:type="dxa"/>
            <w:tcBorders/>
            <w:shd w:fill="CCEEFF" w:val="clear"/>
            <w:vAlign w:val="bottom"/>
          </w:tcPr>
          <w:p>
            <w:pPr>
              <w:pStyle w:val="TableContents"/>
              <w:bidi w:val="0"/>
              <w:spacing w:before="0" w:after="0"/>
              <w:jc w:val="right"/>
              <w:rPr>
                <w:color w:val="000000"/>
              </w:rPr>
            </w:pPr>
            <w:r>
              <w:rPr>
                <w:color w:val="000000"/>
              </w:rPr>
              <w:t>1,922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0"/>
              <w:jc w:val="left"/>
              <w:rPr>
                <w:color w:val="000000"/>
              </w:rPr>
            </w:pPr>
            <w:r>
              <w:rPr>
                <w:color w:val="000000"/>
              </w:rPr>
              <w:t>$</w:t>
            </w:r>
          </w:p>
        </w:tc>
        <w:tc>
          <w:tcPr>
            <w:tcW w:w="1041" w:type="dxa"/>
            <w:tcBorders/>
            <w:shd w:fill="CCEEFF" w:val="clear"/>
            <w:vAlign w:val="bottom"/>
          </w:tcPr>
          <w:p>
            <w:pPr>
              <w:pStyle w:val="TableContents"/>
              <w:bidi w:val="0"/>
              <w:spacing w:before="0" w:after="0"/>
              <w:jc w:val="right"/>
              <w:rPr>
                <w:color w:val="000000"/>
              </w:rPr>
            </w:pPr>
            <w:r>
              <w:rPr>
                <w:color w:val="000000"/>
              </w:rPr>
              <w:t>1,022</w:t>
            </w:r>
          </w:p>
        </w:tc>
        <w:tc>
          <w:tcPr>
            <w:tcW w:w="138" w:type="dxa"/>
            <w:tcBorders/>
            <w:shd w:fill="CCEEFF" w:val="clear"/>
            <w:vAlign w:val="bottom"/>
          </w:tcPr>
          <w:p>
            <w:pPr>
              <w:pStyle w:val="TableContents"/>
              <w:bidi w:val="0"/>
              <w:spacing w:before="0" w:after="283"/>
              <w:jc w:val="left"/>
              <w:rPr/>
            </w:pPr>
            <w:r>
              <w:rPr/>
              <w:t> </w:t>
            </w:r>
          </w:p>
        </w:tc>
      </w:tr>
      <w:tr>
        <w:trPr/>
        <w:tc>
          <w:tcPr>
            <w:tcW w:w="2049" w:type="dxa"/>
            <w:tcBorders/>
            <w:vAlign w:val="bottom"/>
          </w:tcPr>
          <w:p>
            <w:pPr>
              <w:pStyle w:val="TableContents"/>
              <w:bidi w:val="0"/>
              <w:spacing w:before="0" w:after="0"/>
              <w:ind w:left="180" w:right="0" w:hanging="18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color w:val="000000"/>
              </w:rPr>
            </w:pPr>
            <w:r>
              <w:rPr>
                <w:color w:val="000000"/>
              </w:rPr>
              <w:t>456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0"/>
              <w:jc w:val="right"/>
              <w:rPr>
                <w:color w:val="000000"/>
              </w:rPr>
            </w:pPr>
            <w:r>
              <w:rPr>
                <w:color w:val="000000"/>
              </w:rPr>
              <w:t>155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0"/>
              <w:jc w:val="right"/>
              <w:rPr>
                <w:color w:val="000000"/>
              </w:rPr>
            </w:pPr>
            <w:r>
              <w:rPr>
                <w:color w:val="000000"/>
              </w:rPr>
              <w:t>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 </w:t>
            </w:r>
          </w:p>
        </w:tc>
        <w:tc>
          <w:tcPr>
            <w:tcW w:w="2297" w:type="dxa"/>
            <w:tcBorders/>
            <w:vAlign w:val="bottom"/>
          </w:tcPr>
          <w:p>
            <w:pPr>
              <w:pStyle w:val="TableContents"/>
              <w:bidi w:val="0"/>
              <w:spacing w:before="0" w:after="0"/>
              <w:jc w:val="right"/>
              <w:rPr>
                <w:color w:val="000000"/>
              </w:rPr>
            </w:pPr>
            <w:r>
              <w:rPr>
                <w:color w:val="000000"/>
              </w:rPr>
              <w:t>635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color w:val="000000"/>
              </w:rPr>
            </w:pPr>
            <w:r>
              <w:rPr>
                <w:color w:val="000000"/>
              </w:rPr>
              <w:t>60</w:t>
            </w:r>
          </w:p>
        </w:tc>
        <w:tc>
          <w:tcPr>
            <w:tcW w:w="138" w:type="dxa"/>
            <w:tcBorders/>
            <w:vAlign w:val="bottom"/>
          </w:tcPr>
          <w:p>
            <w:pPr>
              <w:pStyle w:val="TableContents"/>
              <w:bidi w:val="0"/>
              <w:spacing w:before="0" w:after="283"/>
              <w:jc w:val="left"/>
              <w:rPr/>
            </w:pPr>
            <w:r>
              <w:rPr/>
              <w:t> </w:t>
            </w:r>
          </w:p>
        </w:tc>
      </w:tr>
      <w:tr>
        <w:trPr/>
        <w:tc>
          <w:tcPr>
            <w:tcW w:w="2049" w:type="dxa"/>
            <w:tcBorders/>
            <w:shd w:fill="CCEEFF" w:val="clear"/>
            <w:vAlign w:val="bottom"/>
          </w:tcPr>
          <w:p>
            <w:pPr>
              <w:pStyle w:val="TableContents"/>
              <w:bidi w:val="0"/>
              <w:spacing w:before="0" w:after="0"/>
              <w:ind w:left="180" w:right="0" w:hanging="18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0"/>
              <w:jc w:val="right"/>
              <w:rPr>
                <w:color w:val="000000"/>
              </w:rPr>
            </w:pPr>
            <w:r>
              <w:rPr>
                <w:color w:val="000000"/>
              </w:rPr>
              <w:t>363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left"/>
              <w:rPr/>
            </w:pPr>
            <w:r>
              <w:rPr/>
              <w:t> </w:t>
            </w:r>
          </w:p>
        </w:tc>
        <w:tc>
          <w:tcPr>
            <w:tcW w:w="2297" w:type="dxa"/>
            <w:tcBorders/>
            <w:shd w:fill="CCEEFF" w:val="clear"/>
            <w:vAlign w:val="bottom"/>
          </w:tcPr>
          <w:p>
            <w:pPr>
              <w:pStyle w:val="TableContents"/>
              <w:bidi w:val="0"/>
              <w:spacing w:before="0" w:after="0"/>
              <w:jc w:val="right"/>
              <w:rPr>
                <w:color w:val="000000"/>
              </w:rPr>
            </w:pPr>
            <w:r>
              <w:rPr>
                <w:color w:val="000000"/>
              </w:rPr>
              <w:t>363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color w:val="000000"/>
              </w:rPr>
            </w:pPr>
            <w:r>
              <w:rPr>
                <w:color w:val="000000"/>
              </w:rPr>
              <w:t>-</w:t>
            </w:r>
          </w:p>
        </w:tc>
        <w:tc>
          <w:tcPr>
            <w:tcW w:w="138" w:type="dxa"/>
            <w:tcBorders/>
            <w:shd w:fill="CCEEFF" w:val="clear"/>
            <w:vAlign w:val="bottom"/>
          </w:tcPr>
          <w:p>
            <w:pPr>
              <w:pStyle w:val="TableContents"/>
              <w:bidi w:val="0"/>
              <w:spacing w:before="0" w:after="283"/>
              <w:jc w:val="left"/>
              <w:rPr/>
            </w:pPr>
            <w:r>
              <w:rPr/>
              <w:t> </w:t>
            </w:r>
          </w:p>
        </w:tc>
      </w:tr>
      <w:tr>
        <w:trPr/>
        <w:tc>
          <w:tcPr>
            <w:tcW w:w="2049" w:type="dxa"/>
            <w:tcBorders/>
            <w:vAlign w:val="bottom"/>
          </w:tcPr>
          <w:p>
            <w:pPr>
              <w:pStyle w:val="TableContents"/>
              <w:bidi w:val="0"/>
              <w:spacing w:before="0" w:after="0"/>
              <w:ind w:left="180" w:right="0" w:hanging="18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 </w:t>
            </w:r>
          </w:p>
        </w:tc>
        <w:tc>
          <w:tcPr>
            <w:tcW w:w="229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r>
      <w:tr>
        <w:trPr/>
        <w:tc>
          <w:tcPr>
            <w:tcW w:w="2049" w:type="dxa"/>
            <w:tcBorders/>
            <w:shd w:fill="CCEEFF" w:val="clear"/>
            <w:vAlign w:val="bottom"/>
          </w:tcPr>
          <w:p>
            <w:pPr>
              <w:pStyle w:val="TableContents"/>
              <w:bidi w:val="0"/>
              <w:spacing w:before="0" w:after="0"/>
              <w:ind w:left="360" w:right="0" w:hanging="18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0"/>
              <w:jc w:val="right"/>
              <w:rPr>
                <w:color w:val="000000"/>
              </w:rPr>
            </w:pPr>
            <w:r>
              <w:rPr>
                <w:color w:val="000000"/>
              </w:rPr>
              <w:t>1,614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left"/>
              <w:rPr/>
            </w:pPr>
            <w:r>
              <w:rPr/>
              <w:t> </w:t>
            </w:r>
          </w:p>
        </w:tc>
        <w:tc>
          <w:tcPr>
            <w:tcW w:w="2297" w:type="dxa"/>
            <w:tcBorders/>
            <w:shd w:fill="CCEEFF" w:val="clear"/>
            <w:vAlign w:val="bottom"/>
          </w:tcPr>
          <w:p>
            <w:pPr>
              <w:pStyle w:val="TableContents"/>
              <w:bidi w:val="0"/>
              <w:spacing w:before="0" w:after="0"/>
              <w:jc w:val="right"/>
              <w:rPr>
                <w:color w:val="000000"/>
              </w:rPr>
            </w:pPr>
            <w:r>
              <w:rPr>
                <w:color w:val="000000"/>
              </w:rPr>
              <w:t>1,614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color w:val="000000"/>
              </w:rPr>
            </w:pPr>
            <w:r>
              <w:rPr>
                <w:color w:val="000000"/>
              </w:rPr>
              <w:t>44</w:t>
            </w:r>
          </w:p>
        </w:tc>
        <w:tc>
          <w:tcPr>
            <w:tcW w:w="138" w:type="dxa"/>
            <w:tcBorders/>
            <w:shd w:fill="CCEEFF" w:val="clear"/>
            <w:vAlign w:val="bottom"/>
          </w:tcPr>
          <w:p>
            <w:pPr>
              <w:pStyle w:val="TableContents"/>
              <w:bidi w:val="0"/>
              <w:spacing w:before="0" w:after="283"/>
              <w:jc w:val="left"/>
              <w:rPr/>
            </w:pPr>
            <w:r>
              <w:rPr/>
              <w:t> </w:t>
            </w:r>
          </w:p>
        </w:tc>
      </w:tr>
      <w:tr>
        <w:trPr/>
        <w:tc>
          <w:tcPr>
            <w:tcW w:w="2049" w:type="dxa"/>
            <w:tcBorders/>
            <w:vAlign w:val="bottom"/>
          </w:tcPr>
          <w:p>
            <w:pPr>
              <w:pStyle w:val="TableContents"/>
              <w:bidi w:val="0"/>
              <w:spacing w:before="0" w:after="0"/>
              <w:ind w:left="360" w:right="0" w:hanging="18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 </w:t>
            </w:r>
          </w:p>
        </w:tc>
        <w:tc>
          <w:tcPr>
            <w:tcW w:w="229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color w:val="000000"/>
              </w:rPr>
            </w:pPr>
            <w:r>
              <w:rPr>
                <w:color w:val="000000"/>
              </w:rPr>
              <w:t>-</w:t>
            </w:r>
          </w:p>
        </w:tc>
        <w:tc>
          <w:tcPr>
            <w:tcW w:w="138" w:type="dxa"/>
            <w:tcBorders/>
            <w:vAlign w:val="bottom"/>
          </w:tcPr>
          <w:p>
            <w:pPr>
              <w:pStyle w:val="TableContents"/>
              <w:bidi w:val="0"/>
              <w:spacing w:before="0" w:after="283"/>
              <w:jc w:val="left"/>
              <w:rPr/>
            </w:pPr>
            <w:r>
              <w:rPr/>
              <w:t> </w:t>
            </w:r>
          </w:p>
        </w:tc>
      </w:tr>
      <w:tr>
        <w:trPr/>
        <w:tc>
          <w:tcPr>
            <w:tcW w:w="2049" w:type="dxa"/>
            <w:tcBorders/>
            <w:shd w:fill="CCEEFF" w:val="clear"/>
            <w:vAlign w:val="bottom"/>
          </w:tcPr>
          <w:p>
            <w:pPr>
              <w:pStyle w:val="TableContents"/>
              <w:bidi w:val="0"/>
              <w:spacing w:before="0" w:after="0"/>
              <w:ind w:left="360" w:right="0" w:hanging="18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left"/>
              <w:rPr/>
            </w:pPr>
            <w:r>
              <w:rPr/>
              <w:t> </w:t>
            </w:r>
          </w:p>
        </w:tc>
        <w:tc>
          <w:tcPr>
            <w:tcW w:w="229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color w:val="000000"/>
              </w:rPr>
            </w:pPr>
            <w:r>
              <w:rPr>
                <w:color w:val="000000"/>
              </w:rPr>
              <w:t>-</w:t>
            </w:r>
          </w:p>
        </w:tc>
        <w:tc>
          <w:tcPr>
            <w:tcW w:w="138" w:type="dxa"/>
            <w:tcBorders/>
            <w:shd w:fill="CCEEFF" w:val="clear"/>
            <w:vAlign w:val="bottom"/>
          </w:tcPr>
          <w:p>
            <w:pPr>
              <w:pStyle w:val="TableContents"/>
              <w:bidi w:val="0"/>
              <w:spacing w:before="0" w:after="283"/>
              <w:jc w:val="left"/>
              <w:rPr/>
            </w:pPr>
            <w:r>
              <w:rPr/>
              <w:t> </w:t>
            </w:r>
          </w:p>
        </w:tc>
      </w:tr>
      <w:tr>
        <w:trPr/>
        <w:tc>
          <w:tcPr>
            <w:tcW w:w="2049" w:type="dxa"/>
            <w:tcBorders/>
            <w:vAlign w:val="bottom"/>
          </w:tcPr>
          <w:p>
            <w:pPr>
              <w:pStyle w:val="TableContents"/>
              <w:bidi w:val="0"/>
              <w:spacing w:before="0" w:after="0"/>
              <w:ind w:left="180" w:right="0" w:hanging="18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66" w:type="dxa"/>
            <w:tcBorders>
              <w:bottom w:val="single" w:sz="12" w:space="0" w:color="000000"/>
            </w:tcBorders>
            <w:tcMar>
              <w:bottom w:w="28" w:type="dxa"/>
            </w:tcMar>
            <w:vAlign w:val="bottom"/>
          </w:tcPr>
          <w:p>
            <w:pPr>
              <w:pStyle w:val="TableContents"/>
              <w:bidi w:val="0"/>
              <w:spacing w:before="0" w:after="283"/>
              <w:jc w:val="left"/>
              <w:rPr/>
            </w:pPr>
            <w:r>
              <w:rPr/>
              <w:t> </w:t>
            </w:r>
          </w:p>
        </w:tc>
        <w:tc>
          <w:tcPr>
            <w:tcW w:w="9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bottom w:val="single" w:sz="12" w:space="0" w:color="000000"/>
            </w:tcBorders>
            <w:tcMar>
              <w:bottom w:w="28" w:type="dxa"/>
            </w:tcMar>
            <w:vAlign w:val="bottom"/>
          </w:tcPr>
          <w:p>
            <w:pPr>
              <w:pStyle w:val="TableContents"/>
              <w:bidi w:val="0"/>
              <w:spacing w:before="0" w:after="283"/>
              <w:jc w:val="left"/>
              <w:rPr/>
            </w:pPr>
            <w:r>
              <w:rPr/>
              <w:t> </w:t>
            </w:r>
          </w:p>
        </w:tc>
        <w:tc>
          <w:tcPr>
            <w:tcW w:w="83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4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29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38" w:type="dxa"/>
            <w:tcBorders/>
            <w:vAlign w:val="bottom"/>
          </w:tcPr>
          <w:p>
            <w:pPr>
              <w:pStyle w:val="TableContents"/>
              <w:bidi w:val="0"/>
              <w:spacing w:before="0" w:after="283"/>
              <w:jc w:val="left"/>
              <w:rPr/>
            </w:pPr>
            <w:r>
              <w:rPr/>
              <w:t> </w:t>
            </w:r>
          </w:p>
        </w:tc>
      </w:tr>
      <w:tr>
        <w:trPr/>
        <w:tc>
          <w:tcPr>
            <w:tcW w:w="2049"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2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229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5,132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4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1,126</w:t>
            </w:r>
          </w:p>
        </w:tc>
        <w:tc>
          <w:tcPr>
            <w:tcW w:w="138" w:type="dxa"/>
            <w:tcBorders/>
            <w:shd w:fill="CCEEFF" w:val="clear"/>
            <w:vAlign w:val="bottom"/>
          </w:tcPr>
          <w:p>
            <w:pPr>
              <w:pStyle w:val="TableContents"/>
              <w:bidi w:val="0"/>
              <w:spacing w:before="0" w:after="283"/>
              <w:jc w:val="left"/>
              <w:rPr/>
            </w:pPr>
            <w:r>
              <w:rPr/>
              <w:t> </w:t>
            </w:r>
          </w:p>
        </w:tc>
      </w:tr>
      <w:tr>
        <w:trPr/>
        <w:tc>
          <w:tcPr>
            <w:tcW w:w="2049"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 </w:t>
            </w:r>
          </w:p>
        </w:tc>
        <w:tc>
          <w:tcPr>
            <w:tcW w:w="229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r>
      <w:tr>
        <w:trPr/>
        <w:tc>
          <w:tcPr>
            <w:tcW w:w="2049" w:type="dxa"/>
            <w:tcBorders/>
            <w:shd w:fill="CCEEFF" w:val="clear"/>
            <w:vAlign w:val="bottom"/>
          </w:tcPr>
          <w:p>
            <w:pPr>
              <w:pStyle w:val="TableContents"/>
              <w:bidi w:val="0"/>
              <w:spacing w:before="0" w:after="0"/>
              <w:ind w:left="180" w:right="0" w:hanging="180"/>
              <w:jc w:val="left"/>
              <w:rPr>
                <w:color w:val="000000"/>
                <w:u w:val="single"/>
              </w:rPr>
            </w:pPr>
            <w:r>
              <w:rPr>
                <w:color w:val="000000"/>
                <w:u w:val="single"/>
              </w:rPr>
              <w:t>December 31, 2025</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left"/>
              <w:rPr/>
            </w:pPr>
            <w:r>
              <w:rPr/>
              <w:t> </w:t>
            </w:r>
          </w:p>
        </w:tc>
        <w:tc>
          <w:tcPr>
            <w:tcW w:w="229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r>
      <w:tr>
        <w:trPr/>
        <w:tc>
          <w:tcPr>
            <w:tcW w:w="2049" w:type="dxa"/>
            <w:tcBorders/>
            <w:vAlign w:val="bottom"/>
          </w:tcPr>
          <w:p>
            <w:pPr>
              <w:pStyle w:val="TableContents"/>
              <w:bidi w:val="0"/>
              <w:spacing w:before="0" w:after="0"/>
              <w:ind w:left="180" w:right="0" w:hanging="180"/>
              <w:jc w:val="left"/>
              <w:rPr>
                <w:color w:val="000000"/>
              </w:rPr>
            </w:pPr>
            <w:r>
              <w:rPr>
                <w:color w:val="000000"/>
              </w:rPr>
              <w:t>Commercial real estate</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0"/>
              <w:jc w:val="left"/>
              <w:rPr>
                <w:color w:val="000000"/>
              </w:rPr>
            </w:pPr>
            <w:r>
              <w:rPr>
                <w:color w:val="000000"/>
              </w:rPr>
              <w:t>$</w:t>
            </w:r>
          </w:p>
        </w:tc>
        <w:tc>
          <w:tcPr>
            <w:tcW w:w="924" w:type="dxa"/>
            <w:tcBorders/>
            <w:vAlign w:val="bottom"/>
          </w:tcPr>
          <w:p>
            <w:pPr>
              <w:pStyle w:val="TableContents"/>
              <w:bidi w:val="0"/>
              <w:spacing w:before="0" w:after="0"/>
              <w:jc w:val="right"/>
              <w:rPr>
                <w:color w:val="000000"/>
              </w:rPr>
            </w:pPr>
            <w:r>
              <w:rPr>
                <w:color w:val="000000"/>
              </w:rPr>
              <w:t>462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0"/>
              <w:jc w:val="left"/>
              <w:rPr>
                <w:color w:val="000000"/>
              </w:rPr>
            </w:pPr>
            <w:r>
              <w:rPr>
                <w:color w:val="000000"/>
              </w:rPr>
              <w:t>$</w:t>
            </w:r>
          </w:p>
        </w:tc>
        <w:tc>
          <w:tcPr>
            <w:tcW w:w="832" w:type="dxa"/>
            <w:tcBorders/>
            <w:vAlign w:val="bottom"/>
          </w:tcPr>
          <w:p>
            <w:pPr>
              <w:pStyle w:val="TableContents"/>
              <w:bidi w:val="0"/>
              <w:spacing w:before="0" w:after="0"/>
              <w:jc w:val="right"/>
              <w:rPr>
                <w:color w:val="000000"/>
              </w:rPr>
            </w:pPr>
            <w:r>
              <w:rPr>
                <w:color w:val="000000"/>
              </w:rPr>
              <w:t>941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0"/>
              <w:jc w:val="left"/>
              <w:rPr>
                <w:color w:val="000000"/>
              </w:rPr>
            </w:pPr>
            <w:r>
              <w:rPr>
                <w:color w:val="000000"/>
              </w:rPr>
              <w:t>$</w:t>
            </w:r>
          </w:p>
        </w:tc>
        <w:tc>
          <w:tcPr>
            <w:tcW w:w="46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left"/>
              <w:rPr>
                <w:color w:val="000000"/>
              </w:rPr>
            </w:pPr>
            <w:r>
              <w:rPr>
                <w:color w:val="000000"/>
              </w:rPr>
              <w:t>$</w:t>
            </w:r>
          </w:p>
        </w:tc>
        <w:tc>
          <w:tcPr>
            <w:tcW w:w="2297" w:type="dxa"/>
            <w:tcBorders/>
            <w:vAlign w:val="bottom"/>
          </w:tcPr>
          <w:p>
            <w:pPr>
              <w:pStyle w:val="TableContents"/>
              <w:bidi w:val="0"/>
              <w:spacing w:before="0" w:after="0"/>
              <w:jc w:val="right"/>
              <w:rPr>
                <w:color w:val="000000"/>
              </w:rPr>
            </w:pPr>
            <w:r>
              <w:rPr>
                <w:color w:val="000000"/>
              </w:rPr>
              <w:t>1,403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0"/>
              <w:jc w:val="left"/>
              <w:rPr>
                <w:color w:val="000000"/>
              </w:rPr>
            </w:pPr>
            <w:r>
              <w:rPr>
                <w:color w:val="000000"/>
              </w:rPr>
              <w:t>$</w:t>
            </w:r>
          </w:p>
        </w:tc>
        <w:tc>
          <w:tcPr>
            <w:tcW w:w="1041" w:type="dxa"/>
            <w:tcBorders/>
            <w:vAlign w:val="bottom"/>
          </w:tcPr>
          <w:p>
            <w:pPr>
              <w:pStyle w:val="TableContents"/>
              <w:bidi w:val="0"/>
              <w:spacing w:before="0" w:after="0"/>
              <w:jc w:val="right"/>
              <w:rPr>
                <w:color w:val="000000"/>
              </w:rPr>
            </w:pPr>
            <w:r>
              <w:rPr>
                <w:color w:val="000000"/>
              </w:rPr>
              <w:t>112</w:t>
            </w:r>
          </w:p>
        </w:tc>
        <w:tc>
          <w:tcPr>
            <w:tcW w:w="138" w:type="dxa"/>
            <w:tcBorders/>
            <w:vAlign w:val="bottom"/>
          </w:tcPr>
          <w:p>
            <w:pPr>
              <w:pStyle w:val="TableContents"/>
              <w:bidi w:val="0"/>
              <w:spacing w:before="0" w:after="283"/>
              <w:jc w:val="left"/>
              <w:rPr/>
            </w:pPr>
            <w:r>
              <w:rPr/>
              <w:t> </w:t>
            </w:r>
          </w:p>
        </w:tc>
      </w:tr>
      <w:tr>
        <w:trPr/>
        <w:tc>
          <w:tcPr>
            <w:tcW w:w="2049" w:type="dxa"/>
            <w:tcBorders/>
            <w:shd w:fill="CCEEFF" w:val="clear"/>
            <w:vAlign w:val="bottom"/>
          </w:tcPr>
          <w:p>
            <w:pPr>
              <w:pStyle w:val="TableContents"/>
              <w:bidi w:val="0"/>
              <w:spacing w:before="0" w:after="0"/>
              <w:ind w:left="180" w:right="0" w:hanging="180"/>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color w:val="000000"/>
              </w:rPr>
            </w:pPr>
            <w:r>
              <w:rPr>
                <w:color w:val="000000"/>
              </w:rPr>
              <w:t>289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0"/>
              <w:jc w:val="right"/>
              <w:rPr>
                <w:color w:val="000000"/>
              </w:rPr>
            </w:pPr>
            <w:r>
              <w:rPr>
                <w:color w:val="000000"/>
              </w:rPr>
              <w:t>255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left"/>
              <w:rPr/>
            </w:pPr>
            <w:r>
              <w:rPr/>
              <w:t> </w:t>
            </w:r>
          </w:p>
        </w:tc>
        <w:tc>
          <w:tcPr>
            <w:tcW w:w="2297" w:type="dxa"/>
            <w:tcBorders/>
            <w:shd w:fill="CCEEFF" w:val="clear"/>
            <w:vAlign w:val="bottom"/>
          </w:tcPr>
          <w:p>
            <w:pPr>
              <w:pStyle w:val="TableContents"/>
              <w:bidi w:val="0"/>
              <w:spacing w:before="0" w:after="0"/>
              <w:jc w:val="right"/>
              <w:rPr>
                <w:color w:val="000000"/>
              </w:rPr>
            </w:pPr>
            <w:r>
              <w:rPr>
                <w:color w:val="000000"/>
              </w:rPr>
              <w:t>544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color w:val="000000"/>
              </w:rPr>
            </w:pPr>
            <w:r>
              <w:rPr>
                <w:color w:val="000000"/>
              </w:rPr>
              <w:t>-</w:t>
            </w:r>
          </w:p>
        </w:tc>
        <w:tc>
          <w:tcPr>
            <w:tcW w:w="138" w:type="dxa"/>
            <w:tcBorders/>
            <w:shd w:fill="CCEEFF" w:val="clear"/>
            <w:vAlign w:val="bottom"/>
          </w:tcPr>
          <w:p>
            <w:pPr>
              <w:pStyle w:val="TableContents"/>
              <w:bidi w:val="0"/>
              <w:spacing w:before="0" w:after="283"/>
              <w:jc w:val="left"/>
              <w:rPr/>
            </w:pPr>
            <w:r>
              <w:rPr/>
              <w:t> </w:t>
            </w:r>
          </w:p>
        </w:tc>
      </w:tr>
      <w:tr>
        <w:trPr/>
        <w:tc>
          <w:tcPr>
            <w:tcW w:w="2049" w:type="dxa"/>
            <w:tcBorders/>
            <w:vAlign w:val="bottom"/>
          </w:tcPr>
          <w:p>
            <w:pPr>
              <w:pStyle w:val="TableContents"/>
              <w:bidi w:val="0"/>
              <w:spacing w:before="0" w:after="0"/>
              <w:ind w:left="180" w:right="0" w:hanging="180"/>
              <w:jc w:val="left"/>
              <w:rPr>
                <w:color w:val="000000"/>
              </w:rPr>
            </w:pPr>
            <w:r>
              <w:rPr>
                <w:color w:val="000000"/>
              </w:rPr>
              <w:t>Commercial - general</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color w:val="000000"/>
              </w:rPr>
            </w:pPr>
            <w:r>
              <w:rPr>
                <w:color w:val="000000"/>
              </w:rPr>
              <w:t>1,086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0"/>
              <w:jc w:val="right"/>
              <w:rPr>
                <w:color w:val="000000"/>
              </w:rPr>
            </w:pPr>
            <w:r>
              <w:rPr>
                <w:color w:val="000000"/>
              </w:rPr>
              <w:t>2,869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 </w:t>
            </w:r>
          </w:p>
        </w:tc>
        <w:tc>
          <w:tcPr>
            <w:tcW w:w="2297" w:type="dxa"/>
            <w:tcBorders/>
            <w:vAlign w:val="bottom"/>
          </w:tcPr>
          <w:p>
            <w:pPr>
              <w:pStyle w:val="TableContents"/>
              <w:bidi w:val="0"/>
              <w:spacing w:before="0" w:after="0"/>
              <w:jc w:val="right"/>
              <w:rPr>
                <w:color w:val="000000"/>
              </w:rPr>
            </w:pPr>
            <w:r>
              <w:rPr>
                <w:color w:val="000000"/>
              </w:rPr>
              <w:t>3,955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color w:val="000000"/>
              </w:rPr>
            </w:pPr>
            <w:r>
              <w:rPr>
                <w:color w:val="000000"/>
              </w:rPr>
              <w:t>275</w:t>
            </w:r>
          </w:p>
        </w:tc>
        <w:tc>
          <w:tcPr>
            <w:tcW w:w="138" w:type="dxa"/>
            <w:tcBorders/>
            <w:vAlign w:val="bottom"/>
          </w:tcPr>
          <w:p>
            <w:pPr>
              <w:pStyle w:val="TableContents"/>
              <w:bidi w:val="0"/>
              <w:spacing w:before="0" w:after="283"/>
              <w:jc w:val="left"/>
              <w:rPr/>
            </w:pPr>
            <w:r>
              <w:rPr/>
              <w:t> </w:t>
            </w:r>
          </w:p>
        </w:tc>
      </w:tr>
      <w:tr>
        <w:trPr/>
        <w:tc>
          <w:tcPr>
            <w:tcW w:w="2049" w:type="dxa"/>
            <w:tcBorders/>
            <w:shd w:fill="CCEEFF" w:val="clear"/>
            <w:vAlign w:val="bottom"/>
          </w:tcPr>
          <w:p>
            <w:pPr>
              <w:pStyle w:val="TableContents"/>
              <w:bidi w:val="0"/>
              <w:spacing w:before="0" w:after="0"/>
              <w:jc w:val="left"/>
              <w:rPr>
                <w:color w:val="000000"/>
              </w:rPr>
            </w:pPr>
            <w:r>
              <w:rPr>
                <w:color w:val="000000"/>
              </w:rPr>
              <w:t>Consumer:</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left"/>
              <w:rPr/>
            </w:pPr>
            <w:r>
              <w:rPr/>
              <w:t> </w:t>
            </w:r>
          </w:p>
        </w:tc>
        <w:tc>
          <w:tcPr>
            <w:tcW w:w="229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r>
      <w:tr>
        <w:trPr/>
        <w:tc>
          <w:tcPr>
            <w:tcW w:w="2049" w:type="dxa"/>
            <w:tcBorders/>
            <w:vAlign w:val="bottom"/>
          </w:tcPr>
          <w:p>
            <w:pPr>
              <w:pStyle w:val="TableContents"/>
              <w:bidi w:val="0"/>
              <w:spacing w:before="0" w:after="0"/>
              <w:jc w:val="left"/>
              <w:rPr>
                <w:color w:val="000000"/>
              </w:rPr>
            </w:pPr>
            <w:r>
              <w:rPr>
                <w:color w:val="000000"/>
              </w:rPr>
              <w:t>1-4 family residential</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 </w:t>
            </w:r>
          </w:p>
        </w:tc>
        <w:tc>
          <w:tcPr>
            <w:tcW w:w="229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color w:val="000000"/>
              </w:rPr>
            </w:pPr>
            <w:r>
              <w:rPr>
                <w:color w:val="000000"/>
              </w:rPr>
              <w:t>-</w:t>
            </w:r>
          </w:p>
        </w:tc>
        <w:tc>
          <w:tcPr>
            <w:tcW w:w="138" w:type="dxa"/>
            <w:tcBorders/>
            <w:vAlign w:val="bottom"/>
          </w:tcPr>
          <w:p>
            <w:pPr>
              <w:pStyle w:val="TableContents"/>
              <w:bidi w:val="0"/>
              <w:spacing w:before="0" w:after="283"/>
              <w:jc w:val="left"/>
              <w:rPr/>
            </w:pPr>
            <w:r>
              <w:rPr/>
              <w:t> </w:t>
            </w:r>
          </w:p>
        </w:tc>
      </w:tr>
      <w:tr>
        <w:trPr/>
        <w:tc>
          <w:tcPr>
            <w:tcW w:w="2049" w:type="dxa"/>
            <w:tcBorders/>
            <w:shd w:fill="CCEEFF" w:val="clear"/>
            <w:vAlign w:val="bottom"/>
          </w:tcPr>
          <w:p>
            <w:pPr>
              <w:pStyle w:val="TableContents"/>
              <w:bidi w:val="0"/>
              <w:spacing w:before="0" w:after="0"/>
              <w:jc w:val="left"/>
              <w:rPr>
                <w:color w:val="000000"/>
              </w:rPr>
            </w:pPr>
            <w:r>
              <w:rPr>
                <w:color w:val="000000"/>
              </w:rPr>
              <w:t>Auto loans</w:t>
            </w:r>
          </w:p>
        </w:tc>
        <w:tc>
          <w:tcPr>
            <w:tcW w:w="9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left"/>
              <w:rPr/>
            </w:pPr>
            <w:r>
              <w:rPr/>
              <w:t> </w:t>
            </w:r>
          </w:p>
        </w:tc>
        <w:tc>
          <w:tcPr>
            <w:tcW w:w="229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color w:val="000000"/>
              </w:rPr>
            </w:pPr>
            <w:r>
              <w:rPr>
                <w:color w:val="000000"/>
              </w:rPr>
              <w:t>-</w:t>
            </w:r>
          </w:p>
        </w:tc>
        <w:tc>
          <w:tcPr>
            <w:tcW w:w="138" w:type="dxa"/>
            <w:tcBorders/>
            <w:shd w:fill="CCEEFF" w:val="clear"/>
            <w:vAlign w:val="bottom"/>
          </w:tcPr>
          <w:p>
            <w:pPr>
              <w:pStyle w:val="TableContents"/>
              <w:bidi w:val="0"/>
              <w:spacing w:before="0" w:after="283"/>
              <w:jc w:val="left"/>
              <w:rPr/>
            </w:pPr>
            <w:r>
              <w:rPr/>
              <w:t> </w:t>
            </w:r>
          </w:p>
        </w:tc>
      </w:tr>
      <w:tr>
        <w:trPr/>
        <w:tc>
          <w:tcPr>
            <w:tcW w:w="2049" w:type="dxa"/>
            <w:tcBorders/>
            <w:vAlign w:val="bottom"/>
          </w:tcPr>
          <w:p>
            <w:pPr>
              <w:pStyle w:val="TableContents"/>
              <w:bidi w:val="0"/>
              <w:spacing w:before="0" w:after="0"/>
              <w:jc w:val="left"/>
              <w:rPr>
                <w:color w:val="000000"/>
              </w:rPr>
            </w:pPr>
            <w:r>
              <w:rPr>
                <w:color w:val="000000"/>
              </w:rPr>
              <w:t>Other consumer</w:t>
            </w:r>
          </w:p>
        </w:tc>
        <w:tc>
          <w:tcPr>
            <w:tcW w:w="9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 </w:t>
            </w:r>
          </w:p>
        </w:tc>
        <w:tc>
          <w:tcPr>
            <w:tcW w:w="229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color w:val="000000"/>
              </w:rPr>
            </w:pPr>
            <w:r>
              <w:rPr>
                <w:color w:val="000000"/>
              </w:rPr>
              <w:t>-</w:t>
            </w:r>
          </w:p>
        </w:tc>
        <w:tc>
          <w:tcPr>
            <w:tcW w:w="138" w:type="dxa"/>
            <w:tcBorders/>
            <w:vAlign w:val="bottom"/>
          </w:tcPr>
          <w:p>
            <w:pPr>
              <w:pStyle w:val="TableContents"/>
              <w:bidi w:val="0"/>
              <w:spacing w:before="0" w:after="283"/>
              <w:jc w:val="left"/>
              <w:rPr/>
            </w:pPr>
            <w:r>
              <w:rPr/>
              <w:t> </w:t>
            </w:r>
          </w:p>
        </w:tc>
      </w:tr>
      <w:tr>
        <w:trPr/>
        <w:tc>
          <w:tcPr>
            <w:tcW w:w="2049" w:type="dxa"/>
            <w:tcBorders/>
            <w:shd w:fill="CCEEFF" w:val="clear"/>
            <w:vAlign w:val="bottom"/>
          </w:tcPr>
          <w:p>
            <w:pPr>
              <w:pStyle w:val="TableContents"/>
              <w:bidi w:val="0"/>
              <w:spacing w:before="0" w:after="0"/>
              <w:ind w:left="180" w:right="0" w:hanging="180"/>
              <w:jc w:val="left"/>
              <w:rPr>
                <w:color w:val="000000"/>
              </w:rPr>
            </w:pPr>
            <w:r>
              <w:rPr>
                <w:color w:val="000000"/>
              </w:rPr>
              <w:t>Construction</w:t>
            </w:r>
          </w:p>
        </w:tc>
        <w:tc>
          <w:tcPr>
            <w:tcW w:w="90" w:type="dxa"/>
            <w:tcBorders/>
            <w:shd w:fill="CCEEFF" w:val="clear"/>
            <w:vAlign w:val="bottom"/>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29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38" w:type="dxa"/>
            <w:tcBorders/>
            <w:shd w:fill="CCEEFF" w:val="clear"/>
            <w:vAlign w:val="bottom"/>
          </w:tcPr>
          <w:p>
            <w:pPr>
              <w:pStyle w:val="TableContents"/>
              <w:bidi w:val="0"/>
              <w:spacing w:before="0" w:after="283"/>
              <w:jc w:val="left"/>
              <w:rPr/>
            </w:pPr>
            <w:r>
              <w:rPr/>
              <w:t> </w:t>
            </w:r>
          </w:p>
        </w:tc>
      </w:tr>
      <w:tr>
        <w:trPr/>
        <w:tc>
          <w:tcPr>
            <w:tcW w:w="2049"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6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2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4,065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4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6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229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5,902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4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387</w:t>
            </w:r>
          </w:p>
        </w:tc>
        <w:tc>
          <w:tcPr>
            <w:tcW w:w="13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table below provides an age analysis on accruing past-due loans and nonaccrual loans at the dates indicated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zae44e6e433cf48128123d198654bac17"/>
      <w:bookmarkStart w:id="58" w:name="zae44e6e433cf48128123d198654bac17"/>
      <w:bookmarkEnd w:id="58"/>
    </w:p>
    <w:tbl>
      <w:tblPr>
        <w:tblW w:w="8003" w:type="dxa"/>
        <w:jc w:val="left"/>
        <w:tblInd w:w="0" w:type="dxa"/>
        <w:tblLayout w:type="fixed"/>
        <w:tblCellMar>
          <w:top w:w="0" w:type="dxa"/>
          <w:left w:w="0" w:type="dxa"/>
          <w:bottom w:w="0" w:type="dxa"/>
          <w:right w:w="0" w:type="dxa"/>
        </w:tblCellMar>
      </w:tblPr>
      <w:tblGrid>
        <w:gridCol w:w="2450"/>
        <w:gridCol w:w="90"/>
        <w:gridCol w:w="262"/>
        <w:gridCol w:w="912"/>
        <w:gridCol w:w="90"/>
        <w:gridCol w:w="90"/>
        <w:gridCol w:w="256"/>
        <w:gridCol w:w="888"/>
        <w:gridCol w:w="90"/>
        <w:gridCol w:w="90"/>
        <w:gridCol w:w="276"/>
        <w:gridCol w:w="959"/>
        <w:gridCol w:w="90"/>
        <w:gridCol w:w="90"/>
        <w:gridCol w:w="276"/>
        <w:gridCol w:w="959"/>
        <w:gridCol w:w="135"/>
      </w:tblGrid>
      <w:tr>
        <w:trPr/>
        <w:tc>
          <w:tcPr>
            <w:tcW w:w="24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30-89 Days</w:t>
            </w:r>
          </w:p>
          <w:p>
            <w:pPr>
              <w:pStyle w:val="TableContents"/>
              <w:bidi w:val="0"/>
              <w:spacing w:before="0" w:after="0"/>
              <w:jc w:val="center"/>
              <w:rPr>
                <w:b/>
                <w:color w:val="000000"/>
              </w:rPr>
            </w:pPr>
            <w:r>
              <w:rPr>
                <w:b/>
                <w:color w:val="000000"/>
              </w:rPr>
              <w:t>Past Due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90 Days or</w:t>
            </w:r>
          </w:p>
          <w:p>
            <w:pPr>
              <w:pStyle w:val="TableContents"/>
              <w:bidi w:val="0"/>
              <w:spacing w:before="0" w:after="0"/>
              <w:jc w:val="center"/>
              <w:rPr>
                <w:b/>
                <w:color w:val="000000"/>
              </w:rPr>
            </w:pPr>
            <w:r>
              <w:rPr>
                <w:b/>
                <w:color w:val="000000"/>
              </w:rPr>
              <w:t>More Past</w:t>
            </w:r>
          </w:p>
          <w:p>
            <w:pPr>
              <w:pStyle w:val="TableContents"/>
              <w:bidi w:val="0"/>
              <w:spacing w:before="0" w:after="0"/>
              <w:jc w:val="center"/>
              <w:rPr>
                <w:b/>
                <w:color w:val="000000"/>
              </w:rPr>
            </w:pPr>
            <w:r>
              <w:rPr>
                <w:b/>
                <w:color w:val="000000"/>
              </w:rPr>
              <w:t>Due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Nonaccrual</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Nonaccrual</w:t>
            </w:r>
          </w:p>
          <w:p>
            <w:pPr>
              <w:pStyle w:val="TableContents"/>
              <w:bidi w:val="0"/>
              <w:spacing w:before="0" w:after="0"/>
              <w:jc w:val="center"/>
              <w:rPr>
                <w:b/>
                <w:color w:val="000000"/>
              </w:rPr>
            </w:pPr>
            <w:r>
              <w:rPr>
                <w:b/>
                <w:color w:val="000000"/>
              </w:rPr>
              <w:t>with no</w:t>
            </w:r>
          </w:p>
          <w:p>
            <w:pPr>
              <w:pStyle w:val="TableContents"/>
              <w:bidi w:val="0"/>
              <w:spacing w:before="0" w:after="0"/>
              <w:jc w:val="center"/>
              <w:rPr>
                <w:b/>
                <w:color w:val="000000"/>
              </w:rPr>
            </w:pPr>
            <w:r>
              <w:rPr>
                <w:b/>
                <w:color w:val="000000"/>
              </w:rPr>
              <w:t>ACL</w:t>
            </w:r>
          </w:p>
        </w:tc>
        <w:tc>
          <w:tcPr>
            <w:tcW w:w="135"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u w:val="single"/>
              </w:rPr>
            </w:pPr>
            <w:r>
              <w:rPr>
                <w:color w:val="000000"/>
                <w:u w:val="single"/>
              </w:rPr>
              <w:t>June 30, 2026</w:t>
            </w:r>
          </w:p>
        </w:tc>
        <w:tc>
          <w:tcPr>
            <w:tcW w:w="9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0"/>
              <w:jc w:val="left"/>
              <w:rPr>
                <w:color w:val="000000"/>
              </w:rPr>
            </w:pPr>
            <w:r>
              <w:rPr>
                <w:color w:val="000000"/>
              </w:rPr>
              <w:t>$</w:t>
            </w:r>
          </w:p>
        </w:tc>
        <w:tc>
          <w:tcPr>
            <w:tcW w:w="912" w:type="dxa"/>
            <w:tcBorders/>
            <w:shd w:fill="CCEEFF" w:val="clear"/>
            <w:vAlign w:val="bottom"/>
          </w:tcPr>
          <w:p>
            <w:pPr>
              <w:pStyle w:val="TableContents"/>
              <w:bidi w:val="0"/>
              <w:spacing w:before="0" w:after="0"/>
              <w:jc w:val="right"/>
              <w:rPr>
                <w:color w:val="000000"/>
              </w:rPr>
            </w:pPr>
            <w:r>
              <w:rPr>
                <w:color w:val="000000"/>
              </w:rPr>
              <w:t>4,726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888" w:type="dxa"/>
            <w:tcBorders/>
            <w:shd w:fill="CCEEFF" w:val="clear"/>
            <w:vAlign w:val="bottom"/>
          </w:tcPr>
          <w:p>
            <w:pPr>
              <w:pStyle w:val="TableContents"/>
              <w:bidi w:val="0"/>
              <w:spacing w:before="0" w:after="0"/>
              <w:jc w:val="right"/>
              <w:rPr>
                <w:color w:val="000000"/>
              </w:rPr>
            </w:pPr>
            <w:r>
              <w:rPr>
                <w:color w:val="000000"/>
              </w:rPr>
              <w:t>213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0"/>
              <w:jc w:val="left"/>
              <w:rPr>
                <w:color w:val="000000"/>
              </w:rPr>
            </w:pPr>
            <w:r>
              <w:rPr>
                <w:color w:val="000000"/>
              </w:rPr>
              <w:t>$</w:t>
            </w:r>
          </w:p>
        </w:tc>
        <w:tc>
          <w:tcPr>
            <w:tcW w:w="959" w:type="dxa"/>
            <w:tcBorders/>
            <w:shd w:fill="CCEEFF" w:val="clear"/>
            <w:vAlign w:val="bottom"/>
          </w:tcPr>
          <w:p>
            <w:pPr>
              <w:pStyle w:val="TableContents"/>
              <w:bidi w:val="0"/>
              <w:spacing w:before="0" w:after="0"/>
              <w:jc w:val="right"/>
              <w:rPr>
                <w:color w:val="000000"/>
              </w:rPr>
            </w:pPr>
            <w:r>
              <w:rPr>
                <w:color w:val="000000"/>
              </w:rPr>
              <w:t>1,922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0"/>
              <w:jc w:val="left"/>
              <w:rPr>
                <w:color w:val="000000"/>
              </w:rPr>
            </w:pPr>
            <w:r>
              <w:rPr>
                <w:color w:val="000000"/>
              </w:rPr>
              <w:t>$</w:t>
            </w:r>
          </w:p>
        </w:tc>
        <w:tc>
          <w:tcPr>
            <w:tcW w:w="959"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695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1,157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color w:val="000000"/>
              </w:rPr>
            </w:pPr>
            <w:r>
              <w:rPr>
                <w:color w:val="000000"/>
              </w:rPr>
              <w:t>127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491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363</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1,793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color w:val="000000"/>
              </w:rPr>
            </w:pPr>
            <w:r>
              <w:rPr>
                <w:color w:val="000000"/>
              </w:rPr>
              <w:t>2,131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3,139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585</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0"/>
              <w:jc w:val="right"/>
              <w:rPr>
                <w:color w:val="000000"/>
              </w:rPr>
            </w:pPr>
            <w:r>
              <w:rPr>
                <w:color w:val="000000"/>
              </w:rPr>
              <w:t>569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color w:val="000000"/>
              </w:rPr>
            </w:pPr>
            <w:r>
              <w:rPr>
                <w:color w:val="000000"/>
              </w:rPr>
              <w:t>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0"/>
              <w:jc w:val="right"/>
              <w:rPr>
                <w:color w:val="000000"/>
              </w:rPr>
            </w:pPr>
            <w:r>
              <w:rPr>
                <w:color w:val="000000"/>
              </w:rPr>
              <w:t>531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0"/>
              <w:jc w:val="right"/>
              <w:rPr>
                <w:color w:val="000000"/>
              </w:rPr>
            </w:pPr>
            <w:r>
              <w:rPr>
                <w:color w:val="000000"/>
              </w:rPr>
              <w:t>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right"/>
              <w:rPr/>
            </w:pPr>
            <w:r>
              <w:rPr/>
              <w:t> </w:t>
            </w:r>
          </w:p>
        </w:tc>
        <w:tc>
          <w:tcPr>
            <w:tcW w:w="262"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598</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8,794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5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5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6,857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5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1,546</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9" w:name="z3dac2115805a4c4c81f5200fbde2b65c"/>
      <w:bookmarkStart w:id="60" w:name="z3dac2115805a4c4c81f5200fbde2b65c"/>
      <w:bookmarkEnd w:id="60"/>
    </w:p>
    <w:tbl>
      <w:tblPr>
        <w:tblW w:w="6075" w:type="dxa"/>
        <w:jc w:val="left"/>
        <w:tblInd w:w="0" w:type="dxa"/>
        <w:tblLayout w:type="fixed"/>
        <w:tblCellMar>
          <w:top w:w="0" w:type="dxa"/>
          <w:left w:w="0" w:type="dxa"/>
          <w:bottom w:w="0" w:type="dxa"/>
          <w:right w:w="0" w:type="dxa"/>
        </w:tblCellMar>
      </w:tblPr>
      <w:tblGrid>
        <w:gridCol w:w="2450"/>
        <w:gridCol w:w="90"/>
        <w:gridCol w:w="170"/>
        <w:gridCol w:w="590"/>
        <w:gridCol w:w="90"/>
        <w:gridCol w:w="90"/>
        <w:gridCol w:w="170"/>
        <w:gridCol w:w="590"/>
        <w:gridCol w:w="90"/>
        <w:gridCol w:w="90"/>
        <w:gridCol w:w="170"/>
        <w:gridCol w:w="590"/>
        <w:gridCol w:w="90"/>
        <w:gridCol w:w="90"/>
        <w:gridCol w:w="170"/>
        <w:gridCol w:w="410"/>
        <w:gridCol w:w="135"/>
      </w:tblGrid>
      <w:tr>
        <w:trPr/>
        <w:tc>
          <w:tcPr>
            <w:tcW w:w="2450" w:type="dxa"/>
            <w:tcBorders/>
            <w:vAlign w:val="bottom"/>
          </w:tcPr>
          <w:p>
            <w:pPr>
              <w:pStyle w:val="TableContents"/>
              <w:bidi w:val="0"/>
              <w:spacing w:before="0" w:after="0"/>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580" w:type="dxa"/>
            <w:gridSpan w:val="2"/>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2,241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206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1,402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410" w:type="dxa"/>
            <w:tcBorders/>
            <w:shd w:fill="CCEEFF" w:val="clear"/>
            <w:vAlign w:val="bottom"/>
          </w:tcPr>
          <w:p>
            <w:pPr>
              <w:pStyle w:val="TableContents"/>
              <w:bidi w:val="0"/>
              <w:spacing w:before="0" w:after="0"/>
              <w:jc w:val="right"/>
              <w:rPr>
                <w:color w:val="000000"/>
              </w:rPr>
            </w:pPr>
            <w:r>
              <w:rPr>
                <w:color w:val="000000"/>
              </w:rPr>
              <w:t>54</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264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699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544</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1,173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4,108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1,221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1,750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845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395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765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6,514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598</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Credit Quality Indicators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grades its loans on a thirteen-point grading scale. These grades fit in one of the following categories: (i) pass, (ii) special mention, (iii) substandard, (iv) doubtful, or (v) loss. Loans categorized as loss are charged-off immediately. The grading of loans reflects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Special mention loans have potential weaknesses that deserve management’s close attention. If left uncorrected, these potential weaknesses may result in deterioration of repayment prospects for the loans at some future date.</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Interest income recognized using a cash-basis method on non-accrual loans for the three and six months ended June 30, 2026 and 2025 was not significant. In addition, the Company closely monitors substandard accruing loans over $1 million, and past due accruing loans over $250 thousand for possible individual evaluation. All other loans will be evaluated collectively in designated pools unless a loss exposure has been identified. Additional funds committed to be advanced on individually analyzed loans are not significant.</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amortized cost basis in loans held for investment by credit quality indicator and origination year at the dates indicated, and related year-to-date gross charge-offs. Loans acquired are shown in the table by origination year. The Company had an immaterial amount of revolving loans converted to term loans at June 30,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1" w:name="z2227858958f64a7cae83e2e6371003ce"/>
      <w:bookmarkStart w:id="62" w:name="z2227858958f64a7cae83e2e6371003ce"/>
      <w:bookmarkEnd w:id="62"/>
    </w:p>
    <w:tbl>
      <w:tblPr>
        <w:tblW w:w="10955" w:type="dxa"/>
        <w:jc w:val="left"/>
        <w:tblInd w:w="0" w:type="dxa"/>
        <w:tblLayout w:type="fixed"/>
        <w:tblCellMar>
          <w:top w:w="0" w:type="dxa"/>
          <w:left w:w="0" w:type="dxa"/>
          <w:bottom w:w="0" w:type="dxa"/>
          <w:right w:w="0" w:type="dxa"/>
        </w:tblCellMar>
      </w:tblPr>
      <w:tblGrid>
        <w:gridCol w:w="1220"/>
        <w:gridCol w:w="90"/>
        <w:gridCol w:w="170"/>
        <w:gridCol w:w="830"/>
        <w:gridCol w:w="90"/>
        <w:gridCol w:w="90"/>
        <w:gridCol w:w="170"/>
        <w:gridCol w:w="830"/>
        <w:gridCol w:w="90"/>
        <w:gridCol w:w="90"/>
        <w:gridCol w:w="170"/>
        <w:gridCol w:w="830"/>
        <w:gridCol w:w="90"/>
        <w:gridCol w:w="90"/>
        <w:gridCol w:w="170"/>
        <w:gridCol w:w="830"/>
        <w:gridCol w:w="90"/>
        <w:gridCol w:w="90"/>
        <w:gridCol w:w="170"/>
        <w:gridCol w:w="830"/>
        <w:gridCol w:w="90"/>
        <w:gridCol w:w="90"/>
        <w:gridCol w:w="170"/>
        <w:gridCol w:w="830"/>
        <w:gridCol w:w="90"/>
        <w:gridCol w:w="90"/>
        <w:gridCol w:w="181"/>
        <w:gridCol w:w="889"/>
        <w:gridCol w:w="90"/>
        <w:gridCol w:w="90"/>
        <w:gridCol w:w="170"/>
        <w:gridCol w:w="1010"/>
        <w:gridCol w:w="135"/>
      </w:tblGrid>
      <w:tr>
        <w:trPr/>
        <w:tc>
          <w:tcPr>
            <w:tcW w:w="122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9510" w:type="dxa"/>
            <w:gridSpan w:val="3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Term Loans</w:t>
            </w:r>
          </w:p>
          <w:p>
            <w:pPr>
              <w:pStyle w:val="TableContents"/>
              <w:bidi w:val="0"/>
              <w:spacing w:before="0" w:after="0"/>
              <w:jc w:val="center"/>
              <w:rPr>
                <w:b/>
                <w:color w:val="000000"/>
              </w:rPr>
            </w:pPr>
            <w:r>
              <w:rPr>
                <w:b/>
                <w:color w:val="000000"/>
              </w:rPr>
              <w:t>Amortized Cost Basis by Origination Year</w:t>
            </w:r>
          </w:p>
          <w:p>
            <w:pPr>
              <w:pStyle w:val="TableContents"/>
              <w:bidi w:val="0"/>
              <w:spacing w:before="0" w:after="0"/>
              <w:jc w:val="center"/>
              <w:rPr>
                <w:b/>
                <w:color w:val="000000"/>
              </w:rPr>
            </w:pPr>
            <w:r>
              <w:rPr>
                <w:b/>
                <w:color w:val="000000"/>
              </w:rPr>
              <w:t>June 30, 2026</w:t>
            </w:r>
          </w:p>
        </w:tc>
        <w:tc>
          <w:tcPr>
            <w:tcW w:w="135"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(Dollars in thousands)</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Prior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Revolving Loans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b/>
                <w:color w:val="000000"/>
              </w:rPr>
            </w:pPr>
            <w:r>
              <w:rPr>
                <w:b/>
                <w:color w:val="000000"/>
              </w:rPr>
              <w:t>Commercial real estate</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160,043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239,581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157,875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149,318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261,011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267,737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889" w:type="dxa"/>
            <w:tcBorders/>
            <w:shd w:fill="CCEEFF" w:val="clear"/>
            <w:vAlign w:val="bottom"/>
          </w:tcPr>
          <w:p>
            <w:pPr>
              <w:pStyle w:val="TableContents"/>
              <w:bidi w:val="0"/>
              <w:spacing w:before="0" w:after="0"/>
              <w:jc w:val="right"/>
              <w:rPr>
                <w:color w:val="000000"/>
              </w:rPr>
            </w:pPr>
            <w:r>
              <w:rPr>
                <w:color w:val="000000"/>
              </w:rPr>
              <w:t>19,098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1,254,663</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4,068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3,537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9,760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3,929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12,992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483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34,769</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13,340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19,244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43,088</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Total commercial real estate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160,043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246,603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174,752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160,522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271,046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299,973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19,581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1,332,520</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b/>
                <w:color w:val="000000"/>
              </w:rPr>
            </w:pPr>
            <w:r>
              <w:rPr>
                <w:b/>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83,730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62,519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31,580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27,638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25,379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52,725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color w:val="000000"/>
              </w:rPr>
            </w:pPr>
            <w:r>
              <w:rPr>
                <w:color w:val="000000"/>
              </w:rPr>
              <w:t>$</w:t>
            </w:r>
          </w:p>
        </w:tc>
        <w:tc>
          <w:tcPr>
            <w:tcW w:w="889" w:type="dxa"/>
            <w:tcBorders/>
            <w:vAlign w:val="bottom"/>
          </w:tcPr>
          <w:p>
            <w:pPr>
              <w:pStyle w:val="TableContents"/>
              <w:bidi w:val="0"/>
              <w:spacing w:before="0" w:after="0"/>
              <w:jc w:val="right"/>
              <w:rPr>
                <w:color w:val="000000"/>
              </w:rPr>
            </w:pPr>
            <w:r>
              <w:rPr>
                <w:color w:val="000000"/>
              </w:rPr>
              <w:t>135,913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419,484</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2,461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2,242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1,661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1,850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8,362</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1,534</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Total commercial - specialized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86,191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62,667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34,103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27,967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26,258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54,431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137,763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429,380</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Year-to-date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b/>
                <w:color w:val="000000"/>
              </w:rPr>
            </w:pPr>
            <w:r>
              <w:rPr>
                <w:b/>
                <w:color w:val="000000"/>
              </w:rPr>
              <w:t>Commercial - general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76,511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181,219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129,096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52,329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104,304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153,978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889" w:type="dxa"/>
            <w:tcBorders/>
            <w:shd w:fill="CCEEFF" w:val="clear"/>
            <w:vAlign w:val="bottom"/>
          </w:tcPr>
          <w:p>
            <w:pPr>
              <w:pStyle w:val="TableContents"/>
              <w:bidi w:val="0"/>
              <w:spacing w:before="0" w:after="0"/>
              <w:jc w:val="right"/>
              <w:rPr>
                <w:color w:val="000000"/>
              </w:rPr>
            </w:pPr>
            <w:r>
              <w:rPr>
                <w:color w:val="000000"/>
              </w:rPr>
              <w:t>102,813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800,250</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10,547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1,449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2,465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14,913</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12,289</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Total commercial - general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76,630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182,351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130,274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64,492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106,531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157,896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109,278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827,452</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456</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b/>
                <w:color w:val="000000"/>
              </w:rPr>
            </w:pPr>
            <w:r>
              <w:rPr>
                <w:b/>
                <w:color w:val="000000"/>
              </w:rPr>
              <w:t>Consumer 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51,778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90,562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67,538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86,883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180,321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187,658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color w:val="000000"/>
              </w:rPr>
            </w:pPr>
            <w:r>
              <w:rPr>
                <w:color w:val="000000"/>
              </w:rPr>
              <w:t>$</w:t>
            </w:r>
          </w:p>
        </w:tc>
        <w:tc>
          <w:tcPr>
            <w:tcW w:w="889" w:type="dxa"/>
            <w:tcBorders/>
            <w:vAlign w:val="bottom"/>
          </w:tcPr>
          <w:p>
            <w:pPr>
              <w:pStyle w:val="TableContents"/>
              <w:bidi w:val="0"/>
              <w:spacing w:before="0" w:after="0"/>
              <w:jc w:val="right"/>
              <w:rPr>
                <w:color w:val="000000"/>
              </w:rPr>
            </w:pPr>
            <w:r>
              <w:rPr>
                <w:color w:val="000000"/>
              </w:rPr>
              <w:t>23,378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688,118</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3,993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4,059</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11,491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21,837</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Total consumer 1-4 family residential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51,778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90,901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71,557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89,722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186,944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199,149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23,963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714,014</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Year-to-date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b/>
                <w:color w:val="000000"/>
              </w:rPr>
            </w:pPr>
            <w:r>
              <w:rPr>
                <w:b/>
                <w:color w:val="000000"/>
              </w:rPr>
              <w:t>Consumer auto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63,794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95,502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38,216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31,979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27,145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6,929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88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263,565</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245</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Total consumer auto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63,794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95,502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38,251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32,014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27,268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6,981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263,810</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403</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b/>
                <w:color w:val="000000"/>
              </w:rPr>
            </w:pPr>
            <w:r>
              <w:rPr>
                <w:b/>
                <w:color w:val="000000"/>
              </w:rPr>
              <w:t>Consumer other 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16,633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19,964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9,198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4,562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4,567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4,902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color w:val="000000"/>
              </w:rPr>
            </w:pPr>
            <w:r>
              <w:rPr>
                <w:color w:val="000000"/>
              </w:rPr>
              <w:t>$</w:t>
            </w:r>
          </w:p>
        </w:tc>
        <w:tc>
          <w:tcPr>
            <w:tcW w:w="889" w:type="dxa"/>
            <w:tcBorders/>
            <w:vAlign w:val="bottom"/>
          </w:tcPr>
          <w:p>
            <w:pPr>
              <w:pStyle w:val="TableContents"/>
              <w:bidi w:val="0"/>
              <w:spacing w:before="0" w:after="0"/>
              <w:jc w:val="right"/>
              <w:rPr>
                <w:color w:val="000000"/>
              </w:rPr>
            </w:pPr>
            <w:r>
              <w:rPr>
                <w:color w:val="000000"/>
              </w:rPr>
              <w:t>1,155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60,981</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79</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Total consumer other consumer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16,633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19,978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9,219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4,930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61,060</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lineRule="auto" w:line="240" w:before="0" w:after="0"/>
              <w:ind w:left="180" w:right="0" w:hanging="180"/>
              <w:jc w:val="left"/>
              <w:rPr>
                <w:color w:val="000000"/>
              </w:rPr>
            </w:pPr>
            <w:r>
              <w:rPr>
                <w:color w:val="000000"/>
              </w:rPr>
              <w:t>Year-to-date gross charge-offs(1)</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603</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b/>
                <w:color w:val="000000"/>
              </w:rPr>
            </w:pPr>
            <w:r>
              <w:rPr>
                <w:b/>
                <w:color w:val="000000"/>
              </w:rPr>
              <w:t>Construction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33,701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79,410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15,319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2,472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11,067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88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141,969</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1,229</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Total construction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33,701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79,410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15,422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3,598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11,067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143,198</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720" w:right="0" w:hanging="720"/>
        <w:jc w:val="left"/>
        <w:rPr>
          <w:rFonts w:ascii="Times New Roman" w:hAnsi="Times New Roman"/>
          <w:color w:val="000000"/>
          <w:sz w:val="20"/>
          <w:shd w:fill="FFFFFF" w:val="clear"/>
        </w:rPr>
      </w:pPr>
      <w:r>
        <w:rPr>
          <w:rFonts w:ascii="Times New Roman" w:hAnsi="Times New Roman"/>
          <w:color w:val="000000"/>
          <w:sz w:val="16"/>
          <w:shd w:fill="FFFFFF" w:val="clear"/>
        </w:rPr>
        <w:t xml:space="preserve">(1) </w:t>
      </w:r>
      <w:r>
        <w:rPr>
          <w:rFonts w:ascii="Times New Roman" w:hAnsi="Times New Roman"/>
          <w:color w:val="000000"/>
          <w:sz w:val="20"/>
          <w:shd w:fill="FFFFFF" w:val="clear"/>
        </w:rPr>
        <w:t>Includes $208 thousand in charged-off demand deposit overdrafts reported as 2026 originations.</w:t>
      </w:r>
    </w:p>
    <w:p>
      <w:pPr>
        <w:pStyle w:val="TextBody"/>
        <w:bidi w:val="0"/>
        <w:spacing w:before="0" w:after="0"/>
        <w:ind w:left="720" w:right="0" w:hanging="72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color w:val="000000"/>
          <w:shd w:fill="FFFFFF" w:val="clear"/>
        </w:rPr>
      </w:pPr>
      <w:r>
        <w:rPr>
          <w:color w:val="000000"/>
          <w:shd w:fill="FFFFFF" w:val="clear"/>
        </w:rPr>
        <w:t> </w:t>
      </w:r>
      <w:r>
        <w:rPr>
          <w:rFonts w:ascii="Times New Roman" w:hAnsi="Times New Roman"/>
          <w:color w:val="000000"/>
          <w:sz w:val="20"/>
          <w:shd w:fill="FFFFFF" w:val="clear"/>
        </w:rPr>
        <w:t>The following table reflects the amortized cost basis in loans held for investment by credit quality indicator and origination year at the dates indicated, and related year-to-date gross charge-offs. Loans acquired are shown in the table by origination year. The Company had an immaterial amount of revolving loans converted to term loans at December 31, 2025.</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63" w:name="zff7aa9d54c5a4c7280d1fc644e07dd57"/>
      <w:bookmarkStart w:id="64" w:name="zff7aa9d54c5a4c7280d1fc644e07dd57"/>
      <w:bookmarkEnd w:id="64"/>
    </w:p>
    <w:tbl>
      <w:tblPr>
        <w:tblW w:w="10955" w:type="dxa"/>
        <w:jc w:val="left"/>
        <w:tblInd w:w="0" w:type="dxa"/>
        <w:tblLayout w:type="fixed"/>
        <w:tblCellMar>
          <w:top w:w="0" w:type="dxa"/>
          <w:left w:w="0" w:type="dxa"/>
          <w:bottom w:w="0" w:type="dxa"/>
          <w:right w:w="0" w:type="dxa"/>
        </w:tblCellMar>
      </w:tblPr>
      <w:tblGrid>
        <w:gridCol w:w="1220"/>
        <w:gridCol w:w="90"/>
        <w:gridCol w:w="170"/>
        <w:gridCol w:w="830"/>
        <w:gridCol w:w="90"/>
        <w:gridCol w:w="90"/>
        <w:gridCol w:w="170"/>
        <w:gridCol w:w="830"/>
        <w:gridCol w:w="90"/>
        <w:gridCol w:w="90"/>
        <w:gridCol w:w="170"/>
        <w:gridCol w:w="830"/>
        <w:gridCol w:w="90"/>
        <w:gridCol w:w="90"/>
        <w:gridCol w:w="170"/>
        <w:gridCol w:w="830"/>
        <w:gridCol w:w="90"/>
        <w:gridCol w:w="90"/>
        <w:gridCol w:w="170"/>
        <w:gridCol w:w="830"/>
        <w:gridCol w:w="90"/>
        <w:gridCol w:w="90"/>
        <w:gridCol w:w="170"/>
        <w:gridCol w:w="830"/>
        <w:gridCol w:w="90"/>
        <w:gridCol w:w="90"/>
        <w:gridCol w:w="181"/>
        <w:gridCol w:w="889"/>
        <w:gridCol w:w="90"/>
        <w:gridCol w:w="90"/>
        <w:gridCol w:w="170"/>
        <w:gridCol w:w="1010"/>
        <w:gridCol w:w="135"/>
      </w:tblGrid>
      <w:tr>
        <w:trPr/>
        <w:tc>
          <w:tcPr>
            <w:tcW w:w="122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9510" w:type="dxa"/>
            <w:gridSpan w:val="30"/>
            <w:tcBorders/>
            <w:vAlign w:val="bottom"/>
          </w:tcPr>
          <w:p>
            <w:pPr>
              <w:pStyle w:val="TableContents"/>
              <w:bidi w:val="0"/>
              <w:spacing w:before="0" w:after="0"/>
              <w:jc w:val="center"/>
              <w:rPr>
                <w:b/>
                <w:color w:val="000000"/>
              </w:rPr>
            </w:pPr>
            <w:r>
              <w:rPr>
                <w:b/>
                <w:color w:val="000000"/>
              </w:rPr>
              <w:t>Term Loans</w:t>
            </w:r>
          </w:p>
          <w:p>
            <w:pPr>
              <w:pStyle w:val="TableContents"/>
              <w:bidi w:val="0"/>
              <w:spacing w:before="0" w:after="0"/>
              <w:jc w:val="center"/>
              <w:rPr>
                <w:b/>
                <w:color w:val="000000"/>
              </w:rPr>
            </w:pPr>
            <w:r>
              <w:rPr>
                <w:b/>
                <w:color w:val="000000"/>
              </w:rPr>
              <w:t>Amortized Cost Basis by Origination Year</w:t>
            </w:r>
          </w:p>
          <w:p>
            <w:pPr>
              <w:pStyle w:val="TableContents"/>
              <w:bidi w:val="0"/>
              <w:spacing w:before="0" w:after="0"/>
              <w:jc w:val="center"/>
              <w:rPr>
                <w:b/>
                <w:color w:val="000000"/>
              </w:rPr>
            </w:pPr>
            <w:r>
              <w:rPr>
                <w:b/>
                <w:color w:val="000000"/>
              </w:rPr>
              <w:t>December 31, 2025</w:t>
            </w:r>
          </w:p>
        </w:tc>
        <w:tc>
          <w:tcPr>
            <w:tcW w:w="135"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(Dollars in thousands)</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Prior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Revolving Loans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b/>
                <w:color w:val="000000"/>
              </w:rPr>
            </w:pPr>
            <w:r>
              <w:rPr>
                <w:b/>
                <w:color w:val="000000"/>
              </w:rPr>
              <w:t>Commercial real estate</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209,948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137,602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195,747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245,012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95,319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143,422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889" w:type="dxa"/>
            <w:tcBorders/>
            <w:shd w:fill="CCEEFF" w:val="clear"/>
            <w:vAlign w:val="bottom"/>
          </w:tcPr>
          <w:p>
            <w:pPr>
              <w:pStyle w:val="TableContents"/>
              <w:bidi w:val="0"/>
              <w:spacing w:before="0" w:after="0"/>
              <w:jc w:val="right"/>
              <w:rPr>
                <w:color w:val="000000"/>
              </w:rPr>
            </w:pPr>
            <w:r>
              <w:rPr>
                <w:color w:val="000000"/>
              </w:rPr>
              <w:t>5,372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1,032,422</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2,825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7,343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1,095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483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11,993</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7,095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5,979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20,210</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Total commercial real estate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210,308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140,489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208,191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246,706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102,580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150,496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5,855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1,064,625</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541</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b/>
                <w:color w:val="000000"/>
              </w:rPr>
            </w:pPr>
            <w:r>
              <w:rPr>
                <w:b/>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122,003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35,559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38,159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24,081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32,943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29,452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color w:val="000000"/>
              </w:rPr>
            </w:pPr>
            <w:r>
              <w:rPr>
                <w:color w:val="000000"/>
              </w:rPr>
              <w:t>$</w:t>
            </w:r>
          </w:p>
        </w:tc>
        <w:tc>
          <w:tcPr>
            <w:tcW w:w="889" w:type="dxa"/>
            <w:tcBorders/>
            <w:vAlign w:val="bottom"/>
          </w:tcPr>
          <w:p>
            <w:pPr>
              <w:pStyle w:val="TableContents"/>
              <w:bidi w:val="0"/>
              <w:spacing w:before="0" w:after="0"/>
              <w:jc w:val="right"/>
              <w:rPr>
                <w:color w:val="000000"/>
              </w:rPr>
            </w:pPr>
            <w:r>
              <w:rPr>
                <w:color w:val="000000"/>
              </w:rPr>
              <w:t>103,491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385,688</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4,572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8,076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1,042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1,734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3,770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20,823</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2,840</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Total commercial - specialized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126,575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43,829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39,528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25,934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35,883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30,341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107,261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409,351</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Year-to-date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b/>
                <w:color w:val="000000"/>
              </w:rPr>
            </w:pPr>
            <w:r>
              <w:rPr>
                <w:b/>
                <w:color w:val="000000"/>
              </w:rPr>
              <w:t>Commercial - general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178,827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103,310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51,335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84,327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43,179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79,605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889" w:type="dxa"/>
            <w:tcBorders/>
            <w:shd w:fill="CCEEFF" w:val="clear"/>
            <w:vAlign w:val="bottom"/>
          </w:tcPr>
          <w:p>
            <w:pPr>
              <w:pStyle w:val="TableContents"/>
              <w:bidi w:val="0"/>
              <w:spacing w:before="0" w:after="0"/>
              <w:jc w:val="right"/>
              <w:rPr>
                <w:color w:val="000000"/>
              </w:rPr>
            </w:pPr>
            <w:r>
              <w:rPr>
                <w:color w:val="000000"/>
              </w:rPr>
              <w:t>92,158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632,741</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2,110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12,127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1,011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15,781</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10,801</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Total commercial - general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178,927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106,178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65,077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85,608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49,939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81,194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92,400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659,323</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883</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b/>
                <w:color w:val="000000"/>
              </w:rPr>
            </w:pPr>
            <w:r>
              <w:rPr>
                <w:b/>
                <w:color w:val="000000"/>
              </w:rPr>
              <w:t>Consumer 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95,677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69,844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92,148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137,702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77,474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96,393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color w:val="000000"/>
              </w:rPr>
            </w:pPr>
            <w:r>
              <w:rPr>
                <w:color w:val="000000"/>
              </w:rPr>
              <w:t>$</w:t>
            </w:r>
          </w:p>
        </w:tc>
        <w:tc>
          <w:tcPr>
            <w:tcW w:w="889" w:type="dxa"/>
            <w:tcBorders/>
            <w:vAlign w:val="bottom"/>
          </w:tcPr>
          <w:p>
            <w:pPr>
              <w:pStyle w:val="TableContents"/>
              <w:bidi w:val="0"/>
              <w:spacing w:before="0" w:after="0"/>
              <w:jc w:val="right"/>
              <w:rPr>
                <w:color w:val="000000"/>
              </w:rPr>
            </w:pPr>
            <w:r>
              <w:rPr>
                <w:color w:val="000000"/>
              </w:rPr>
              <w:t>4,010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573,248</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5,061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6,110</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10,493</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Total consumer 1-4 family residential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95,891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72,939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94,342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139,197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83,139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100,333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589,851</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Year-to-date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307</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b/>
                <w:color w:val="000000"/>
              </w:rPr>
            </w:pPr>
            <w:r>
              <w:rPr>
                <w:b/>
                <w:color w:val="000000"/>
              </w:rPr>
              <w:t>Consumer auto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115,240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48,236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42,397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39,896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11,045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2,015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88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258,829</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328</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Total consumer auto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115,240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48,280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42,467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40,018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11,120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2,032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259,157</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Year-to-date gross charge-offs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1,349</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b/>
                <w:color w:val="000000"/>
              </w:rPr>
            </w:pPr>
            <w:r>
              <w:rPr>
                <w:b/>
                <w:color w:val="000000"/>
              </w:rPr>
              <w:t>Consumer other 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Pass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27,912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12,521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6,704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7,014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2,223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4,096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0"/>
              <w:jc w:val="left"/>
              <w:rPr>
                <w:color w:val="000000"/>
              </w:rPr>
            </w:pPr>
            <w:r>
              <w:rPr>
                <w:color w:val="000000"/>
              </w:rPr>
              <w:t>$</w:t>
            </w:r>
          </w:p>
        </w:tc>
        <w:tc>
          <w:tcPr>
            <w:tcW w:w="889" w:type="dxa"/>
            <w:tcBorders/>
            <w:vAlign w:val="bottom"/>
          </w:tcPr>
          <w:p>
            <w:pPr>
              <w:pStyle w:val="TableContents"/>
              <w:bidi w:val="0"/>
              <w:spacing w:before="0" w:after="0"/>
              <w:jc w:val="right"/>
              <w:rPr>
                <w:color w:val="000000"/>
              </w:rPr>
            </w:pPr>
            <w:r>
              <w:rPr>
                <w:color w:val="000000"/>
              </w:rPr>
              <w:t>1,534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62,004</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Substandard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88</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Total consumer other consumer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27,928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12,534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6,704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62,092</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Year-to-date gross charge-offs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1,066</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b/>
                <w:color w:val="000000"/>
              </w:rPr>
            </w:pPr>
            <w:r>
              <w:rPr>
                <w:b/>
                <w:color w:val="000000"/>
              </w:rPr>
              <w:t>Construction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Pass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71,154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24,768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2,505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88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98,997</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Special mention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before="0" w:after="0"/>
              <w:ind w:left="180" w:right="0" w:hanging="180"/>
              <w:jc w:val="left"/>
              <w:rPr>
                <w:color w:val="000000"/>
              </w:rPr>
            </w:pPr>
            <w:r>
              <w:rPr>
                <w:color w:val="000000"/>
              </w:rPr>
              <w:t>Substandard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1,106</w:t>
            </w:r>
          </w:p>
        </w:tc>
        <w:tc>
          <w:tcPr>
            <w:tcW w:w="13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0"/>
              <w:ind w:left="180" w:right="0" w:hanging="180"/>
              <w:jc w:val="left"/>
              <w:rPr>
                <w:color w:val="000000"/>
              </w:rPr>
            </w:pPr>
            <w:r>
              <w:rPr>
                <w:color w:val="000000"/>
              </w:rPr>
              <w:t>Total construction loans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71,154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24,768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3,611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8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100,103</w:t>
            </w:r>
          </w:p>
        </w:tc>
        <w:tc>
          <w:tcPr>
            <w:tcW w:w="135" w:type="dxa"/>
            <w:tcBorders/>
            <w:vAlign w:val="bottom"/>
          </w:tcPr>
          <w:p>
            <w:pPr>
              <w:pStyle w:val="TableContents"/>
              <w:bidi w:val="0"/>
              <w:spacing w:before="0" w:after="283"/>
              <w:jc w:val="left"/>
              <w:rPr/>
            </w:pPr>
            <w:r>
              <w:rPr/>
              <w:t> </w:t>
            </w:r>
          </w:p>
        </w:tc>
      </w:tr>
      <w:tr>
        <w:trPr/>
        <w:tc>
          <w:tcPr>
            <w:tcW w:w="1220"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Year-to-date gross charge-offs(1)</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16"/>
          <w:shd w:fill="FFFFFF" w:val="clear"/>
        </w:rPr>
        <w:t xml:space="preserve">(1) </w:t>
      </w:r>
      <w:r>
        <w:rPr>
          <w:rFonts w:ascii="Times New Roman" w:hAnsi="Times New Roman"/>
          <w:color w:val="000000"/>
          <w:sz w:val="20"/>
          <w:shd w:fill="FFFFFF" w:val="clear"/>
        </w:rPr>
        <w:t>Includes $498 thousand in charged-off demand deposit overdrafts reported as 2025 originations.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amortized cost basis of loans at June 30, 2026 and 2025 that were both experiencing financial difficulty and modified during the periods indicated, by class and by type of modification. The percentage of the amortized cost basis of loans that were modified to borrowers in financial distress as compared to the amortized cost basis of each class of financing receivable is also presented below (dollars in thousands):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65" w:name="zb4c79ac633934da485bd09eae558a335"/>
      <w:bookmarkStart w:id="66" w:name="zb4c79ac633934da485bd09eae558a335"/>
      <w:bookmarkEnd w:id="66"/>
    </w:p>
    <w:tbl>
      <w:tblPr>
        <w:tblW w:w="10205" w:type="dxa"/>
        <w:jc w:val="left"/>
        <w:tblInd w:w="0" w:type="dxa"/>
        <w:tblLayout w:type="fixed"/>
        <w:tblCellMar>
          <w:top w:w="0" w:type="dxa"/>
          <w:left w:w="0" w:type="dxa"/>
          <w:bottom w:w="0" w:type="dxa"/>
          <w:right w:w="0" w:type="dxa"/>
        </w:tblCellMar>
      </w:tblPr>
      <w:tblGrid>
        <w:gridCol w:w="2088"/>
        <w:gridCol w:w="90"/>
        <w:gridCol w:w="212"/>
        <w:gridCol w:w="738"/>
        <w:gridCol w:w="90"/>
        <w:gridCol w:w="90"/>
        <w:gridCol w:w="309"/>
        <w:gridCol w:w="746"/>
        <w:gridCol w:w="90"/>
        <w:gridCol w:w="90"/>
        <w:gridCol w:w="633"/>
        <w:gridCol w:w="467"/>
        <w:gridCol w:w="90"/>
        <w:gridCol w:w="90"/>
        <w:gridCol w:w="263"/>
        <w:gridCol w:w="918"/>
        <w:gridCol w:w="90"/>
        <w:gridCol w:w="90"/>
        <w:gridCol w:w="493"/>
        <w:gridCol w:w="843"/>
        <w:gridCol w:w="90"/>
        <w:gridCol w:w="90"/>
        <w:gridCol w:w="194"/>
        <w:gridCol w:w="1016"/>
        <w:gridCol w:w="295"/>
      </w:tblGrid>
      <w:tr>
        <w:trPr/>
        <w:tc>
          <w:tcPr>
            <w:tcW w:w="20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Payment</w:t>
            </w:r>
          </w:p>
          <w:p>
            <w:pPr>
              <w:pStyle w:val="TableContents"/>
              <w:bidi w:val="0"/>
              <w:spacing w:before="0" w:after="0"/>
              <w:jc w:val="center"/>
              <w:rPr>
                <w:b/>
                <w:color w:val="000000"/>
              </w:rPr>
            </w:pPr>
            <w:r>
              <w:rPr>
                <w:b/>
                <w:color w:val="000000"/>
              </w:rPr>
              <w:t>Delay</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Term</w:t>
            </w:r>
          </w:p>
          <w:p>
            <w:pPr>
              <w:pStyle w:val="TableContents"/>
              <w:bidi w:val="0"/>
              <w:spacing w:before="0" w:after="0"/>
              <w:jc w:val="center"/>
              <w:rPr>
                <w:b/>
                <w:color w:val="000000"/>
              </w:rPr>
            </w:pPr>
            <w:r>
              <w:rPr>
                <w:b/>
                <w:color w:val="000000"/>
              </w:rPr>
              <w:t>Extension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Rate</w:t>
            </w:r>
          </w:p>
          <w:p>
            <w:pPr>
              <w:pStyle w:val="TableContents"/>
              <w:bidi w:val="0"/>
              <w:spacing w:before="0" w:after="0"/>
              <w:jc w:val="center"/>
              <w:rPr>
                <w:b/>
                <w:color w:val="000000"/>
              </w:rPr>
            </w:pPr>
            <w:r>
              <w:rPr>
                <w:b/>
                <w:color w:val="000000"/>
              </w:rPr>
              <w:t>Reduction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Term</w:t>
            </w:r>
          </w:p>
          <w:p>
            <w:pPr>
              <w:pStyle w:val="TableContents"/>
              <w:bidi w:val="0"/>
              <w:spacing w:before="0" w:after="0"/>
              <w:jc w:val="center"/>
              <w:rPr>
                <w:b/>
                <w:color w:val="000000"/>
              </w:rPr>
            </w:pPr>
            <w:r>
              <w:rPr>
                <w:b/>
                <w:color w:val="000000"/>
              </w:rPr>
              <w:t>Extension</w:t>
            </w:r>
          </w:p>
          <w:p>
            <w:pPr>
              <w:pStyle w:val="TableContents"/>
              <w:bidi w:val="0"/>
              <w:spacing w:before="0" w:after="0"/>
              <w:jc w:val="center"/>
              <w:rPr>
                <w:b/>
                <w:color w:val="000000"/>
              </w:rPr>
            </w:pPr>
            <w:r>
              <w:rPr>
                <w:b/>
                <w:color w:val="000000"/>
              </w:rPr>
              <w:t>and Payment</w:t>
            </w:r>
          </w:p>
          <w:p>
            <w:pPr>
              <w:pStyle w:val="TableContents"/>
              <w:bidi w:val="0"/>
              <w:spacing w:before="0" w:after="0"/>
              <w:jc w:val="center"/>
              <w:rPr>
                <w:b/>
                <w:color w:val="000000"/>
              </w:rPr>
            </w:pPr>
            <w:r>
              <w:rPr>
                <w:b/>
                <w:color w:val="000000"/>
              </w:rPr>
              <w:t>Delay</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Payment Delay,</w:t>
            </w:r>
          </w:p>
          <w:p>
            <w:pPr>
              <w:pStyle w:val="TableContents"/>
              <w:bidi w:val="0"/>
              <w:spacing w:before="0" w:after="0"/>
              <w:jc w:val="center"/>
              <w:rPr>
                <w:b/>
                <w:color w:val="000000"/>
              </w:rPr>
            </w:pPr>
            <w:r>
              <w:rPr>
                <w:b/>
                <w:color w:val="000000"/>
              </w:rPr>
              <w:t>Term Extension,</w:t>
            </w:r>
          </w:p>
          <w:p>
            <w:pPr>
              <w:pStyle w:val="TableContents"/>
              <w:bidi w:val="0"/>
              <w:spacing w:before="0" w:after="0"/>
              <w:jc w:val="center"/>
              <w:rPr>
                <w:b/>
                <w:color w:val="000000"/>
              </w:rPr>
            </w:pPr>
            <w:r>
              <w:rPr>
                <w:b/>
                <w:color w:val="000000"/>
              </w:rPr>
              <w:t>and Interest</w:t>
            </w:r>
          </w:p>
          <w:p>
            <w:pPr>
              <w:pStyle w:val="TableContents"/>
              <w:bidi w:val="0"/>
              <w:spacing w:before="0" w:after="0"/>
              <w:jc w:val="center"/>
              <w:rPr>
                <w:b/>
                <w:color w:val="000000"/>
              </w:rPr>
            </w:pPr>
            <w:r>
              <w:rPr>
                <w:b/>
                <w:color w:val="000000"/>
              </w:rPr>
              <w:t>Rate Reduction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w:t>
            </w:r>
          </w:p>
          <w:p>
            <w:pPr>
              <w:pStyle w:val="TableContents"/>
              <w:bidi w:val="0"/>
              <w:spacing w:before="0" w:after="0"/>
              <w:jc w:val="center"/>
              <w:rPr>
                <w:b/>
                <w:color w:val="000000"/>
              </w:rPr>
            </w:pPr>
            <w:r>
              <w:rPr>
                <w:b/>
                <w:color w:val="000000"/>
              </w:rPr>
              <w:t>Total Class</w:t>
            </w:r>
          </w:p>
          <w:p>
            <w:pPr>
              <w:pStyle w:val="TableContents"/>
              <w:bidi w:val="0"/>
              <w:spacing w:before="0" w:after="0"/>
              <w:jc w:val="center"/>
              <w:rPr>
                <w:b/>
                <w:color w:val="000000"/>
              </w:rPr>
            </w:pPr>
            <w:r>
              <w:rPr>
                <w:b/>
                <w:color w:val="000000"/>
              </w:rPr>
              <w:t>Financing of</w:t>
            </w:r>
          </w:p>
          <w:p>
            <w:pPr>
              <w:pStyle w:val="TableContents"/>
              <w:bidi w:val="0"/>
              <w:spacing w:before="0" w:after="0"/>
              <w:jc w:val="center"/>
              <w:rPr>
                <w:b/>
                <w:color w:val="000000"/>
              </w:rPr>
            </w:pPr>
            <w:r>
              <w:rPr>
                <w:b/>
                <w:color w:val="000000"/>
              </w:rPr>
              <w:t>Receivable</w:t>
            </w:r>
          </w:p>
        </w:tc>
        <w:tc>
          <w:tcPr>
            <w:tcW w:w="295" w:type="dxa"/>
            <w:tcBorders/>
            <w:vAlign w:val="bottom"/>
          </w:tcPr>
          <w:p>
            <w:pPr>
              <w:pStyle w:val="TableContents"/>
              <w:bidi w:val="0"/>
              <w:spacing w:before="0" w:after="283"/>
              <w:jc w:val="left"/>
              <w:rPr/>
            </w:pPr>
            <w:r>
              <w:rPr/>
              <w:t> </w:t>
            </w:r>
          </w:p>
        </w:tc>
      </w:tr>
      <w:tr>
        <w:trPr/>
        <w:tc>
          <w:tcPr>
            <w:tcW w:w="2088" w:type="dxa"/>
            <w:tcBorders/>
            <w:vAlign w:val="bottom"/>
          </w:tcPr>
          <w:p>
            <w:pPr>
              <w:pStyle w:val="TableContents"/>
              <w:bidi w:val="0"/>
              <w:spacing w:before="0" w:after="0"/>
              <w:jc w:val="left"/>
              <w:rPr>
                <w:color w:val="000000"/>
                <w:u w:val="single"/>
              </w:rPr>
            </w:pPr>
            <w:r>
              <w:rPr>
                <w:color w:val="000000"/>
                <w:u w:val="single"/>
              </w:rPr>
              <w:t>Three Months Ended June 30, 2026</w:t>
            </w:r>
          </w:p>
        </w:tc>
        <w:tc>
          <w:tcPr>
            <w:tcW w:w="9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6"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0" w:type="dxa"/>
            <w:gridSpan w:val="2"/>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r>
      <w:tr>
        <w:trPr/>
        <w:tc>
          <w:tcPr>
            <w:tcW w:w="2088"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0"/>
              <w:jc w:val="left"/>
              <w:rPr>
                <w:color w:val="000000"/>
              </w:rPr>
            </w:pPr>
            <w:r>
              <w:rPr>
                <w:color w:val="000000"/>
              </w:rPr>
              <w:t>$</w:t>
            </w:r>
          </w:p>
        </w:tc>
        <w:tc>
          <w:tcPr>
            <w:tcW w:w="73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0"/>
              <w:jc w:val="left"/>
              <w:rPr>
                <w:color w:val="000000"/>
              </w:rPr>
            </w:pPr>
            <w:r>
              <w:rPr>
                <w:color w:val="000000"/>
              </w:rPr>
              <w:t>$</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0"/>
              <w:jc w:val="left"/>
              <w:rPr>
                <w:color w:val="000000"/>
              </w:rPr>
            </w:pPr>
            <w:r>
              <w:rPr>
                <w:color w:val="000000"/>
              </w:rPr>
              <w:t>$</w:t>
            </w:r>
          </w:p>
        </w:tc>
        <w:tc>
          <w:tcPr>
            <w:tcW w:w="46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0"/>
              <w:jc w:val="left"/>
              <w:rPr>
                <w:color w:val="000000"/>
              </w:rPr>
            </w:pPr>
            <w:r>
              <w:rPr>
                <w:color w:val="000000"/>
              </w:rPr>
              <w:t>$</w:t>
            </w:r>
          </w:p>
        </w:tc>
        <w:tc>
          <w:tcPr>
            <w:tcW w:w="918" w:type="dxa"/>
            <w:tcBorders/>
            <w:shd w:fill="CCEEFF" w:val="clear"/>
            <w:vAlign w:val="bottom"/>
          </w:tcPr>
          <w:p>
            <w:pPr>
              <w:pStyle w:val="TableContents"/>
              <w:bidi w:val="0"/>
              <w:spacing w:before="0" w:after="0"/>
              <w:jc w:val="right"/>
              <w:rPr>
                <w:color w:val="000000"/>
              </w:rPr>
            </w:pPr>
            <w:r>
              <w:rPr>
                <w:color w:val="000000"/>
              </w:rPr>
              <w:t>250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0"/>
              <w:jc w:val="left"/>
              <w:rPr>
                <w:color w:val="000000"/>
              </w:rPr>
            </w:pPr>
            <w:r>
              <w:rPr>
                <w:color w:val="000000"/>
              </w:rPr>
              <w:t>$</w:t>
            </w:r>
          </w:p>
        </w:tc>
        <w:tc>
          <w:tcPr>
            <w:tcW w:w="84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0.02</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color w:val="000000"/>
              </w:rPr>
            </w:pPr>
            <w:r>
              <w:rPr>
                <w:color w:val="000000"/>
              </w:rPr>
              <w:t>174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0.04</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color w:val="000000"/>
              </w:rPr>
            </w:pPr>
            <w:r>
              <w:rPr>
                <w:color w:val="000000"/>
              </w:rPr>
              <w:t>363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0.05</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2088" w:type="dxa"/>
            <w:tcBorders/>
            <w:shd w:fill="CCEEFF" w:val="clear"/>
            <w:vAlign w:val="bottom"/>
          </w:tcPr>
          <w:p>
            <w:pPr>
              <w:pStyle w:val="TableContents"/>
              <w:bidi w:val="0"/>
              <w:spacing w:before="0" w:after="0"/>
              <w:ind w:left="180" w:right="0" w:hanging="0"/>
              <w:jc w:val="left"/>
              <w:rPr>
                <w:color w:val="000000"/>
              </w:rPr>
            </w:pPr>
            <w:r>
              <w:rPr>
                <w:color w:val="000000"/>
              </w:rPr>
              <w:t>1-4 family</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0.00</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0.00</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0.00</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righ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7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bottom w:val="single" w:sz="12" w:space="0" w:color="000000"/>
            </w:tcBorders>
            <w:tcMar>
              <w:bottom w:w="28" w:type="dxa"/>
            </w:tcMar>
            <w:vAlign w:val="bottom"/>
          </w:tcPr>
          <w:p>
            <w:pPr>
              <w:pStyle w:val="TableContents"/>
              <w:bidi w:val="0"/>
              <w:spacing w:before="0" w:after="283"/>
              <w:jc w:val="left"/>
              <w:rPr/>
            </w:pPr>
            <w:r>
              <w:rPr/>
              <w:t> </w:t>
            </w:r>
          </w:p>
        </w:tc>
        <w:tc>
          <w:tcPr>
            <w:tcW w:w="7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bottom w:val="single" w:sz="12" w:space="0" w:color="000000"/>
            </w:tcBorders>
            <w:tcMar>
              <w:bottom w:w="28" w:type="dxa"/>
            </w:tcMar>
            <w:vAlign w:val="bottom"/>
          </w:tcPr>
          <w:p>
            <w:pPr>
              <w:pStyle w:val="TableContents"/>
              <w:bidi w:val="0"/>
              <w:spacing w:before="0" w:after="283"/>
              <w:jc w:val="left"/>
              <w:rPr/>
            </w:pPr>
            <w:r>
              <w:rPr/>
              <w:t> </w:t>
            </w:r>
          </w:p>
        </w:tc>
        <w:tc>
          <w:tcPr>
            <w:tcW w:w="4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bottom w:val="single" w:sz="12" w:space="0" w:color="000000"/>
            </w:tcBorders>
            <w:tcMar>
              <w:bottom w:w="28" w:type="dxa"/>
            </w:tcMar>
            <w:vAlign w:val="bottom"/>
          </w:tcPr>
          <w:p>
            <w:pPr>
              <w:pStyle w:val="TableContents"/>
              <w:bidi w:val="0"/>
              <w:spacing w:before="0" w:after="283"/>
              <w:jc w:val="left"/>
              <w:rPr/>
            </w:pPr>
            <w:r>
              <w:rPr/>
              <w:t> </w:t>
            </w:r>
          </w:p>
        </w:tc>
        <w:tc>
          <w:tcPr>
            <w:tcW w:w="8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0.37</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6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4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0.04</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2088" w:type="dxa"/>
            <w:tcBorders/>
            <w:shd w:fill="CCEEFF" w:val="clear"/>
            <w:vAlign w:val="bottom"/>
          </w:tcPr>
          <w:p>
            <w:pPr>
              <w:pStyle w:val="TableContents"/>
              <w:bidi w:val="0"/>
              <w:spacing w:before="0" w:after="0"/>
              <w:jc w:val="left"/>
              <w:rPr>
                <w:color w:val="000000"/>
                <w:u w:val="single"/>
              </w:rPr>
            </w:pPr>
            <w:r>
              <w:rPr>
                <w:color w:val="000000"/>
                <w:u w:val="single"/>
              </w:rPr>
              <w:t>Three Months Ended June 30, 2025</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r>
      <w:tr>
        <w:trPr/>
        <w:tc>
          <w:tcPr>
            <w:tcW w:w="2088" w:type="dxa"/>
            <w:tcBorders/>
            <w:vAlign w:val="bottom"/>
          </w:tcPr>
          <w:p>
            <w:pPr>
              <w:pStyle w:val="TableContents"/>
              <w:bidi w:val="0"/>
              <w:spacing w:before="0" w:after="0"/>
              <w:jc w:val="left"/>
              <w:rPr>
                <w:color w:val="000000"/>
              </w:rPr>
            </w:pPr>
            <w:r>
              <w:rPr>
                <w:color w:val="000000"/>
              </w:rPr>
              <w:t>Commercial real estate</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0"/>
              <w:jc w:val="left"/>
              <w:rPr>
                <w:color w:val="000000"/>
              </w:rPr>
            </w:pPr>
            <w:r>
              <w:rPr>
                <w:color w:val="000000"/>
              </w:rPr>
              <w:t>$</w:t>
            </w:r>
          </w:p>
        </w:tc>
        <w:tc>
          <w:tcPr>
            <w:tcW w:w="73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0"/>
              <w:jc w:val="left"/>
              <w:rPr>
                <w:color w:val="000000"/>
              </w:rPr>
            </w:pPr>
            <w:r>
              <w:rPr>
                <w:color w:val="000000"/>
              </w:rPr>
              <w:t>$</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0"/>
              <w:jc w:val="left"/>
              <w:rPr>
                <w:color w:val="000000"/>
              </w:rPr>
            </w:pPr>
            <w:r>
              <w:rPr>
                <w:color w:val="000000"/>
              </w:rPr>
              <w:t>$</w:t>
            </w:r>
          </w:p>
        </w:tc>
        <w:tc>
          <w:tcPr>
            <w:tcW w:w="46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0"/>
              <w:jc w:val="left"/>
              <w:rPr>
                <w:color w:val="000000"/>
              </w:rPr>
            </w:pPr>
            <w:r>
              <w:rPr>
                <w:color w:val="000000"/>
              </w:rPr>
              <w:t>$</w:t>
            </w:r>
          </w:p>
        </w:tc>
        <w:tc>
          <w:tcPr>
            <w:tcW w:w="91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0"/>
              <w:jc w:val="left"/>
              <w:rPr>
                <w:color w:val="000000"/>
              </w:rPr>
            </w:pPr>
            <w:r>
              <w:rPr>
                <w:color w:val="000000"/>
              </w:rPr>
              <w:t>$</w:t>
            </w:r>
          </w:p>
        </w:tc>
        <w:tc>
          <w:tcPr>
            <w:tcW w:w="84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0.00</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0"/>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0.01</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0"/>
              <w:jc w:val="left"/>
              <w:rPr>
                <w:color w:val="000000"/>
              </w:rPr>
            </w:pPr>
            <w:r>
              <w:rPr>
                <w:color w:val="000000"/>
              </w:rPr>
              <w:t>Commercial - general</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0"/>
              <w:jc w:val="right"/>
              <w:rPr>
                <w:color w:val="000000"/>
              </w:rPr>
            </w:pPr>
            <w:r>
              <w:rPr>
                <w:color w:val="000000"/>
              </w:rPr>
              <w:t>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0.01</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0"/>
              <w:jc w:val="left"/>
              <w:rPr>
                <w:color w:val="000000"/>
              </w:rPr>
            </w:pPr>
            <w:r>
              <w:rPr>
                <w:color w:val="000000"/>
              </w:rPr>
              <w:t>Consumer:</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r>
      <w:tr>
        <w:trPr/>
        <w:tc>
          <w:tcPr>
            <w:tcW w:w="2088" w:type="dxa"/>
            <w:tcBorders/>
            <w:vAlign w:val="bottom"/>
          </w:tcPr>
          <w:p>
            <w:pPr>
              <w:pStyle w:val="TableContents"/>
              <w:bidi w:val="0"/>
              <w:spacing w:before="0" w:after="0"/>
              <w:ind w:left="180" w:right="0" w:hanging="0"/>
              <w:jc w:val="left"/>
              <w:rPr>
                <w:color w:val="000000"/>
              </w:rPr>
            </w:pPr>
            <w:r>
              <w:rPr>
                <w:color w:val="000000"/>
              </w:rPr>
              <w:t>1-4 family</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0.00</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0"/>
              <w:ind w:left="180" w:right="0" w:hanging="0"/>
              <w:jc w:val="left"/>
              <w:rPr>
                <w:color w:val="000000"/>
              </w:rPr>
            </w:pPr>
            <w:r>
              <w:rPr>
                <w:color w:val="000000"/>
              </w:rPr>
              <w:t>Auto loans</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color w:val="000000"/>
              </w:rPr>
            </w:pPr>
            <w:r>
              <w:rPr>
                <w:color w:val="000000"/>
              </w:rPr>
              <w:t>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0"/>
              <w:jc w:val="right"/>
              <w:rPr>
                <w:color w:val="000000"/>
              </w:rPr>
            </w:pPr>
            <w:r>
              <w:rPr>
                <w:color w:val="000000"/>
              </w:rPr>
              <w:t>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0.02</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0"/>
              <w:ind w:left="180" w:right="0" w:hanging="0"/>
              <w:jc w:val="left"/>
              <w:rPr>
                <w:color w:val="000000"/>
              </w:rPr>
            </w:pPr>
            <w:r>
              <w:rPr>
                <w:color w:val="000000"/>
              </w:rPr>
              <w:t>Other consumer</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0.03</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0"/>
              <w:jc w:val="left"/>
              <w:rPr>
                <w:color w:val="000000"/>
              </w:rPr>
            </w:pPr>
            <w:r>
              <w:rPr>
                <w:color w:val="000000"/>
              </w:rPr>
              <w:t>Construction</w:t>
            </w:r>
          </w:p>
        </w:tc>
        <w:tc>
          <w:tcPr>
            <w:tcW w:w="90" w:type="dxa"/>
            <w:tcBorders/>
            <w:shd w:fill="CCEEFF" w:val="clear"/>
            <w:vAlign w:val="bottom"/>
          </w:tcPr>
          <w:p>
            <w:pPr>
              <w:pStyle w:val="TableContents"/>
              <w:bidi w:val="0"/>
              <w:spacing w:before="0" w:after="283"/>
              <w:jc w:val="righ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6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0.52</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4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46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1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0.02</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r>
      <w:tr>
        <w:trPr/>
        <w:tc>
          <w:tcPr>
            <w:tcW w:w="2088" w:type="dxa"/>
            <w:tcBorders/>
            <w:vAlign w:val="bottom"/>
          </w:tcPr>
          <w:p>
            <w:pPr>
              <w:pStyle w:val="TableContents"/>
              <w:bidi w:val="0"/>
              <w:spacing w:before="0" w:after="0"/>
              <w:jc w:val="left"/>
              <w:rPr>
                <w:color w:val="000000"/>
                <w:u w:val="single"/>
              </w:rPr>
            </w:pPr>
            <w:r>
              <w:rPr>
                <w:color w:val="000000"/>
                <w:u w:val="single"/>
              </w:rPr>
              <w:t>Six Months Ended June 30, 2026</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2088"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0"/>
              <w:jc w:val="left"/>
              <w:rPr>
                <w:color w:val="000000"/>
              </w:rPr>
            </w:pPr>
            <w:r>
              <w:rPr>
                <w:color w:val="000000"/>
              </w:rPr>
              <w:t>$</w:t>
            </w:r>
          </w:p>
        </w:tc>
        <w:tc>
          <w:tcPr>
            <w:tcW w:w="73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0"/>
              <w:jc w:val="left"/>
              <w:rPr>
                <w:color w:val="000000"/>
              </w:rPr>
            </w:pPr>
            <w:r>
              <w:rPr>
                <w:color w:val="000000"/>
              </w:rPr>
              <w:t>$</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0"/>
              <w:jc w:val="left"/>
              <w:rPr>
                <w:color w:val="000000"/>
              </w:rPr>
            </w:pPr>
            <w:r>
              <w:rPr>
                <w:color w:val="000000"/>
              </w:rPr>
              <w:t>$</w:t>
            </w:r>
          </w:p>
        </w:tc>
        <w:tc>
          <w:tcPr>
            <w:tcW w:w="46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0"/>
              <w:jc w:val="left"/>
              <w:rPr>
                <w:color w:val="000000"/>
              </w:rPr>
            </w:pPr>
            <w:r>
              <w:rPr>
                <w:color w:val="000000"/>
              </w:rPr>
              <w:t>$</w:t>
            </w:r>
          </w:p>
        </w:tc>
        <w:tc>
          <w:tcPr>
            <w:tcW w:w="918" w:type="dxa"/>
            <w:tcBorders/>
            <w:shd w:fill="CCEEFF" w:val="clear"/>
            <w:vAlign w:val="bottom"/>
          </w:tcPr>
          <w:p>
            <w:pPr>
              <w:pStyle w:val="TableContents"/>
              <w:bidi w:val="0"/>
              <w:spacing w:before="0" w:after="0"/>
              <w:jc w:val="right"/>
              <w:rPr>
                <w:color w:val="000000"/>
              </w:rPr>
            </w:pPr>
            <w:r>
              <w:rPr>
                <w:color w:val="000000"/>
              </w:rPr>
              <w:t>250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0"/>
              <w:jc w:val="left"/>
              <w:rPr>
                <w:color w:val="000000"/>
              </w:rPr>
            </w:pPr>
            <w:r>
              <w:rPr>
                <w:color w:val="000000"/>
              </w:rPr>
              <w:t>$</w:t>
            </w:r>
          </w:p>
        </w:tc>
        <w:tc>
          <w:tcPr>
            <w:tcW w:w="84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0.02</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color w:val="000000"/>
              </w:rPr>
            </w:pPr>
            <w:r>
              <w:rPr>
                <w:color w:val="000000"/>
              </w:rPr>
              <w:t>630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0.15</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color w:val="000000"/>
              </w:rPr>
            </w:pPr>
            <w:r>
              <w:rPr>
                <w:color w:val="000000"/>
              </w:rPr>
              <w:t>378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0.06</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2088" w:type="dxa"/>
            <w:tcBorders/>
            <w:shd w:fill="CCEEFF" w:val="clear"/>
            <w:vAlign w:val="bottom"/>
          </w:tcPr>
          <w:p>
            <w:pPr>
              <w:pStyle w:val="TableContents"/>
              <w:bidi w:val="0"/>
              <w:spacing w:before="0" w:after="0"/>
              <w:ind w:left="180" w:right="0" w:hanging="0"/>
              <w:jc w:val="left"/>
              <w:rPr>
                <w:color w:val="000000"/>
              </w:rPr>
            </w:pPr>
            <w:r>
              <w:rPr>
                <w:color w:val="000000"/>
              </w:rPr>
              <w:t>1-4 family</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236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0.04</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0.00</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0.00</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righ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7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bottom w:val="single" w:sz="12" w:space="0" w:color="000000"/>
            </w:tcBorders>
            <w:tcMar>
              <w:bottom w:w="28" w:type="dxa"/>
            </w:tcMar>
            <w:vAlign w:val="bottom"/>
          </w:tcPr>
          <w:p>
            <w:pPr>
              <w:pStyle w:val="TableContents"/>
              <w:bidi w:val="0"/>
              <w:spacing w:before="0" w:after="283"/>
              <w:jc w:val="left"/>
              <w:rPr/>
            </w:pPr>
            <w:r>
              <w:rPr/>
              <w:t> </w:t>
            </w:r>
          </w:p>
        </w:tc>
        <w:tc>
          <w:tcPr>
            <w:tcW w:w="7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bottom w:val="single" w:sz="12" w:space="0" w:color="000000"/>
            </w:tcBorders>
            <w:tcMar>
              <w:bottom w:w="28" w:type="dxa"/>
            </w:tcMar>
            <w:vAlign w:val="bottom"/>
          </w:tcPr>
          <w:p>
            <w:pPr>
              <w:pStyle w:val="TableContents"/>
              <w:bidi w:val="0"/>
              <w:spacing w:before="0" w:after="283"/>
              <w:jc w:val="left"/>
              <w:rPr/>
            </w:pPr>
            <w:r>
              <w:rPr/>
              <w:t> </w:t>
            </w:r>
          </w:p>
        </w:tc>
        <w:tc>
          <w:tcPr>
            <w:tcW w:w="4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bottom w:val="single" w:sz="12" w:space="0" w:color="000000"/>
            </w:tcBorders>
            <w:tcMar>
              <w:bottom w:w="28" w:type="dxa"/>
            </w:tcMar>
            <w:vAlign w:val="bottom"/>
          </w:tcPr>
          <w:p>
            <w:pPr>
              <w:pStyle w:val="TableContents"/>
              <w:bidi w:val="0"/>
              <w:spacing w:before="0" w:after="283"/>
              <w:jc w:val="left"/>
              <w:rPr/>
            </w:pPr>
            <w:r>
              <w:rPr/>
              <w:t> </w:t>
            </w:r>
          </w:p>
        </w:tc>
        <w:tc>
          <w:tcPr>
            <w:tcW w:w="8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0.79</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6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4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0.07</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2088" w:type="dxa"/>
            <w:tcBorders/>
            <w:shd w:fill="CCEEFF" w:val="clear"/>
            <w:vAlign w:val="bottom"/>
          </w:tcPr>
          <w:p>
            <w:pPr>
              <w:pStyle w:val="TableContents"/>
              <w:bidi w:val="0"/>
              <w:spacing w:before="0" w:after="0"/>
              <w:jc w:val="left"/>
              <w:rPr>
                <w:color w:val="000000"/>
                <w:u w:val="single"/>
              </w:rPr>
            </w:pPr>
            <w:r>
              <w:rPr>
                <w:color w:val="000000"/>
                <w:u w:val="single"/>
              </w:rPr>
              <w:t>Six Months Ended June 30, 2025</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r>
      <w:tr>
        <w:trPr/>
        <w:tc>
          <w:tcPr>
            <w:tcW w:w="2088" w:type="dxa"/>
            <w:tcBorders/>
            <w:vAlign w:val="bottom"/>
          </w:tcPr>
          <w:p>
            <w:pPr>
              <w:pStyle w:val="TableContents"/>
              <w:bidi w:val="0"/>
              <w:spacing w:before="0" w:after="0"/>
              <w:jc w:val="left"/>
              <w:rPr>
                <w:color w:val="000000"/>
              </w:rPr>
            </w:pPr>
            <w:r>
              <w:rPr>
                <w:color w:val="000000"/>
              </w:rPr>
              <w:t>Commercial real estate</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0"/>
              <w:jc w:val="left"/>
              <w:rPr>
                <w:color w:val="000000"/>
              </w:rPr>
            </w:pPr>
            <w:r>
              <w:rPr>
                <w:color w:val="000000"/>
              </w:rPr>
              <w:t>$</w:t>
            </w:r>
          </w:p>
        </w:tc>
        <w:tc>
          <w:tcPr>
            <w:tcW w:w="73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0"/>
              <w:jc w:val="left"/>
              <w:rPr>
                <w:color w:val="000000"/>
              </w:rPr>
            </w:pPr>
            <w:r>
              <w:rPr>
                <w:color w:val="000000"/>
              </w:rPr>
              <w:t>$</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0"/>
              <w:jc w:val="left"/>
              <w:rPr>
                <w:color w:val="000000"/>
              </w:rPr>
            </w:pPr>
            <w:r>
              <w:rPr>
                <w:color w:val="000000"/>
              </w:rPr>
              <w:t>$</w:t>
            </w:r>
          </w:p>
        </w:tc>
        <w:tc>
          <w:tcPr>
            <w:tcW w:w="46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0"/>
              <w:jc w:val="left"/>
              <w:rPr>
                <w:color w:val="000000"/>
              </w:rPr>
            </w:pPr>
            <w:r>
              <w:rPr>
                <w:color w:val="000000"/>
              </w:rPr>
              <w:t>$</w:t>
            </w:r>
          </w:p>
        </w:tc>
        <w:tc>
          <w:tcPr>
            <w:tcW w:w="91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0"/>
              <w:jc w:val="left"/>
              <w:rPr>
                <w:color w:val="000000"/>
              </w:rPr>
            </w:pPr>
            <w:r>
              <w:rPr>
                <w:color w:val="000000"/>
              </w:rPr>
              <w:t>$</w:t>
            </w:r>
          </w:p>
        </w:tc>
        <w:tc>
          <w:tcPr>
            <w:tcW w:w="84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0.00</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0"/>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0.01</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0"/>
              <w:jc w:val="left"/>
              <w:rPr>
                <w:color w:val="000000"/>
              </w:rPr>
            </w:pPr>
            <w:r>
              <w:rPr>
                <w:color w:val="000000"/>
              </w:rPr>
              <w:t>Commercial - general</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260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0"/>
              <w:jc w:val="right"/>
              <w:rPr>
                <w:color w:val="000000"/>
              </w:rPr>
            </w:pPr>
            <w:r>
              <w:rPr>
                <w:color w:val="000000"/>
              </w:rPr>
              <w:t>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0.06</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0"/>
              <w:jc w:val="left"/>
              <w:rPr>
                <w:color w:val="000000"/>
              </w:rPr>
            </w:pPr>
            <w:r>
              <w:rPr>
                <w:color w:val="000000"/>
              </w:rPr>
              <w:t>Consumer:</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r>
      <w:tr>
        <w:trPr/>
        <w:tc>
          <w:tcPr>
            <w:tcW w:w="2088" w:type="dxa"/>
            <w:tcBorders/>
            <w:vAlign w:val="bottom"/>
          </w:tcPr>
          <w:p>
            <w:pPr>
              <w:pStyle w:val="TableContents"/>
              <w:bidi w:val="0"/>
              <w:spacing w:before="0" w:after="0"/>
              <w:ind w:left="180" w:right="0" w:hanging="0"/>
              <w:jc w:val="left"/>
              <w:rPr>
                <w:color w:val="000000"/>
              </w:rPr>
            </w:pPr>
            <w:r>
              <w:rPr>
                <w:color w:val="000000"/>
              </w:rPr>
              <w:t>1-4 family</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0.00</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0"/>
              <w:ind w:left="180" w:right="0" w:hanging="0"/>
              <w:jc w:val="left"/>
              <w:rPr>
                <w:color w:val="000000"/>
              </w:rPr>
            </w:pPr>
            <w:r>
              <w:rPr>
                <w:color w:val="000000"/>
              </w:rPr>
              <w:t>Auto loans</w:t>
            </w:r>
          </w:p>
        </w:tc>
        <w:tc>
          <w:tcPr>
            <w:tcW w:w="9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color w:val="000000"/>
              </w:rPr>
            </w:pPr>
            <w:r>
              <w:rPr>
                <w:color w:val="000000"/>
              </w:rPr>
              <w:t>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0"/>
              <w:jc w:val="right"/>
              <w:rPr>
                <w:color w:val="000000"/>
              </w:rPr>
            </w:pPr>
            <w:r>
              <w:rPr>
                <w:color w:val="000000"/>
              </w:rPr>
              <w:t>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0.02</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0"/>
              <w:ind w:left="180" w:right="0" w:hanging="0"/>
              <w:jc w:val="left"/>
              <w:rPr>
                <w:color w:val="000000"/>
              </w:rPr>
            </w:pPr>
            <w:r>
              <w:rPr>
                <w:color w:val="000000"/>
              </w:rPr>
              <w:t>Other consumer</w:t>
            </w:r>
          </w:p>
        </w:tc>
        <w:tc>
          <w:tcPr>
            <w:tcW w:w="9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color w:val="000000"/>
              </w:rPr>
            </w:pPr>
            <w:r>
              <w:rPr>
                <w:color w:val="000000"/>
              </w:rPr>
              <w:t>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0.03</w:t>
            </w:r>
          </w:p>
        </w:tc>
        <w:tc>
          <w:tcPr>
            <w:tcW w:w="295" w:type="dxa"/>
            <w:tcBorders/>
            <w:vAlign w:val="bottom"/>
          </w:tcPr>
          <w:p>
            <w:pPr>
              <w:pStyle w:val="TableContents"/>
              <w:bidi w:val="0"/>
              <w:spacing w:before="0" w:after="0"/>
              <w:jc w:val="left"/>
              <w:rPr>
                <w:color w:val="000000"/>
              </w:rPr>
            </w:pPr>
            <w:r>
              <w:rPr>
                <w:color w:val="000000"/>
              </w:rPr>
              <w:t>%</w:t>
            </w:r>
          </w:p>
        </w:tc>
      </w:tr>
      <w:tr>
        <w:trPr/>
        <w:tc>
          <w:tcPr>
            <w:tcW w:w="2088" w:type="dxa"/>
            <w:tcBorders/>
            <w:shd w:fill="CCEEFF" w:val="clear"/>
            <w:vAlign w:val="bottom"/>
          </w:tcPr>
          <w:p>
            <w:pPr>
              <w:pStyle w:val="TableContents"/>
              <w:bidi w:val="0"/>
              <w:spacing w:before="0" w:after="0"/>
              <w:jc w:val="left"/>
              <w:rPr>
                <w:color w:val="000000"/>
              </w:rPr>
            </w:pPr>
            <w:r>
              <w:rPr>
                <w:color w:val="000000"/>
              </w:rPr>
              <w:t>Construction</w:t>
            </w:r>
          </w:p>
        </w:tc>
        <w:tc>
          <w:tcPr>
            <w:tcW w:w="90" w:type="dxa"/>
            <w:tcBorders/>
            <w:shd w:fill="CCEEFF" w:val="clear"/>
            <w:vAlign w:val="bottom"/>
          </w:tcPr>
          <w:p>
            <w:pPr>
              <w:pStyle w:val="TableContents"/>
              <w:bidi w:val="0"/>
              <w:spacing w:before="0" w:after="283"/>
              <w:jc w:val="righ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6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0"/>
              <w:jc w:val="right"/>
              <w:rPr>
                <w:color w:val="000000"/>
              </w:rPr>
            </w:pPr>
            <w:r>
              <w:rPr>
                <w:color w:val="000000"/>
              </w:rPr>
              <w:t>0.52</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08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0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4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46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6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1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49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0"/>
              <w:jc w:val="right"/>
              <w:rPr>
                <w:color w:val="000000"/>
              </w:rPr>
            </w:pPr>
            <w:r>
              <w:rPr>
                <w:color w:val="000000"/>
              </w:rPr>
              <w:t>0.03</w:t>
            </w:r>
          </w:p>
        </w:tc>
        <w:tc>
          <w:tcPr>
            <w:tcW w:w="29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financial effects of the loan modifications presented above to borrowers experiencing financial difficulty during the periods indicated below (dollars in thousands):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67" w:name="zbdf7b1e6f4c54a8287053e871eb26a8d"/>
      <w:bookmarkStart w:id="68" w:name="zbdf7b1e6f4c54a8287053e871eb26a8d"/>
      <w:bookmarkEnd w:id="68"/>
    </w:p>
    <w:tbl>
      <w:tblPr>
        <w:tblW w:w="8179" w:type="dxa"/>
        <w:jc w:val="left"/>
        <w:tblInd w:w="0" w:type="dxa"/>
        <w:tblLayout w:type="fixed"/>
        <w:tblCellMar>
          <w:top w:w="0" w:type="dxa"/>
          <w:left w:w="0" w:type="dxa"/>
          <w:bottom w:w="0" w:type="dxa"/>
          <w:right w:w="0" w:type="dxa"/>
        </w:tblCellMar>
      </w:tblPr>
      <w:tblGrid>
        <w:gridCol w:w="3470"/>
        <w:gridCol w:w="90"/>
        <w:gridCol w:w="332"/>
        <w:gridCol w:w="1743"/>
        <w:gridCol w:w="245"/>
        <w:gridCol w:w="90"/>
        <w:gridCol w:w="489"/>
        <w:gridCol w:w="1585"/>
        <w:gridCol w:w="135"/>
      </w:tblGrid>
      <w:tr>
        <w:trPr/>
        <w:tc>
          <w:tcPr>
            <w:tcW w:w="34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7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Weighted - Average</w:t>
            </w:r>
          </w:p>
          <w:p>
            <w:pPr>
              <w:pStyle w:val="TableContents"/>
              <w:bidi w:val="0"/>
              <w:spacing w:before="0" w:after="0"/>
              <w:jc w:val="center"/>
              <w:rPr>
                <w:b/>
                <w:color w:val="000000"/>
              </w:rPr>
            </w:pPr>
            <w:r>
              <w:rPr>
                <w:b/>
                <w:color w:val="000000"/>
              </w:rPr>
              <w:t>Interest</w:t>
            </w:r>
          </w:p>
          <w:p>
            <w:pPr>
              <w:pStyle w:val="TableContents"/>
              <w:bidi w:val="0"/>
              <w:spacing w:before="0" w:after="0"/>
              <w:jc w:val="center"/>
              <w:rPr>
                <w:b/>
                <w:color w:val="000000"/>
              </w:rPr>
            </w:pPr>
            <w:r>
              <w:rPr>
                <w:b/>
                <w:color w:val="000000"/>
              </w:rPr>
              <w:t>Rate</w:t>
            </w:r>
          </w:p>
          <w:p>
            <w:pPr>
              <w:pStyle w:val="TableContents"/>
              <w:bidi w:val="0"/>
              <w:spacing w:before="0" w:after="0"/>
              <w:jc w:val="center"/>
              <w:rPr>
                <w:b/>
                <w:color w:val="000000"/>
              </w:rPr>
            </w:pPr>
            <w:r>
              <w:rPr>
                <w:b/>
                <w:color w:val="000000"/>
              </w:rPr>
              <w:t>Reduction</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074"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Weighted - Average</w:t>
            </w:r>
          </w:p>
          <w:p>
            <w:pPr>
              <w:pStyle w:val="TableContents"/>
              <w:bidi w:val="0"/>
              <w:spacing w:before="0" w:after="0"/>
              <w:jc w:val="center"/>
              <w:rPr>
                <w:b/>
                <w:color w:val="000000"/>
              </w:rPr>
            </w:pPr>
            <w:r>
              <w:rPr>
                <w:b/>
                <w:color w:val="000000"/>
              </w:rPr>
              <w:t>Term</w:t>
            </w:r>
          </w:p>
          <w:p>
            <w:pPr>
              <w:pStyle w:val="TableContents"/>
              <w:bidi w:val="0"/>
              <w:spacing w:before="0" w:after="0"/>
              <w:jc w:val="center"/>
              <w:rPr>
                <w:b/>
                <w:color w:val="000000"/>
              </w:rPr>
            </w:pPr>
            <w:r>
              <w:rPr>
                <w:b/>
                <w:color w:val="000000"/>
              </w:rPr>
              <w:t>Extension</w:t>
            </w:r>
          </w:p>
          <w:p>
            <w:pPr>
              <w:pStyle w:val="TableContents"/>
              <w:bidi w:val="0"/>
              <w:spacing w:before="0" w:after="0"/>
              <w:jc w:val="center"/>
              <w:rPr>
                <w:b/>
                <w:color w:val="000000"/>
              </w:rPr>
            </w:pPr>
            <w:r>
              <w:rPr>
                <w:b/>
                <w:color w:val="000000"/>
              </w:rPr>
              <w:t>(Months)</w:t>
            </w:r>
          </w:p>
        </w:tc>
        <w:tc>
          <w:tcPr>
            <w:tcW w:w="13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u w:val="single"/>
              </w:rPr>
            </w:pPr>
            <w:r>
              <w:rPr>
                <w:color w:val="000000"/>
                <w:u w:val="single"/>
              </w:rPr>
              <w:t>Three Months Ended June 30, 2026</w:t>
            </w:r>
          </w:p>
        </w:tc>
        <w:tc>
          <w:tcPr>
            <w:tcW w:w="90" w:type="dxa"/>
            <w:tcBorders/>
            <w:vAlign w:val="bottom"/>
          </w:tcPr>
          <w:p>
            <w:pPr>
              <w:pStyle w:val="TableContents"/>
              <w:bidi w:val="0"/>
              <w:spacing w:before="0" w:after="283"/>
              <w:jc w:val="left"/>
              <w:rPr/>
            </w:pPr>
            <w:r>
              <w:rPr/>
              <w:t> </w:t>
            </w:r>
          </w:p>
        </w:tc>
        <w:tc>
          <w:tcPr>
            <w:tcW w:w="207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74"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13</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6</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61</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u w:val="single"/>
              </w:rPr>
            </w:pPr>
            <w:r>
              <w:rPr>
                <w:color w:val="000000"/>
                <w:u w:val="single"/>
              </w:rPr>
              <w:t>Three Months Ended June 30, 2025</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14</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1.00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40</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0"/>
              <w:jc w:val="right"/>
              <w:rPr>
                <w:color w:val="000000"/>
              </w:rPr>
            </w:pPr>
            <w:r>
              <w:rPr>
                <w:color w:val="000000"/>
              </w:rPr>
              <w:t>1.20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50</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5</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3</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u w:val="single"/>
              </w:rPr>
            </w:pPr>
            <w:r>
              <w:rPr>
                <w:color w:val="000000"/>
                <w:u w:val="single"/>
              </w:rPr>
              <w:t>Six Months Ended June 30, 2026</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13</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1.00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7</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45</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0"/>
              <w:jc w:val="right"/>
              <w:rPr>
                <w:color w:val="000000"/>
              </w:rPr>
            </w:pPr>
            <w:r>
              <w:rPr>
                <w:color w:val="000000"/>
              </w:rPr>
              <w:t>1.20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35</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u w:val="single"/>
              </w:rPr>
            </w:pPr>
            <w:r>
              <w:rPr>
                <w:color w:val="000000"/>
                <w:u w:val="single"/>
              </w:rPr>
              <w:t>Six Months Ended June 30, 2025</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14</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1.00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36</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0"/>
              <w:jc w:val="right"/>
              <w:rPr>
                <w:color w:val="000000"/>
              </w:rPr>
            </w:pPr>
            <w:r>
              <w:rPr>
                <w:color w:val="000000"/>
              </w:rPr>
              <w:t>1.20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50</w:t>
            </w:r>
          </w:p>
        </w:tc>
        <w:tc>
          <w:tcPr>
            <w:tcW w:w="13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5</w:t>
            </w:r>
          </w:p>
        </w:tc>
        <w:tc>
          <w:tcPr>
            <w:tcW w:w="13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3</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closely monitors the performance of loans that are modified to borrowers experiencing financial difficulty to understand the effectiveness of its modification efforts. The following table presents the performance of such loans that have been modified in the last twelve months at the dates indicated (dollars in thousands):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69" w:name="zfde196454d4748d092b68fda024a2347"/>
      <w:bookmarkStart w:id="70" w:name="zfde196454d4748d092b68fda024a2347"/>
      <w:bookmarkEnd w:id="70"/>
    </w:p>
    <w:tbl>
      <w:tblPr>
        <w:tblW w:w="7658" w:type="dxa"/>
        <w:jc w:val="left"/>
        <w:tblInd w:w="0" w:type="dxa"/>
        <w:tblLayout w:type="fixed"/>
        <w:tblCellMar>
          <w:top w:w="0" w:type="dxa"/>
          <w:left w:w="0" w:type="dxa"/>
          <w:bottom w:w="0" w:type="dxa"/>
          <w:right w:w="0" w:type="dxa"/>
        </w:tblCellMar>
      </w:tblPr>
      <w:tblGrid>
        <w:gridCol w:w="2450"/>
        <w:gridCol w:w="90"/>
        <w:gridCol w:w="199"/>
        <w:gridCol w:w="691"/>
        <w:gridCol w:w="90"/>
        <w:gridCol w:w="90"/>
        <w:gridCol w:w="344"/>
        <w:gridCol w:w="830"/>
        <w:gridCol w:w="90"/>
        <w:gridCol w:w="90"/>
        <w:gridCol w:w="422"/>
        <w:gridCol w:w="722"/>
        <w:gridCol w:w="90"/>
        <w:gridCol w:w="90"/>
        <w:gridCol w:w="276"/>
        <w:gridCol w:w="959"/>
        <w:gridCol w:w="135"/>
      </w:tblGrid>
      <w:tr>
        <w:trPr/>
        <w:tc>
          <w:tcPr>
            <w:tcW w:w="24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Current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30-89 Days</w:t>
            </w:r>
          </w:p>
          <w:p>
            <w:pPr>
              <w:pStyle w:val="TableContents"/>
              <w:bidi w:val="0"/>
              <w:spacing w:before="0" w:after="0"/>
              <w:jc w:val="center"/>
              <w:rPr>
                <w:b/>
                <w:color w:val="000000"/>
              </w:rPr>
            </w:pPr>
            <w:r>
              <w:rPr>
                <w:b/>
                <w:color w:val="000000"/>
              </w:rPr>
              <w:t>Past Due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90 Days or</w:t>
            </w:r>
          </w:p>
          <w:p>
            <w:pPr>
              <w:pStyle w:val="TableContents"/>
              <w:bidi w:val="0"/>
              <w:spacing w:before="0" w:after="0"/>
              <w:jc w:val="center"/>
              <w:rPr>
                <w:b/>
                <w:color w:val="000000"/>
              </w:rPr>
            </w:pPr>
            <w:r>
              <w:rPr>
                <w:b/>
                <w:color w:val="000000"/>
              </w:rPr>
              <w:t>More Past</w:t>
            </w:r>
          </w:p>
          <w:p>
            <w:pPr>
              <w:pStyle w:val="TableContents"/>
              <w:bidi w:val="0"/>
              <w:spacing w:before="0" w:after="0"/>
              <w:jc w:val="center"/>
              <w:rPr>
                <w:b/>
                <w:color w:val="000000"/>
              </w:rPr>
            </w:pPr>
            <w:r>
              <w:rPr>
                <w:b/>
                <w:color w:val="000000"/>
              </w:rPr>
              <w:t>Due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Nonaccrual</w:t>
            </w:r>
          </w:p>
        </w:tc>
        <w:tc>
          <w:tcPr>
            <w:tcW w:w="135"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u w:val="single"/>
              </w:rPr>
            </w:pPr>
            <w:r>
              <w:rPr>
                <w:color w:val="000000"/>
                <w:u w:val="single"/>
              </w:rPr>
              <w:t>June 30, 2026</w:t>
            </w:r>
          </w:p>
        </w:tc>
        <w:tc>
          <w:tcPr>
            <w:tcW w:w="9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5"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0"/>
              <w:jc w:val="left"/>
              <w:rPr>
                <w:color w:val="000000"/>
              </w:rPr>
            </w:pPr>
            <w:r>
              <w:rPr>
                <w:color w:val="000000"/>
              </w:rPr>
              <w:t>$</w:t>
            </w:r>
          </w:p>
        </w:tc>
        <w:tc>
          <w:tcPr>
            <w:tcW w:w="691" w:type="dxa"/>
            <w:tcBorders/>
            <w:shd w:fill="CCEEFF" w:val="clear"/>
            <w:vAlign w:val="bottom"/>
          </w:tcPr>
          <w:p>
            <w:pPr>
              <w:pStyle w:val="TableContents"/>
              <w:bidi w:val="0"/>
              <w:spacing w:before="0" w:after="0"/>
              <w:jc w:val="right"/>
              <w:rPr>
                <w:color w:val="000000"/>
              </w:rPr>
            </w:pPr>
            <w:r>
              <w:rPr>
                <w:color w:val="000000"/>
              </w:rPr>
              <w:t>250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0"/>
              <w:jc w:val="left"/>
              <w:rPr>
                <w:color w:val="000000"/>
              </w:rPr>
            </w:pPr>
            <w:r>
              <w:rPr>
                <w:color w:val="000000"/>
              </w:rPr>
              <w:t>$</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0"/>
              <w:jc w:val="left"/>
              <w:rPr>
                <w:color w:val="000000"/>
              </w:rPr>
            </w:pPr>
            <w:r>
              <w:rPr>
                <w:color w:val="000000"/>
              </w:rPr>
              <w:t>$</w:t>
            </w:r>
          </w:p>
        </w:tc>
        <w:tc>
          <w:tcPr>
            <w:tcW w:w="959"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174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456</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468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color w:val="000000"/>
              </w:rPr>
            </w:pPr>
            <w:r>
              <w:rPr>
                <w:color w:val="000000"/>
              </w:rPr>
              <w:t>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382</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103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color w:val="000000"/>
              </w:rPr>
            </w:pPr>
            <w:r>
              <w:rPr>
                <w:color w:val="000000"/>
              </w:rPr>
              <w:t>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133</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99" w:type="dxa"/>
            <w:tcBorders>
              <w:bottom w:val="single" w:sz="12" w:space="0" w:color="000000"/>
            </w:tcBorders>
            <w:tcMar>
              <w:bottom w:w="28" w:type="dxa"/>
            </w:tcMar>
            <w:vAlign w:val="bottom"/>
          </w:tcPr>
          <w:p>
            <w:pPr>
              <w:pStyle w:val="TableContents"/>
              <w:bidi w:val="0"/>
              <w:spacing w:before="0" w:after="283"/>
              <w:jc w:val="left"/>
              <w:rPr/>
            </w:pPr>
            <w:r>
              <w:rPr/>
              <w:t> </w:t>
            </w:r>
          </w:p>
        </w:tc>
        <w:tc>
          <w:tcPr>
            <w:tcW w:w="6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bottom w:val="single" w:sz="12" w:space="0" w:color="000000"/>
            </w:tcBorders>
            <w:tcMar>
              <w:bottom w:w="28" w:type="dxa"/>
            </w:tcMar>
            <w:vAlign w:val="bottom"/>
          </w:tcPr>
          <w:p>
            <w:pPr>
              <w:pStyle w:val="TableContents"/>
              <w:bidi w:val="0"/>
              <w:spacing w:before="0" w:after="283"/>
              <w:jc w:val="left"/>
              <w:rPr/>
            </w:pPr>
            <w:r>
              <w:rPr/>
              <w:t> </w:t>
            </w:r>
          </w:p>
        </w:tc>
        <w:tc>
          <w:tcPr>
            <w:tcW w:w="72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bottom w:val="single" w:sz="12" w:space="0" w:color="000000"/>
            </w:tcBorders>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598</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9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2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5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1,569</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color w:val="000000"/>
                <w:u w:val="single"/>
              </w:rPr>
            </w:pPr>
            <w:r>
              <w:rPr>
                <w:color w:val="000000"/>
                <w:u w:val="single"/>
              </w:rPr>
              <w:t>June 30, 2025</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Commercial real estate</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0"/>
              <w:jc w:val="left"/>
              <w:rPr>
                <w:color w:val="000000"/>
              </w:rPr>
            </w:pPr>
            <w:r>
              <w:rPr>
                <w:color w:val="000000"/>
              </w:rPr>
              <w:t>$</w:t>
            </w:r>
          </w:p>
        </w:tc>
        <w:tc>
          <w:tcPr>
            <w:tcW w:w="691" w:type="dxa"/>
            <w:tcBorders/>
            <w:vAlign w:val="bottom"/>
          </w:tcPr>
          <w:p>
            <w:pPr>
              <w:pStyle w:val="TableContents"/>
              <w:bidi w:val="0"/>
              <w:spacing w:before="0" w:after="0"/>
              <w:jc w:val="right"/>
              <w:rPr>
                <w:color w:val="000000"/>
              </w:rPr>
            </w:pPr>
            <w:r>
              <w:rPr>
                <w:color w:val="000000"/>
              </w:rPr>
              <w:t>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0"/>
              <w:jc w:val="left"/>
              <w:rPr>
                <w:color w:val="000000"/>
              </w:rPr>
            </w:pPr>
            <w:r>
              <w:rPr>
                <w:color w:val="000000"/>
              </w:rPr>
              <w:t>$</w:t>
            </w:r>
          </w:p>
        </w:tc>
        <w:tc>
          <w:tcPr>
            <w:tcW w:w="722" w:type="dxa"/>
            <w:tcBorders/>
            <w:vAlign w:val="bottom"/>
          </w:tcPr>
          <w:p>
            <w:pPr>
              <w:pStyle w:val="TableContents"/>
              <w:bidi w:val="0"/>
              <w:spacing w:before="0" w:after="0"/>
              <w:jc w:val="right"/>
              <w:rPr>
                <w:color w:val="000000"/>
              </w:rPr>
            </w:pPr>
            <w:r>
              <w:rPr>
                <w:color w:val="000000"/>
              </w:rPr>
              <w:t>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0"/>
              <w:jc w:val="left"/>
              <w:rPr>
                <w:color w:val="000000"/>
              </w:rPr>
            </w:pPr>
            <w:r>
              <w:rPr>
                <w:color w:val="000000"/>
              </w:rPr>
              <w:t>$</w:t>
            </w:r>
          </w:p>
        </w:tc>
        <w:tc>
          <w:tcPr>
            <w:tcW w:w="959" w:type="dxa"/>
            <w:tcBorders/>
            <w:vAlign w:val="bottom"/>
          </w:tcPr>
          <w:p>
            <w:pPr>
              <w:pStyle w:val="TableContents"/>
              <w:bidi w:val="0"/>
              <w:spacing w:before="0" w:after="0"/>
              <w:jc w:val="right"/>
              <w:rPr>
                <w:color w:val="000000"/>
              </w:rPr>
            </w:pPr>
            <w:r>
              <w:rPr>
                <w:color w:val="000000"/>
              </w:rPr>
              <w:t>150</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Commercial - general</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605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139</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color w:val="000000"/>
              </w:rPr>
            </w:pPr>
            <w:r>
              <w:rPr>
                <w:color w:val="000000"/>
              </w:rPr>
              <w:t>Consumer:</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185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color w:val="000000"/>
              </w:rPr>
            </w:pPr>
            <w:r>
              <w:rPr>
                <w:color w:val="000000"/>
              </w:rPr>
              <w:t>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815</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0"/>
              <w:jc w:val="left"/>
              <w:rPr>
                <w:color w:val="000000"/>
              </w:rPr>
            </w:pPr>
            <w:r>
              <w:rPr>
                <w:color w:val="000000"/>
              </w:rPr>
              <w:t>Auto loans</w:t>
            </w:r>
          </w:p>
        </w:tc>
        <w:tc>
          <w:tcPr>
            <w:tcW w:w="9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0"/>
              <w:jc w:val="right"/>
              <w:rPr>
                <w:color w:val="000000"/>
              </w:rPr>
            </w:pPr>
            <w:r>
              <w:rPr>
                <w:color w:val="000000"/>
              </w:rPr>
              <w:t>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80" w:right="0" w:hanging="0"/>
              <w:jc w:val="left"/>
              <w:rPr>
                <w:color w:val="000000"/>
              </w:rPr>
            </w:pPr>
            <w:r>
              <w:rPr>
                <w:color w:val="000000"/>
              </w:rPr>
              <w:t>Other consumer</w:t>
            </w:r>
          </w:p>
        </w:tc>
        <w:tc>
          <w:tcPr>
            <w:tcW w:w="9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0"/>
              <w:jc w:val="right"/>
              <w:rPr>
                <w:color w:val="000000"/>
              </w:rPr>
            </w:pPr>
            <w:r>
              <w:rPr>
                <w:color w:val="000000"/>
              </w:rPr>
              <w:t>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color w:val="000000"/>
              </w:rPr>
            </w:pPr>
            <w:r>
              <w:rPr>
                <w:color w:val="000000"/>
              </w:rPr>
              <w:t>Construction</w:t>
            </w:r>
          </w:p>
        </w:tc>
        <w:tc>
          <w:tcPr>
            <w:tcW w:w="90" w:type="dxa"/>
            <w:tcBorders/>
            <w:shd w:fill="CCEEFF" w:val="clear"/>
            <w:vAlign w:val="bottom"/>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141</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9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2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5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1,245</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an ongoing basis, the performance of modified loans is monitored for subsequent payment default. Payment default is defined as movement to nonperforming status, foreclosure, or charge-off. During the three months ended June 30, 2026, the Company had $100 thousand in loans made to borrowers experiencing financial difficulty that were modified during the last twelve months that subsequently defaulted. During the six months ended June 30, 2026, the Company had $224 thousand in loans made to borrowers experiencing financial difficulty that were modified during the last twelve months that subsequently defaulted.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June 30, 2025, the Company had $865 thousand in loans made to borrowers experiencing financial difficulty that were modified during the last twelve months that subsequently defaulted. During the six months ended June 30, 2025, the Company had $923 thousand in loans made to borrowers experiencing financial difficulty that were modified during the last twelve months that subsequently defaulted.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Upon the Company’s determination that a modified loan has subsequently been deemed to not be fully collectible, the uncollectible amount is written off. Therefore, the amortized cost basis of the loan is reduced by the uncollectible amount and the allowance for credit losses is adjusted by the same amount.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5.  GOODWILL AND INTANGIBLES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presented in Note 2, the Company recorded goodwill and core deposit intangibles of $47.3 million and $5.0 million, respectively, related to the BOH acquisition.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had goodwill of $66.6 million and $19.3 million at June 30, 2026 and December 31, 2025,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intangible assets, which consisted of core deposit intangibles at the dates indicated are summarized below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524460394c8947028bc1f5ab211a221f"/>
      <w:bookmarkStart w:id="72" w:name="z524460394c8947028bc1f5ab211a221f"/>
      <w:bookmarkEnd w:id="72"/>
    </w:p>
    <w:tbl>
      <w:tblPr>
        <w:tblW w:w="7013" w:type="dxa"/>
        <w:jc w:val="left"/>
        <w:tblInd w:w="0" w:type="dxa"/>
        <w:tblLayout w:type="fixed"/>
        <w:tblCellMar>
          <w:top w:w="0" w:type="dxa"/>
          <w:left w:w="0" w:type="dxa"/>
          <w:bottom w:w="0" w:type="dxa"/>
          <w:right w:w="0" w:type="dxa"/>
        </w:tblCellMar>
      </w:tblPr>
      <w:tblGrid>
        <w:gridCol w:w="3110"/>
        <w:gridCol w:w="90"/>
        <w:gridCol w:w="279"/>
        <w:gridCol w:w="1165"/>
        <w:gridCol w:w="125"/>
        <w:gridCol w:w="90"/>
        <w:gridCol w:w="402"/>
        <w:gridCol w:w="1582"/>
        <w:gridCol w:w="170"/>
      </w:tblGrid>
      <w:tr>
        <w:trPr/>
        <w:tc>
          <w:tcPr>
            <w:tcW w:w="3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170" w:type="dxa"/>
            <w:tcBorders/>
            <w:vAlign w:val="bottom"/>
          </w:tcPr>
          <w:p>
            <w:pPr>
              <w:pStyle w:val="TableContents"/>
              <w:bidi w:val="0"/>
              <w:spacing w:before="0" w:after="283"/>
              <w:jc w:val="left"/>
              <w:rPr/>
            </w:pPr>
            <w:r>
              <w:rPr/>
              <w:t> </w:t>
            </w:r>
          </w:p>
        </w:tc>
      </w:tr>
      <w:tr>
        <w:trPr/>
        <w:tc>
          <w:tcPr>
            <w:tcW w:w="3110" w:type="dxa"/>
            <w:tcBorders/>
            <w:vAlign w:val="bottom"/>
          </w:tcPr>
          <w:p>
            <w:pPr>
              <w:pStyle w:val="TableContents"/>
              <w:bidi w:val="0"/>
              <w:spacing w:before="0" w:after="0"/>
              <w:jc w:val="left"/>
              <w:rPr>
                <w:color w:val="000000"/>
              </w:rPr>
            </w:pPr>
            <w:r>
              <w:rPr>
                <w:color w:val="000000"/>
              </w:rPr>
              <w:t>Amortized intangible assets:</w:t>
            </w:r>
          </w:p>
        </w:tc>
        <w:tc>
          <w:tcPr>
            <w:tcW w:w="90" w:type="dxa"/>
            <w:tcBorders/>
            <w:vAlign w:val="bottom"/>
          </w:tcPr>
          <w:p>
            <w:pPr>
              <w:pStyle w:val="TableContents"/>
              <w:bidi w:val="0"/>
              <w:spacing w:before="0" w:after="283"/>
              <w:jc w:val="left"/>
              <w:rPr/>
            </w:pPr>
            <w:r>
              <w:rPr/>
              <w:t> </w:t>
            </w:r>
          </w:p>
        </w:tc>
        <w:tc>
          <w:tcPr>
            <w:tcW w:w="1444"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3110" w:type="dxa"/>
            <w:tcBorders/>
            <w:shd w:fill="CCEEFF" w:val="clear"/>
            <w:vAlign w:val="bottom"/>
          </w:tcPr>
          <w:p>
            <w:pPr>
              <w:pStyle w:val="TableContents"/>
              <w:bidi w:val="0"/>
              <w:spacing w:before="0" w:after="0"/>
              <w:jc w:val="left"/>
              <w:rPr>
                <w:color w:val="000000"/>
              </w:rPr>
            </w:pPr>
            <w:r>
              <w:rPr>
                <w:color w:val="000000"/>
              </w:rPr>
              <w:t>Core deposit intangible</w:t>
            </w:r>
          </w:p>
        </w:tc>
        <w:tc>
          <w:tcPr>
            <w:tcW w:w="90"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0"/>
              <w:jc w:val="left"/>
              <w:rPr>
                <w:color w:val="000000"/>
              </w:rPr>
            </w:pPr>
            <w:r>
              <w:rPr>
                <w:color w:val="000000"/>
              </w:rPr>
              <w:t>$</w:t>
            </w:r>
          </w:p>
        </w:tc>
        <w:tc>
          <w:tcPr>
            <w:tcW w:w="1165" w:type="dxa"/>
            <w:tcBorders/>
            <w:shd w:fill="CCEEFF" w:val="clear"/>
            <w:vAlign w:val="bottom"/>
          </w:tcPr>
          <w:p>
            <w:pPr>
              <w:pStyle w:val="TableContents"/>
              <w:bidi w:val="0"/>
              <w:spacing w:before="0" w:after="0"/>
              <w:jc w:val="right"/>
              <w:rPr>
                <w:color w:val="000000"/>
              </w:rPr>
            </w:pPr>
            <w:r>
              <w:rPr>
                <w:color w:val="000000"/>
              </w:rPr>
              <w:t>11,659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02" w:type="dxa"/>
            <w:tcBorders/>
            <w:shd w:fill="CCEEFF" w:val="clear"/>
            <w:vAlign w:val="bottom"/>
          </w:tcPr>
          <w:p>
            <w:pPr>
              <w:pStyle w:val="TableContents"/>
              <w:bidi w:val="0"/>
              <w:spacing w:before="0" w:after="0"/>
              <w:jc w:val="left"/>
              <w:rPr>
                <w:color w:val="000000"/>
              </w:rPr>
            </w:pPr>
            <w:r>
              <w:rPr>
                <w:color w:val="000000"/>
              </w:rPr>
              <w:t>$</w:t>
            </w:r>
          </w:p>
        </w:tc>
        <w:tc>
          <w:tcPr>
            <w:tcW w:w="1582" w:type="dxa"/>
            <w:tcBorders/>
            <w:shd w:fill="CCEEFF" w:val="clear"/>
            <w:vAlign w:val="bottom"/>
          </w:tcPr>
          <w:p>
            <w:pPr>
              <w:pStyle w:val="TableContents"/>
              <w:bidi w:val="0"/>
              <w:spacing w:before="0" w:after="0"/>
              <w:jc w:val="right"/>
              <w:rPr>
                <w:color w:val="000000"/>
              </w:rPr>
            </w:pPr>
            <w:r>
              <w:rPr>
                <w:color w:val="000000"/>
              </w:rPr>
              <w:t>6,679</w:t>
            </w:r>
          </w:p>
        </w:tc>
        <w:tc>
          <w:tcPr>
            <w:tcW w:w="170" w:type="dxa"/>
            <w:tcBorders/>
            <w:shd w:fill="CCEEFF" w:val="clear"/>
            <w:vAlign w:val="bottom"/>
          </w:tcPr>
          <w:p>
            <w:pPr>
              <w:pStyle w:val="TableContents"/>
              <w:bidi w:val="0"/>
              <w:spacing w:before="0" w:after="283"/>
              <w:jc w:val="left"/>
              <w:rPr/>
            </w:pPr>
            <w:r>
              <w:rPr/>
              <w:t> </w:t>
            </w:r>
          </w:p>
        </w:tc>
      </w:tr>
      <w:tr>
        <w:trPr/>
        <w:tc>
          <w:tcPr>
            <w:tcW w:w="3110" w:type="dxa"/>
            <w:tcBorders/>
            <w:vAlign w:val="bottom"/>
          </w:tcPr>
          <w:p>
            <w:pPr>
              <w:pStyle w:val="TableContents"/>
              <w:bidi w:val="0"/>
              <w:spacing w:before="0" w:after="0"/>
              <w:jc w:val="left"/>
              <w:rPr>
                <w:color w:val="000000"/>
              </w:rPr>
            </w:pPr>
            <w:r>
              <w:rPr>
                <w:color w:val="000000"/>
              </w:rPr>
              <w:t>Less: Accumulated amortization</w:t>
            </w:r>
          </w:p>
        </w:tc>
        <w:tc>
          <w:tcPr>
            <w:tcW w:w="90" w:type="dxa"/>
            <w:tcBorders/>
            <w:vAlign w:val="bottom"/>
          </w:tcPr>
          <w:p>
            <w:pPr>
              <w:pStyle w:val="TableContents"/>
              <w:bidi w:val="0"/>
              <w:spacing w:before="0" w:after="283"/>
              <w:jc w:val="right"/>
              <w:rPr/>
            </w:pPr>
            <w:r>
              <w:rPr/>
              <w:t> </w:t>
            </w:r>
          </w:p>
        </w:tc>
        <w:tc>
          <w:tcPr>
            <w:tcW w:w="2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(6,033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402" w:type="dxa"/>
            <w:tcBorders>
              <w:bottom w:val="single" w:sz="12" w:space="0" w:color="000000"/>
            </w:tcBorders>
            <w:tcMar>
              <w:bottom w:w="28" w:type="dxa"/>
            </w:tcMar>
            <w:vAlign w:val="bottom"/>
          </w:tcPr>
          <w:p>
            <w:pPr>
              <w:pStyle w:val="TableContents"/>
              <w:bidi w:val="0"/>
              <w:spacing w:before="0" w:after="283"/>
              <w:jc w:val="left"/>
              <w:rPr/>
            </w:pPr>
            <w:r>
              <w:rPr/>
              <w:t> </w:t>
            </w:r>
          </w:p>
        </w:tc>
        <w:tc>
          <w:tcPr>
            <w:tcW w:w="158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(5,546</w:t>
            </w:r>
          </w:p>
        </w:tc>
        <w:tc>
          <w:tcPr>
            <w:tcW w:w="170" w:type="dxa"/>
            <w:tcBorders/>
            <w:vAlign w:val="bottom"/>
          </w:tcPr>
          <w:p>
            <w:pPr>
              <w:pStyle w:val="TableContents"/>
              <w:bidi w:val="0"/>
              <w:spacing w:before="0" w:after="0"/>
              <w:jc w:val="left"/>
              <w:rPr>
                <w:color w:val="000000"/>
              </w:rPr>
            </w:pPr>
            <w:r>
              <w:rPr>
                <w:color w:val="000000"/>
              </w:rPr>
              <w:t>)</w:t>
            </w:r>
          </w:p>
        </w:tc>
      </w:tr>
      <w:tr>
        <w:trPr/>
        <w:tc>
          <w:tcPr>
            <w:tcW w:w="3110" w:type="dxa"/>
            <w:tcBorders/>
            <w:shd w:fill="CCEEFF" w:val="clear"/>
            <w:vAlign w:val="bottom"/>
          </w:tcPr>
          <w:p>
            <w:pPr>
              <w:pStyle w:val="TableContents"/>
              <w:bidi w:val="0"/>
              <w:spacing w:before="0" w:after="0"/>
              <w:jc w:val="left"/>
              <w:rPr>
                <w:color w:val="000000"/>
              </w:rPr>
            </w:pPr>
            <w:r>
              <w:rPr>
                <w:color w:val="000000"/>
              </w:rPr>
              <w:t>Other intangible assets, net</w:t>
            </w:r>
          </w:p>
        </w:tc>
        <w:tc>
          <w:tcPr>
            <w:tcW w:w="90" w:type="dxa"/>
            <w:tcBorders/>
            <w:shd w:fill="CCEEFF" w:val="clear"/>
            <w:vAlign w:val="bottom"/>
          </w:tcPr>
          <w:p>
            <w:pPr>
              <w:pStyle w:val="TableContents"/>
              <w:bidi w:val="0"/>
              <w:spacing w:before="0" w:after="283"/>
              <w:jc w:val="right"/>
              <w:rPr/>
            </w:pPr>
            <w:r>
              <w:rPr/>
              <w:t> </w:t>
            </w:r>
          </w:p>
        </w:tc>
        <w:tc>
          <w:tcPr>
            <w:tcW w:w="27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6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0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8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1,133</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ind w:left="720" w:right="0" w:hanging="720"/>
        <w:jc w:val="both"/>
        <w:rPr>
          <w:rFonts w:ascii="Times New Roman" w:hAnsi="Times New Roman"/>
          <w:b/>
          <w:color w:val="000000"/>
          <w:sz w:val="20"/>
          <w:shd w:fill="FFFFFF" w:val="clear"/>
        </w:rPr>
      </w:pPr>
      <w:r>
        <w:rPr>
          <w:rFonts w:ascii="Times New Roman" w:hAnsi="Times New Roman"/>
          <w:b/>
          <w:color w:val="000000"/>
          <w:sz w:val="20"/>
          <w:shd w:fill="FFFFFF" w:val="clear"/>
        </w:rPr>
        <w:t>6.  MORTGAGE SERVICING RIGHTS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3" w:name="zf2c510fe1d96467c998162f6041b229c"/>
      <w:bookmarkStart w:id="74" w:name="zf2c510fe1d96467c998162f6041b229c"/>
      <w:bookmarkEnd w:id="74"/>
    </w:p>
    <w:tbl>
      <w:tblPr>
        <w:tblW w:w="6726" w:type="dxa"/>
        <w:jc w:val="left"/>
        <w:tblInd w:w="0" w:type="dxa"/>
        <w:tblLayout w:type="fixed"/>
        <w:tblCellMar>
          <w:top w:w="0" w:type="dxa"/>
          <w:left w:w="0" w:type="dxa"/>
          <w:bottom w:w="0" w:type="dxa"/>
          <w:right w:w="0" w:type="dxa"/>
        </w:tblCellMar>
      </w:tblPr>
      <w:tblGrid>
        <w:gridCol w:w="2075"/>
        <w:gridCol w:w="90"/>
        <w:gridCol w:w="196"/>
        <w:gridCol w:w="819"/>
        <w:gridCol w:w="103"/>
        <w:gridCol w:w="103"/>
        <w:gridCol w:w="196"/>
        <w:gridCol w:w="819"/>
        <w:gridCol w:w="125"/>
        <w:gridCol w:w="90"/>
        <w:gridCol w:w="170"/>
        <w:gridCol w:w="710"/>
        <w:gridCol w:w="90"/>
        <w:gridCol w:w="90"/>
        <w:gridCol w:w="170"/>
        <w:gridCol w:w="710"/>
        <w:gridCol w:w="170"/>
      </w:tblGrid>
      <w:tr>
        <w:trPr/>
        <w:tc>
          <w:tcPr>
            <w:tcW w:w="20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70"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0"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jc w:val="left"/>
              <w:rPr>
                <w:color w:val="000000"/>
              </w:rPr>
            </w:pPr>
            <w:r>
              <w:rPr>
                <w:color w:val="000000"/>
              </w:rPr>
              <w:t>Beginning balance</w:t>
            </w:r>
          </w:p>
        </w:tc>
        <w:tc>
          <w:tcPr>
            <w:tcW w:w="9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819" w:type="dxa"/>
            <w:tcBorders/>
            <w:shd w:fill="CCEEFF" w:val="clear"/>
            <w:vAlign w:val="bottom"/>
          </w:tcPr>
          <w:p>
            <w:pPr>
              <w:pStyle w:val="TableContents"/>
              <w:bidi w:val="0"/>
              <w:spacing w:before="0" w:after="0"/>
              <w:jc w:val="right"/>
              <w:rPr>
                <w:color w:val="000000"/>
              </w:rPr>
            </w:pPr>
            <w:r>
              <w:rPr>
                <w:color w:val="000000"/>
              </w:rPr>
              <w:t>24,611</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819" w:type="dxa"/>
            <w:tcBorders/>
            <w:shd w:fill="CCEEFF" w:val="clear"/>
            <w:vAlign w:val="bottom"/>
          </w:tcPr>
          <w:p>
            <w:pPr>
              <w:pStyle w:val="TableContents"/>
              <w:bidi w:val="0"/>
              <w:spacing w:before="0" w:after="0"/>
              <w:jc w:val="right"/>
              <w:rPr>
                <w:color w:val="000000"/>
              </w:rPr>
            </w:pPr>
            <w:r>
              <w:rPr>
                <w:color w:val="000000"/>
              </w:rPr>
              <w:t>24,906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24,041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26,292</w:t>
            </w:r>
          </w:p>
        </w:tc>
        <w:tc>
          <w:tcPr>
            <w:tcW w:w="170" w:type="dxa"/>
            <w:tcBorders/>
            <w:shd w:fill="CCEEFF" w:val="clear"/>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0"/>
              <w:jc w:val="left"/>
              <w:rPr>
                <w:color w:val="000000"/>
              </w:rPr>
            </w:pPr>
            <w:r>
              <w:rPr>
                <w:color w:val="000000"/>
              </w:rPr>
              <w:t>Additions</w:t>
            </w:r>
          </w:p>
        </w:tc>
        <w:tc>
          <w:tcPr>
            <w:tcW w:w="9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623</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384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943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583</w:t>
            </w:r>
          </w:p>
        </w:tc>
        <w:tc>
          <w:tcPr>
            <w:tcW w:w="170"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jc w:val="left"/>
              <w:rPr>
                <w:color w:val="000000"/>
              </w:rPr>
            </w:pPr>
            <w:r>
              <w:rPr>
                <w:color w:val="000000"/>
              </w:rPr>
              <w:t>Valuation adjustment</w:t>
            </w:r>
          </w:p>
        </w:tc>
        <w:tc>
          <w:tcPr>
            <w:tcW w:w="90"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515</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(1,741</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2075" w:type="dxa"/>
            <w:tcBorders/>
            <w:vAlign w:val="bottom"/>
          </w:tcPr>
          <w:p>
            <w:pPr>
              <w:pStyle w:val="TableContents"/>
              <w:bidi w:val="0"/>
              <w:spacing w:before="0" w:after="0"/>
              <w:jc w:val="left"/>
              <w:rPr>
                <w:color w:val="000000"/>
              </w:rPr>
            </w:pPr>
            <w:r>
              <w:rPr>
                <w:color w:val="000000"/>
              </w:rPr>
              <w:t>Ending balance</w:t>
            </w:r>
          </w:p>
        </w:tc>
        <w:tc>
          <w:tcPr>
            <w:tcW w:w="90" w:type="dxa"/>
            <w:tcBorders/>
            <w:vAlign w:val="bottom"/>
          </w:tcPr>
          <w:p>
            <w:pPr>
              <w:pStyle w:val="TableContents"/>
              <w:bidi w:val="0"/>
              <w:spacing w:before="0" w:after="283"/>
              <w:jc w:val="righ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25,749</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righ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25,134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25,749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25,134</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3f6b51e000734c2fa5ac295975ba51d5"/>
      <w:bookmarkStart w:id="76" w:name="z3f6b51e000734c2fa5ac295975ba51d5"/>
      <w:bookmarkEnd w:id="76"/>
    </w:p>
    <w:tbl>
      <w:tblPr>
        <w:tblW w:w="10205" w:type="dxa"/>
        <w:jc w:val="left"/>
        <w:tblInd w:w="0" w:type="dxa"/>
        <w:tblLayout w:type="fixed"/>
        <w:tblCellMar>
          <w:top w:w="0" w:type="dxa"/>
          <w:left w:w="0" w:type="dxa"/>
          <w:bottom w:w="0" w:type="dxa"/>
          <w:right w:w="0" w:type="dxa"/>
        </w:tblCellMar>
      </w:tblPr>
      <w:tblGrid>
        <w:gridCol w:w="6878"/>
        <w:gridCol w:w="90"/>
        <w:gridCol w:w="170"/>
        <w:gridCol w:w="1010"/>
        <w:gridCol w:w="245"/>
        <w:gridCol w:w="90"/>
        <w:gridCol w:w="206"/>
        <w:gridCol w:w="1225"/>
        <w:gridCol w:w="291"/>
      </w:tblGrid>
      <w:tr>
        <w:trPr/>
        <w:tc>
          <w:tcPr>
            <w:tcW w:w="68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w:t>
            </w:r>
          </w:p>
          <w:p>
            <w:pPr>
              <w:pStyle w:val="TableContents"/>
              <w:bidi w:val="0"/>
              <w:spacing w:before="0" w:after="0"/>
              <w:jc w:val="center"/>
              <w:rPr>
                <w:b/>
                <w:color w:val="000000"/>
              </w:rPr>
            </w:pPr>
            <w:r>
              <w:rPr>
                <w:b/>
                <w:color w:val="000000"/>
              </w:rPr>
              <w:t>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3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2025</w:t>
            </w:r>
          </w:p>
        </w:tc>
        <w:tc>
          <w:tcPr>
            <w:tcW w:w="291" w:type="dxa"/>
            <w:tcBorders/>
            <w:vAlign w:val="bottom"/>
          </w:tcPr>
          <w:p>
            <w:pPr>
              <w:pStyle w:val="TableContents"/>
              <w:bidi w:val="0"/>
              <w:spacing w:before="0" w:after="283"/>
              <w:jc w:val="left"/>
              <w:rPr/>
            </w:pPr>
            <w:r>
              <w:rPr/>
              <w:t> </w:t>
            </w:r>
          </w:p>
        </w:tc>
      </w:tr>
      <w:tr>
        <w:trPr/>
        <w:tc>
          <w:tcPr>
            <w:tcW w:w="6878" w:type="dxa"/>
            <w:tcBorders/>
            <w:shd w:fill="CCEEFF" w:val="clear"/>
            <w:vAlign w:val="bottom"/>
          </w:tcPr>
          <w:p>
            <w:pPr>
              <w:pStyle w:val="TableContents"/>
              <w:bidi w:val="0"/>
              <w:spacing w:before="0" w:after="0"/>
              <w:jc w:val="left"/>
              <w:rPr>
                <w:color w:val="000000"/>
              </w:rPr>
            </w:pPr>
            <w:r>
              <w:rPr>
                <w:color w:val="000000"/>
              </w:rPr>
              <w:t>Mortgage loans serviced for others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1,777,167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color w:val="000000"/>
              </w:rPr>
            </w:pPr>
            <w:r>
              <w:rPr>
                <w:color w:val="000000"/>
              </w:rPr>
              <w:t>$</w:t>
            </w:r>
          </w:p>
        </w:tc>
        <w:tc>
          <w:tcPr>
            <w:tcW w:w="1225" w:type="dxa"/>
            <w:tcBorders/>
            <w:shd w:fill="CCEEFF" w:val="clear"/>
            <w:vAlign w:val="bottom"/>
          </w:tcPr>
          <w:p>
            <w:pPr>
              <w:pStyle w:val="TableContents"/>
              <w:bidi w:val="0"/>
              <w:spacing w:before="0" w:after="0"/>
              <w:jc w:val="right"/>
              <w:rPr>
                <w:color w:val="000000"/>
              </w:rPr>
            </w:pPr>
            <w:r>
              <w:rPr>
                <w:color w:val="000000"/>
              </w:rPr>
              <w:t>1,810,579</w:t>
            </w:r>
          </w:p>
        </w:tc>
        <w:tc>
          <w:tcPr>
            <w:tcW w:w="291" w:type="dxa"/>
            <w:tcBorders/>
            <w:shd w:fill="CCEEFF" w:val="clear"/>
            <w:vAlign w:val="bottom"/>
          </w:tcPr>
          <w:p>
            <w:pPr>
              <w:pStyle w:val="TableContents"/>
              <w:bidi w:val="0"/>
              <w:spacing w:before="0" w:after="283"/>
              <w:jc w:val="left"/>
              <w:rPr/>
            </w:pPr>
            <w:r>
              <w:rPr/>
              <w:t> </w:t>
            </w:r>
          </w:p>
        </w:tc>
      </w:tr>
      <w:tr>
        <w:trPr/>
        <w:tc>
          <w:tcPr>
            <w:tcW w:w="6878" w:type="dxa"/>
            <w:tcBorders/>
            <w:vAlign w:val="bottom"/>
          </w:tcPr>
          <w:p>
            <w:pPr>
              <w:pStyle w:val="TableContents"/>
              <w:bidi w:val="0"/>
              <w:spacing w:before="0" w:after="0"/>
              <w:jc w:val="left"/>
              <w:rPr>
                <w:color w:val="000000"/>
              </w:rPr>
            </w:pPr>
            <w:r>
              <w:rPr>
                <w:color w:val="000000"/>
              </w:rPr>
              <w:t>Mortgage servicing rights assets as a percentage of serviced mortgage loans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1.45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0"/>
              <w:jc w:val="right"/>
              <w:rPr>
                <w:color w:val="000000"/>
              </w:rPr>
            </w:pPr>
            <w:r>
              <w:rPr>
                <w:color w:val="000000"/>
              </w:rPr>
              <w:t>1.33</w:t>
            </w:r>
          </w:p>
        </w:tc>
        <w:tc>
          <w:tcPr>
            <w:tcW w:w="291"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key assumptions used in measuring the fair value of the Company’s mortgage servicing rights as of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7" w:name="ze3fadc370d7248878fb100bcdde29135"/>
      <w:bookmarkStart w:id="78" w:name="ze3fadc370d7248878fb100bcdde29135"/>
      <w:bookmarkEnd w:id="78"/>
    </w:p>
    <w:tbl>
      <w:tblPr>
        <w:tblW w:w="7793" w:type="dxa"/>
        <w:jc w:val="left"/>
        <w:tblInd w:w="0" w:type="dxa"/>
        <w:tblLayout w:type="fixed"/>
        <w:tblCellMar>
          <w:top w:w="0" w:type="dxa"/>
          <w:left w:w="0" w:type="dxa"/>
          <w:bottom w:w="0" w:type="dxa"/>
          <w:right w:w="0" w:type="dxa"/>
        </w:tblCellMar>
      </w:tblPr>
      <w:tblGrid>
        <w:gridCol w:w="4190"/>
        <w:gridCol w:w="90"/>
        <w:gridCol w:w="145"/>
        <w:gridCol w:w="759"/>
        <w:gridCol w:w="245"/>
        <w:gridCol w:w="90"/>
        <w:gridCol w:w="318"/>
        <w:gridCol w:w="1666"/>
        <w:gridCol w:w="290"/>
      </w:tblGrid>
      <w:tr>
        <w:trPr/>
        <w:tc>
          <w:tcPr>
            <w:tcW w:w="4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June 30,</w:t>
            </w:r>
          </w:p>
          <w:p>
            <w:pPr>
              <w:pStyle w:val="TableContents"/>
              <w:bidi w:val="0"/>
              <w:spacing w:before="0" w:after="0"/>
              <w:jc w:val="center"/>
              <w:rPr>
                <w:b/>
                <w:color w:val="000000"/>
              </w:rPr>
            </w:pPr>
            <w:r>
              <w:rPr>
                <w:b/>
                <w:color w:val="000000"/>
              </w:rPr>
              <w:t>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84"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December 31, 2025</w:t>
            </w:r>
          </w:p>
        </w:tc>
        <w:tc>
          <w:tcPr>
            <w:tcW w:w="290" w:type="dxa"/>
            <w:tcBorders/>
            <w:vAlign w:val="bottom"/>
          </w:tcPr>
          <w:p>
            <w:pPr>
              <w:pStyle w:val="TableContents"/>
              <w:bidi w:val="0"/>
              <w:spacing w:before="0" w:after="283"/>
              <w:jc w:val="left"/>
              <w:rPr/>
            </w:pPr>
            <w:r>
              <w:rPr/>
              <w:t> </w:t>
            </w:r>
          </w:p>
        </w:tc>
      </w:tr>
      <w:tr>
        <w:trPr/>
        <w:tc>
          <w:tcPr>
            <w:tcW w:w="4190" w:type="dxa"/>
            <w:tcBorders/>
            <w:shd w:fill="CCEEFF" w:val="clear"/>
            <w:vAlign w:val="bottom"/>
          </w:tcPr>
          <w:p>
            <w:pPr>
              <w:pStyle w:val="TableContents"/>
              <w:bidi w:val="0"/>
              <w:spacing w:before="0" w:after="0"/>
              <w:jc w:val="left"/>
              <w:rPr>
                <w:color w:val="000000"/>
              </w:rPr>
            </w:pPr>
            <w:r>
              <w:rPr>
                <w:color w:val="000000"/>
              </w:rPr>
              <w:t>Weighted average constant prepayment rate</w:t>
            </w:r>
          </w:p>
        </w:tc>
        <w:tc>
          <w:tcPr>
            <w:tcW w:w="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0"/>
              <w:jc w:val="right"/>
              <w:rPr>
                <w:color w:val="000000"/>
              </w:rPr>
            </w:pPr>
            <w:r>
              <w:rPr>
                <w:color w:val="000000"/>
              </w:rPr>
              <w:t>7.08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bidi w:val="0"/>
              <w:spacing w:before="0" w:after="0"/>
              <w:jc w:val="right"/>
              <w:rPr>
                <w:color w:val="000000"/>
              </w:rPr>
            </w:pPr>
            <w:r>
              <w:rPr>
                <w:color w:val="000000"/>
              </w:rPr>
              <w:t>8.81</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190" w:type="dxa"/>
            <w:tcBorders/>
            <w:vAlign w:val="bottom"/>
          </w:tcPr>
          <w:p>
            <w:pPr>
              <w:pStyle w:val="TableContents"/>
              <w:bidi w:val="0"/>
              <w:spacing w:before="0" w:after="0"/>
              <w:jc w:val="left"/>
              <w:rPr>
                <w:color w:val="000000"/>
              </w:rPr>
            </w:pPr>
            <w:r>
              <w:rPr>
                <w:color w:val="000000"/>
              </w:rPr>
              <w:t>Weighted average discount rate</w:t>
            </w:r>
          </w:p>
        </w:tc>
        <w:tc>
          <w:tcPr>
            <w:tcW w:w="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0"/>
              <w:jc w:val="right"/>
              <w:rPr>
                <w:color w:val="000000"/>
              </w:rPr>
            </w:pPr>
            <w:r>
              <w:rPr>
                <w:color w:val="000000"/>
              </w:rPr>
              <w:t>9.72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666" w:type="dxa"/>
            <w:tcBorders/>
            <w:vAlign w:val="bottom"/>
          </w:tcPr>
          <w:p>
            <w:pPr>
              <w:pStyle w:val="TableContents"/>
              <w:bidi w:val="0"/>
              <w:spacing w:before="0" w:after="0"/>
              <w:jc w:val="right"/>
              <w:rPr>
                <w:color w:val="000000"/>
              </w:rPr>
            </w:pPr>
            <w:r>
              <w:rPr>
                <w:color w:val="000000"/>
              </w:rPr>
              <w:t>9.70</w:t>
            </w:r>
          </w:p>
        </w:tc>
        <w:tc>
          <w:tcPr>
            <w:tcW w:w="290" w:type="dxa"/>
            <w:tcBorders/>
            <w:vAlign w:val="bottom"/>
          </w:tcPr>
          <w:p>
            <w:pPr>
              <w:pStyle w:val="TableContents"/>
              <w:bidi w:val="0"/>
              <w:spacing w:before="0" w:after="0"/>
              <w:jc w:val="left"/>
              <w:rPr>
                <w:color w:val="000000"/>
              </w:rPr>
            </w:pPr>
            <w:r>
              <w:rPr>
                <w:color w:val="000000"/>
              </w:rPr>
              <w:t>%</w:t>
            </w:r>
          </w:p>
        </w:tc>
      </w:tr>
      <w:tr>
        <w:trPr/>
        <w:tc>
          <w:tcPr>
            <w:tcW w:w="4190" w:type="dxa"/>
            <w:tcBorders/>
            <w:shd w:fill="CCEEFF" w:val="clear"/>
            <w:vAlign w:val="bottom"/>
          </w:tcPr>
          <w:p>
            <w:pPr>
              <w:pStyle w:val="TableContents"/>
              <w:bidi w:val="0"/>
              <w:spacing w:before="0" w:after="0"/>
              <w:jc w:val="left"/>
              <w:rPr>
                <w:color w:val="000000"/>
              </w:rPr>
            </w:pPr>
            <w:r>
              <w:rPr>
                <w:color w:val="000000"/>
              </w:rPr>
              <w:t>Weighted average life in years</w:t>
            </w:r>
          </w:p>
        </w:tc>
        <w:tc>
          <w:tcPr>
            <w:tcW w:w="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0"/>
              <w:jc w:val="right"/>
              <w:rPr>
                <w:color w:val="000000"/>
              </w:rPr>
            </w:pPr>
            <w:r>
              <w:rPr>
                <w:color w:val="000000"/>
              </w:rPr>
              <w:t>7.86</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666" w:type="dxa"/>
            <w:tcBorders/>
            <w:shd w:fill="CCEEFF" w:val="clear"/>
            <w:vAlign w:val="bottom"/>
          </w:tcPr>
          <w:p>
            <w:pPr>
              <w:pStyle w:val="TableContents"/>
              <w:bidi w:val="0"/>
              <w:spacing w:before="0" w:after="0"/>
              <w:jc w:val="right"/>
              <w:rPr>
                <w:color w:val="000000"/>
              </w:rPr>
            </w:pPr>
            <w:r>
              <w:rPr>
                <w:color w:val="000000"/>
              </w:rPr>
              <w:t>7.43</w:t>
            </w:r>
          </w:p>
        </w:tc>
        <w:tc>
          <w:tcPr>
            <w:tcW w:w="29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7.  BORROWING ARRANGEMENTS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Subordinated Debt</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December 2018, the Company issued $14.1 million of subordinated notes that have a maturity date of December 2030 and a weighted average fixed rate of 6.41% for the first seven years. After the fixed rate period expired, these notes float at the </w:t>
      </w:r>
      <w:r>
        <w:rPr>
          <w:rFonts w:ascii="Times New Roman" w:hAnsi="Times New Roman"/>
          <w:i/>
          <w:color w:val="000000"/>
          <w:sz w:val="20"/>
          <w:shd w:fill="FFFFFF" w:val="clear"/>
        </w:rPr>
        <w:t>Wall Street Journal</w:t>
      </w:r>
      <w:r>
        <w:rPr>
          <w:rFonts w:ascii="Times New Roman" w:hAnsi="Times New Roman"/>
          <w:color w:val="000000"/>
          <w:sz w:val="20"/>
          <w:shd w:fill="FFFFFF" w:val="clear"/>
        </w:rPr>
        <w:t xml:space="preserve"> prime rate, with a floor of 4.0% and a ceiling of 7.5%, resulting in a rate of 6.75% as of June 30, 2026. These notes pay interest quarterly, are unsecured, and may be called by the Company at any time after the remaining maturity is five years or less. Additionally, these notes are intended to qualify for Tier 2 capital treatment, subject to regulatory limitations.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and December 31, 2025, the total amount of subordinated notes outstanding was $14.1 million.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Notes Payable and Other Borrowings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and December 31, 2025, City Bank had no outstanding advances from the Federal Home Loan Bank of Dallas (“FHLB”) or any short-term borrowings.</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8.  STOCK-BASED COMPENSATION</w:t>
      </w:r>
    </w:p>
    <w:p>
      <w:pPr>
        <w:pStyle w:val="TextBody"/>
        <w:bidi w:val="0"/>
        <w:spacing w:before="0" w:after="0"/>
        <w:jc w:val="both"/>
        <w:rPr/>
      </w:pPr>
      <w:r>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Equity Incentive Plan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South Plains Financial, Inc.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5,901,991 at June 30, 2026. The maximum aggregate number of shares that may be issued under the Plan may be increased annually by up to 3% of the total issued and outstanding common shares of the Company at the beginning of each fiscal year.</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the U.S. Treasury yield curve in effect at the time of the grant.</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Options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activity in the Plan during the period indicated is presented in the table below (dollars in thousands, except per share data):</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79" w:name="za2678129e96446fe8cb021bb8c479e36"/>
      <w:bookmarkStart w:id="80" w:name="za2678129e96446fe8cb021bb8c479e36"/>
      <w:bookmarkEnd w:id="80"/>
    </w:p>
    <w:tbl>
      <w:tblPr>
        <w:tblW w:w="10205" w:type="dxa"/>
        <w:jc w:val="left"/>
        <w:tblInd w:w="0" w:type="dxa"/>
        <w:tblLayout w:type="fixed"/>
        <w:tblCellMar>
          <w:top w:w="0" w:type="dxa"/>
          <w:left w:w="0" w:type="dxa"/>
          <w:bottom w:w="0" w:type="dxa"/>
          <w:right w:w="0" w:type="dxa"/>
        </w:tblCellMar>
      </w:tblPr>
      <w:tblGrid>
        <w:gridCol w:w="2625"/>
        <w:gridCol w:w="90"/>
        <w:gridCol w:w="90"/>
        <w:gridCol w:w="1010"/>
        <w:gridCol w:w="125"/>
        <w:gridCol w:w="90"/>
        <w:gridCol w:w="437"/>
        <w:gridCol w:w="1518"/>
        <w:gridCol w:w="90"/>
        <w:gridCol w:w="90"/>
        <w:gridCol w:w="369"/>
        <w:gridCol w:w="1931"/>
        <w:gridCol w:w="90"/>
        <w:gridCol w:w="90"/>
        <w:gridCol w:w="274"/>
        <w:gridCol w:w="1150"/>
        <w:gridCol w:w="136"/>
      </w:tblGrid>
      <w:tr>
        <w:trPr/>
        <w:tc>
          <w:tcPr>
            <w:tcW w:w="26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Number</w:t>
            </w:r>
          </w:p>
          <w:p>
            <w:pPr>
              <w:pStyle w:val="TableContents"/>
              <w:bidi w:val="0"/>
              <w:spacing w:before="0" w:after="0"/>
              <w:jc w:val="center"/>
              <w:rPr>
                <w:b/>
                <w:color w:val="000000"/>
              </w:rPr>
            </w:pPr>
            <w:r>
              <w:rPr>
                <w:b/>
                <w:color w:val="000000"/>
              </w:rPr>
              <w:t>of Shares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5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Exercise Price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Remaining Contractual</w:t>
            </w:r>
          </w:p>
          <w:p>
            <w:pPr>
              <w:pStyle w:val="TableContents"/>
              <w:bidi w:val="0"/>
              <w:spacing w:before="0" w:after="0"/>
              <w:jc w:val="center"/>
              <w:rPr>
                <w:b/>
                <w:color w:val="000000"/>
              </w:rPr>
            </w:pPr>
            <w:r>
              <w:rPr>
                <w:b/>
                <w:color w:val="000000"/>
              </w:rPr>
              <w:t>Life in Years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24"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Aggregate</w:t>
            </w:r>
          </w:p>
          <w:p>
            <w:pPr>
              <w:pStyle w:val="TableContents"/>
              <w:bidi w:val="0"/>
              <w:spacing w:before="0" w:after="0"/>
              <w:jc w:val="center"/>
              <w:rPr>
                <w:b/>
                <w:color w:val="000000"/>
              </w:rPr>
            </w:pPr>
            <w:r>
              <w:rPr>
                <w:b/>
                <w:color w:val="000000"/>
              </w:rPr>
              <w:t>Intrinsic Value</w:t>
            </w:r>
          </w:p>
        </w:tc>
        <w:tc>
          <w:tcPr>
            <w:tcW w:w="136" w:type="dxa"/>
            <w:tcBorders/>
            <w:vAlign w:val="bottom"/>
          </w:tcPr>
          <w:p>
            <w:pPr>
              <w:pStyle w:val="TableContents"/>
              <w:bidi w:val="0"/>
              <w:spacing w:before="0" w:after="283"/>
              <w:jc w:val="left"/>
              <w:rPr/>
            </w:pPr>
            <w:r>
              <w:rPr/>
              <w:t> </w:t>
            </w:r>
          </w:p>
        </w:tc>
      </w:tr>
      <w:tr>
        <w:trPr/>
        <w:tc>
          <w:tcPr>
            <w:tcW w:w="2625" w:type="dxa"/>
            <w:tcBorders/>
            <w:vAlign w:val="bottom"/>
          </w:tcPr>
          <w:p>
            <w:pPr>
              <w:pStyle w:val="TableContents"/>
              <w:bidi w:val="0"/>
              <w:spacing w:before="0" w:after="0"/>
              <w:jc w:val="left"/>
              <w:rPr>
                <w:color w:val="000000"/>
                <w:u w:val="single"/>
              </w:rPr>
            </w:pPr>
            <w:r>
              <w:rPr>
                <w:color w:val="000000"/>
                <w:u w:val="single"/>
              </w:rPr>
              <w:t>Six Months Ended June 30, 2026</w:t>
            </w:r>
          </w:p>
        </w:tc>
        <w:tc>
          <w:tcPr>
            <w:tcW w:w="9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r>
      <w:tr>
        <w:trPr/>
        <w:tc>
          <w:tcPr>
            <w:tcW w:w="2625" w:type="dxa"/>
            <w:tcBorders/>
            <w:shd w:fill="CCEEFF" w:val="clear"/>
            <w:vAlign w:val="bottom"/>
          </w:tcPr>
          <w:p>
            <w:pPr>
              <w:pStyle w:val="TableContents"/>
              <w:bidi w:val="0"/>
              <w:spacing w:before="0" w:after="0"/>
              <w:jc w:val="left"/>
              <w:rPr>
                <w:color w:val="000000"/>
              </w:rPr>
            </w:pPr>
            <w:r>
              <w:rPr>
                <w:color w:val="000000"/>
              </w:rPr>
              <w:t>Outstanding at beginning of year:</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1,076,673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left"/>
              <w:rPr>
                <w:color w:val="000000"/>
              </w:rPr>
            </w:pPr>
            <w:r>
              <w:rPr>
                <w:color w:val="000000"/>
              </w:rPr>
              <w:t>$</w:t>
            </w:r>
          </w:p>
        </w:tc>
        <w:tc>
          <w:tcPr>
            <w:tcW w:w="1518" w:type="dxa"/>
            <w:tcBorders/>
            <w:shd w:fill="CCEEFF" w:val="clear"/>
            <w:vAlign w:val="bottom"/>
          </w:tcPr>
          <w:p>
            <w:pPr>
              <w:pStyle w:val="TableContents"/>
              <w:bidi w:val="0"/>
              <w:spacing w:before="0" w:after="0"/>
              <w:jc w:val="right"/>
              <w:rPr>
                <w:color w:val="000000"/>
              </w:rPr>
            </w:pPr>
            <w:r>
              <w:rPr>
                <w:color w:val="000000"/>
              </w:rPr>
              <w:t>18.92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0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24" w:type="dxa"/>
            <w:gridSpan w:val="2"/>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r>
      <w:tr>
        <w:trPr/>
        <w:tc>
          <w:tcPr>
            <w:tcW w:w="2625" w:type="dxa"/>
            <w:tcBorders/>
            <w:vAlign w:val="bottom"/>
          </w:tcPr>
          <w:p>
            <w:pPr>
              <w:pStyle w:val="TableContents"/>
              <w:bidi w:val="0"/>
              <w:spacing w:before="0" w:after="0"/>
              <w:ind w:left="180" w:right="0" w:hanging="0"/>
              <w:jc w:val="left"/>
              <w:rPr>
                <w:color w:val="000000"/>
              </w:rPr>
            </w:pPr>
            <w:r>
              <w:rPr>
                <w:color w:val="000000"/>
              </w:rPr>
              <w:t>Granted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28,675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0"/>
              <w:jc w:val="right"/>
              <w:rPr>
                <w:color w:val="000000"/>
              </w:rPr>
            </w:pPr>
            <w:r>
              <w:rPr>
                <w:color w:val="000000"/>
              </w:rPr>
              <w:t>38.92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r>
      <w:tr>
        <w:trPr/>
        <w:tc>
          <w:tcPr>
            <w:tcW w:w="2625" w:type="dxa"/>
            <w:tcBorders/>
            <w:shd w:fill="CCEEFF" w:val="clear"/>
            <w:vAlign w:val="bottom"/>
          </w:tcPr>
          <w:p>
            <w:pPr>
              <w:pStyle w:val="TableContents"/>
              <w:bidi w:val="0"/>
              <w:spacing w:before="0" w:after="0"/>
              <w:ind w:left="180" w:right="0" w:hanging="0"/>
              <w:jc w:val="left"/>
              <w:rPr>
                <w:color w:val="000000"/>
              </w:rPr>
            </w:pPr>
            <w:r>
              <w:rPr>
                <w:color w:val="000000"/>
              </w:rPr>
              <w:t>Exercised</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(3,664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0"/>
              <w:jc w:val="right"/>
              <w:rPr>
                <w:color w:val="000000"/>
              </w:rPr>
            </w:pPr>
            <w:r>
              <w:rPr>
                <w:color w:val="000000"/>
              </w:rPr>
              <w:t>20.38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0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24" w:type="dxa"/>
            <w:gridSpan w:val="2"/>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r>
      <w:tr>
        <w:trPr/>
        <w:tc>
          <w:tcPr>
            <w:tcW w:w="2625" w:type="dxa"/>
            <w:tcBorders/>
            <w:vAlign w:val="bottom"/>
          </w:tcPr>
          <w:p>
            <w:pPr>
              <w:pStyle w:val="TableContents"/>
              <w:bidi w:val="0"/>
              <w:spacing w:before="0" w:after="0"/>
              <w:ind w:left="180" w:right="0" w:hanging="0"/>
              <w:jc w:val="left"/>
              <w:rPr>
                <w:color w:val="000000"/>
              </w:rPr>
            </w:pPr>
            <w:r>
              <w:rPr>
                <w:color w:val="000000"/>
              </w:rPr>
              <w:t>Forfeited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r>
      <w:tr>
        <w:trPr/>
        <w:tc>
          <w:tcPr>
            <w:tcW w:w="2625" w:type="dxa"/>
            <w:tcBorders/>
            <w:shd w:fill="CCEEFF" w:val="clear"/>
            <w:vAlign w:val="bottom"/>
          </w:tcPr>
          <w:p>
            <w:pPr>
              <w:pStyle w:val="TableContents"/>
              <w:bidi w:val="0"/>
              <w:spacing w:before="0" w:after="0"/>
              <w:ind w:left="180" w:right="0" w:hanging="0"/>
              <w:jc w:val="left"/>
              <w:rPr>
                <w:color w:val="000000"/>
              </w:rPr>
            </w:pPr>
            <w:r>
              <w:rPr>
                <w:color w:val="000000"/>
              </w:rPr>
              <w:t>Expired</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0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24" w:type="dxa"/>
            <w:gridSpan w:val="2"/>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r>
      <w:tr>
        <w:trPr/>
        <w:tc>
          <w:tcPr>
            <w:tcW w:w="26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r>
      <w:tr>
        <w:trPr/>
        <w:tc>
          <w:tcPr>
            <w:tcW w:w="2625" w:type="dxa"/>
            <w:tcBorders/>
            <w:shd w:fill="CCEEFF" w:val="clear"/>
            <w:vAlign w:val="bottom"/>
          </w:tcPr>
          <w:p>
            <w:pPr>
              <w:pStyle w:val="TableContents"/>
              <w:bidi w:val="0"/>
              <w:spacing w:before="0" w:after="0"/>
              <w:jc w:val="left"/>
              <w:rPr>
                <w:color w:val="000000"/>
              </w:rPr>
            </w:pPr>
            <w:r>
              <w:rPr>
                <w:color w:val="000000"/>
              </w:rPr>
              <w:t>Balance at end of period</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1,101,684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93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26,056</w:t>
            </w:r>
          </w:p>
        </w:tc>
        <w:tc>
          <w:tcPr>
            <w:tcW w:w="136" w:type="dxa"/>
            <w:tcBorders/>
            <w:shd w:fill="CCEEFF" w:val="clear"/>
            <w:vAlign w:val="bottom"/>
          </w:tcPr>
          <w:p>
            <w:pPr>
              <w:pStyle w:val="TableContents"/>
              <w:bidi w:val="0"/>
              <w:spacing w:before="0" w:after="283"/>
              <w:jc w:val="left"/>
              <w:rPr/>
            </w:pPr>
            <w:r>
              <w:rPr/>
              <w:t> </w:t>
            </w:r>
          </w:p>
        </w:tc>
      </w:tr>
      <w:tr>
        <w:trPr/>
        <w:tc>
          <w:tcPr>
            <w:tcW w:w="26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r>
      <w:tr>
        <w:trPr/>
        <w:tc>
          <w:tcPr>
            <w:tcW w:w="2625" w:type="dxa"/>
            <w:tcBorders/>
            <w:shd w:fill="CCEEFF" w:val="clear"/>
            <w:vAlign w:val="bottom"/>
          </w:tcPr>
          <w:p>
            <w:pPr>
              <w:pStyle w:val="TableContents"/>
              <w:bidi w:val="0"/>
              <w:spacing w:before="0" w:after="0"/>
              <w:jc w:val="left"/>
              <w:rPr>
                <w:color w:val="000000"/>
              </w:rPr>
            </w:pPr>
            <w:r>
              <w:rPr>
                <w:color w:val="000000"/>
              </w:rPr>
              <w:t>Exercisable at end of period</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1,032,447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93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25,453</w:t>
            </w:r>
          </w:p>
        </w:tc>
        <w:tc>
          <w:tcPr>
            <w:tcW w:w="136" w:type="dxa"/>
            <w:tcBorders/>
            <w:shd w:fill="CCEEFF" w:val="clear"/>
            <w:vAlign w:val="bottom"/>
          </w:tcPr>
          <w:p>
            <w:pPr>
              <w:pStyle w:val="TableContents"/>
              <w:bidi w:val="0"/>
              <w:spacing w:before="0" w:after="283"/>
              <w:jc w:val="left"/>
              <w:rPr/>
            </w:pPr>
            <w:r>
              <w:rPr/>
              <w:t> </w:t>
            </w:r>
          </w:p>
        </w:tc>
      </w:tr>
      <w:tr>
        <w:trPr/>
        <w:tc>
          <w:tcPr>
            <w:tcW w:w="26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r>
      <w:tr>
        <w:trPr/>
        <w:tc>
          <w:tcPr>
            <w:tcW w:w="2625" w:type="dxa"/>
            <w:tcBorders/>
            <w:shd w:fill="CCEEFF" w:val="clear"/>
            <w:vAlign w:val="bottom"/>
          </w:tcPr>
          <w:p>
            <w:pPr>
              <w:pStyle w:val="TableContents"/>
              <w:bidi w:val="0"/>
              <w:spacing w:before="0" w:after="0"/>
              <w:jc w:val="left"/>
              <w:rPr>
                <w:color w:val="000000"/>
              </w:rPr>
            </w:pPr>
            <w:r>
              <w:rPr>
                <w:color w:val="000000"/>
              </w:rPr>
              <w:t>Vested at end of period</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1,032,447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93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25,453</w:t>
            </w:r>
          </w:p>
        </w:tc>
        <w:tc>
          <w:tcPr>
            <w:tcW w:w="136"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assumptions used to calculate the fair values of the awards granted during the periods noted is presented below:</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81" w:name="zbf70b9b27a3648e3a946d6507547b558"/>
      <w:bookmarkStart w:id="82" w:name="zbf70b9b27a3648e3a946d6507547b558"/>
      <w:bookmarkEnd w:id="82"/>
    </w:p>
    <w:tbl>
      <w:tblPr>
        <w:tblW w:w="6028" w:type="dxa"/>
        <w:jc w:val="left"/>
        <w:tblInd w:w="0" w:type="dxa"/>
        <w:tblLayout w:type="fixed"/>
        <w:tblCellMar>
          <w:top w:w="0" w:type="dxa"/>
          <w:left w:w="0" w:type="dxa"/>
          <w:bottom w:w="0" w:type="dxa"/>
          <w:right w:w="0" w:type="dxa"/>
        </w:tblCellMar>
      </w:tblPr>
      <w:tblGrid>
        <w:gridCol w:w="3710"/>
        <w:gridCol w:w="90"/>
        <w:gridCol w:w="177"/>
        <w:gridCol w:w="617"/>
        <w:gridCol w:w="256"/>
        <w:gridCol w:w="94"/>
        <w:gridCol w:w="177"/>
        <w:gridCol w:w="617"/>
        <w:gridCol w:w="290"/>
      </w:tblGrid>
      <w:tr>
        <w:trPr/>
        <w:tc>
          <w:tcPr>
            <w:tcW w:w="37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3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290" w:type="dxa"/>
            <w:tcBorders/>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25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9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90"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jc w:val="left"/>
              <w:rPr>
                <w:color w:val="000000"/>
              </w:rPr>
            </w:pPr>
            <w:r>
              <w:rPr>
                <w:color w:val="000000"/>
              </w:rPr>
              <w:t>Expected volatility</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0"/>
              <w:jc w:val="right"/>
              <w:rPr>
                <w:color w:val="000000"/>
              </w:rPr>
            </w:pPr>
            <w:r>
              <w:rPr>
                <w:color w:val="000000"/>
              </w:rPr>
              <w:t>39.61</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9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0"/>
              <w:jc w:val="right"/>
              <w:rPr>
                <w:color w:val="000000"/>
              </w:rPr>
            </w:pPr>
            <w:r>
              <w:rPr>
                <w:color w:val="000000"/>
              </w:rPr>
              <w:t>41.21</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710" w:type="dxa"/>
            <w:tcBorders/>
            <w:vAlign w:val="bottom"/>
          </w:tcPr>
          <w:p>
            <w:pPr>
              <w:pStyle w:val="TableContents"/>
              <w:bidi w:val="0"/>
              <w:spacing w:before="0" w:after="0"/>
              <w:jc w:val="left"/>
              <w:rPr>
                <w:color w:val="000000"/>
              </w:rPr>
            </w:pPr>
            <w:r>
              <w:rPr>
                <w:color w:val="000000"/>
              </w:rPr>
              <w:t>Expected dividend yield</w:t>
            </w:r>
          </w:p>
        </w:tc>
        <w:tc>
          <w:tcPr>
            <w:tcW w:w="9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0"/>
              <w:jc w:val="right"/>
              <w:rPr>
                <w:color w:val="000000"/>
              </w:rPr>
            </w:pPr>
            <w:r>
              <w:rPr>
                <w:color w:val="000000"/>
              </w:rPr>
              <w:t>1.80</w:t>
            </w:r>
          </w:p>
        </w:tc>
        <w:tc>
          <w:tcPr>
            <w:tcW w:w="256"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0"/>
              <w:jc w:val="right"/>
              <w:rPr>
                <w:color w:val="000000"/>
              </w:rPr>
            </w:pPr>
            <w:r>
              <w:rPr>
                <w:color w:val="000000"/>
              </w:rPr>
              <w:t>1.80</w:t>
            </w:r>
          </w:p>
        </w:tc>
        <w:tc>
          <w:tcPr>
            <w:tcW w:w="290" w:type="dxa"/>
            <w:tcBorders/>
            <w:vAlign w:val="bottom"/>
          </w:tcPr>
          <w:p>
            <w:pPr>
              <w:pStyle w:val="TableContents"/>
              <w:bidi w:val="0"/>
              <w:spacing w:before="0" w:after="0"/>
              <w:jc w:val="left"/>
              <w:rPr>
                <w:color w:val="000000"/>
              </w:rPr>
            </w:pPr>
            <w:r>
              <w:rPr>
                <w:color w:val="000000"/>
              </w:rPr>
              <w:t>%</w:t>
            </w:r>
          </w:p>
        </w:tc>
      </w:tr>
      <w:tr>
        <w:trPr/>
        <w:tc>
          <w:tcPr>
            <w:tcW w:w="3710" w:type="dxa"/>
            <w:tcBorders/>
            <w:shd w:fill="CCEEFF" w:val="clear"/>
            <w:vAlign w:val="bottom"/>
          </w:tcPr>
          <w:p>
            <w:pPr>
              <w:pStyle w:val="TableContents"/>
              <w:bidi w:val="0"/>
              <w:spacing w:before="0" w:after="0"/>
              <w:jc w:val="left"/>
              <w:rPr>
                <w:color w:val="000000"/>
              </w:rPr>
            </w:pPr>
            <w:r>
              <w:rPr>
                <w:color w:val="000000"/>
              </w:rPr>
              <w:t>Expected term (years)</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0"/>
              <w:jc w:val="right"/>
              <w:rPr>
                <w:color w:val="000000"/>
              </w:rPr>
            </w:pPr>
            <w:r>
              <w:rPr>
                <w:color w:val="000000"/>
              </w:rPr>
              <w:t>6.1</w:t>
            </w:r>
          </w:p>
        </w:tc>
        <w:tc>
          <w:tcPr>
            <w:tcW w:w="25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0"/>
              <w:jc w:val="right"/>
              <w:rPr>
                <w:color w:val="000000"/>
              </w:rPr>
            </w:pPr>
            <w:r>
              <w:rPr>
                <w:color w:val="000000"/>
              </w:rPr>
              <w:t>6.1</w:t>
            </w:r>
          </w:p>
        </w:tc>
        <w:tc>
          <w:tcPr>
            <w:tcW w:w="290"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jc w:val="left"/>
              <w:rPr>
                <w:color w:val="000000"/>
              </w:rPr>
            </w:pPr>
            <w:r>
              <w:rPr>
                <w:color w:val="000000"/>
              </w:rPr>
              <w:t>Risk-free interest rate</w:t>
            </w:r>
          </w:p>
        </w:tc>
        <w:tc>
          <w:tcPr>
            <w:tcW w:w="9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0"/>
              <w:jc w:val="right"/>
              <w:rPr>
                <w:color w:val="000000"/>
              </w:rPr>
            </w:pPr>
            <w:r>
              <w:rPr>
                <w:color w:val="000000"/>
              </w:rPr>
              <w:t>3.85</w:t>
            </w:r>
          </w:p>
        </w:tc>
        <w:tc>
          <w:tcPr>
            <w:tcW w:w="256" w:type="dxa"/>
            <w:tcBorders/>
            <w:vAlign w:val="bottom"/>
          </w:tcPr>
          <w:p>
            <w:pPr>
              <w:pStyle w:val="TableContents"/>
              <w:bidi w:val="0"/>
              <w:spacing w:before="0" w:after="0"/>
              <w:jc w:val="left"/>
              <w:rPr>
                <w:color w:val="000000"/>
              </w:rPr>
            </w:pPr>
            <w:r>
              <w:rPr>
                <w:color w:val="000000"/>
              </w:rPr>
              <w:t>%</w:t>
            </w:r>
          </w:p>
        </w:tc>
        <w:tc>
          <w:tcPr>
            <w:tcW w:w="9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0"/>
              <w:jc w:val="right"/>
              <w:rPr>
                <w:color w:val="000000"/>
              </w:rPr>
            </w:pPr>
            <w:r>
              <w:rPr>
                <w:color w:val="000000"/>
              </w:rPr>
              <w:t>4.43</w:t>
            </w:r>
          </w:p>
        </w:tc>
        <w:tc>
          <w:tcPr>
            <w:tcW w:w="290" w:type="dxa"/>
            <w:tcBorders/>
            <w:vAlign w:val="bottom"/>
          </w:tcPr>
          <w:p>
            <w:pPr>
              <w:pStyle w:val="TableContents"/>
              <w:bidi w:val="0"/>
              <w:spacing w:before="0" w:after="0"/>
              <w:jc w:val="left"/>
              <w:rPr>
                <w:color w:val="000000"/>
              </w:rPr>
            </w:pPr>
            <w:r>
              <w:rPr>
                <w:color w:val="000000"/>
              </w:rPr>
              <w:t>%</w:t>
            </w:r>
          </w:p>
        </w:tc>
      </w:tr>
      <w:tr>
        <w:trPr/>
        <w:tc>
          <w:tcPr>
            <w:tcW w:w="3710" w:type="dxa"/>
            <w:tcBorders/>
            <w:shd w:fill="CCEEFF" w:val="clear"/>
            <w:vAlign w:val="bottom"/>
          </w:tcPr>
          <w:p>
            <w:pPr>
              <w:pStyle w:val="TableContents"/>
              <w:bidi w:val="0"/>
              <w:spacing w:before="0" w:after="0"/>
              <w:jc w:val="left"/>
              <w:rPr>
                <w:color w:val="000000"/>
              </w:rPr>
            </w:pPr>
            <w:r>
              <w:rPr>
                <w:color w:val="000000"/>
              </w:rPr>
              <w:t>Weighted average grant date fair value</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617" w:type="dxa"/>
            <w:tcBorders/>
            <w:shd w:fill="CCEEFF" w:val="clear"/>
            <w:vAlign w:val="bottom"/>
          </w:tcPr>
          <w:p>
            <w:pPr>
              <w:pStyle w:val="TableContents"/>
              <w:bidi w:val="0"/>
              <w:spacing w:before="0" w:after="0"/>
              <w:jc w:val="right"/>
              <w:rPr>
                <w:color w:val="000000"/>
              </w:rPr>
            </w:pPr>
            <w:r>
              <w:rPr>
                <w:color w:val="000000"/>
              </w:rPr>
              <w:t>14.44</w:t>
            </w:r>
          </w:p>
        </w:tc>
        <w:tc>
          <w:tcPr>
            <w:tcW w:w="25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617" w:type="dxa"/>
            <w:tcBorders/>
            <w:shd w:fill="CCEEFF" w:val="clear"/>
            <w:vAlign w:val="bottom"/>
          </w:tcPr>
          <w:p>
            <w:pPr>
              <w:pStyle w:val="TableContents"/>
              <w:bidi w:val="0"/>
              <w:spacing w:before="0" w:after="0"/>
              <w:jc w:val="right"/>
              <w:rPr>
                <w:color w:val="000000"/>
              </w:rPr>
            </w:pPr>
            <w:r>
              <w:rPr>
                <w:color w:val="000000"/>
              </w:rPr>
              <w:t>13.35</w:t>
            </w:r>
          </w:p>
        </w:tc>
        <w:tc>
          <w:tcPr>
            <w:tcW w:w="290"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intrinsic value of options exercised during the six months ended June 30, 2026 and 2025 was $74 thousand and $507 thousand, respectively.</w:t>
      </w:r>
    </w:p>
    <w:p>
      <w:pPr>
        <w:pStyle w:val="TextBody"/>
        <w:bidi w:val="0"/>
        <w:spacing w:before="0" w:after="0"/>
        <w:jc w:val="both"/>
        <w:rPr/>
      </w:pPr>
      <w:r>
        <w:rPr/>
      </w:r>
    </w:p>
    <w:p>
      <w:pPr>
        <w:pStyle w:val="TextBody"/>
        <w:bidi w:val="0"/>
        <w:spacing w:before="0" w:after="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Restricted Stock Awards and Units</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activity in the Plan during the period indicated is presented in the table below:</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83" w:name="z25aa3d6ac6a94a3e9431d7bedc2e934a"/>
      <w:bookmarkStart w:id="84" w:name="z25aa3d6ac6a94a3e9431d7bedc2e934a"/>
      <w:bookmarkEnd w:id="84"/>
    </w:p>
    <w:tbl>
      <w:tblPr>
        <w:tblW w:w="6724" w:type="dxa"/>
        <w:jc w:val="left"/>
        <w:tblInd w:w="0" w:type="dxa"/>
        <w:tblLayout w:type="fixed"/>
        <w:tblCellMar>
          <w:top w:w="0" w:type="dxa"/>
          <w:left w:w="0" w:type="dxa"/>
          <w:bottom w:w="0" w:type="dxa"/>
          <w:right w:w="0" w:type="dxa"/>
        </w:tblCellMar>
      </w:tblPr>
      <w:tblGrid>
        <w:gridCol w:w="3335"/>
        <w:gridCol w:w="90"/>
        <w:gridCol w:w="97"/>
        <w:gridCol w:w="897"/>
        <w:gridCol w:w="125"/>
        <w:gridCol w:w="90"/>
        <w:gridCol w:w="437"/>
        <w:gridCol w:w="1518"/>
        <w:gridCol w:w="135"/>
      </w:tblGrid>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Number</w:t>
            </w:r>
          </w:p>
          <w:p>
            <w:pPr>
              <w:pStyle w:val="TableContents"/>
              <w:bidi w:val="0"/>
              <w:spacing w:before="0" w:after="0"/>
              <w:jc w:val="center"/>
              <w:rPr>
                <w:b/>
                <w:color w:val="000000"/>
              </w:rPr>
            </w:pPr>
            <w:r>
              <w:rPr>
                <w:b/>
                <w:color w:val="000000"/>
              </w:rPr>
              <w:t>of Shares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5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Grant Date</w:t>
            </w:r>
          </w:p>
          <w:p>
            <w:pPr>
              <w:pStyle w:val="TableContents"/>
              <w:bidi w:val="0"/>
              <w:spacing w:before="0" w:after="0"/>
              <w:jc w:val="center"/>
              <w:rPr>
                <w:b/>
                <w:color w:val="000000"/>
              </w:rPr>
            </w:pPr>
            <w:r>
              <w:rPr>
                <w:b/>
                <w:color w:val="000000"/>
              </w:rPr>
              <w:t>Fair Value</w:t>
            </w:r>
          </w:p>
        </w:tc>
        <w:tc>
          <w:tcPr>
            <w:tcW w:w="13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color w:val="000000"/>
                <w:u w:val="single"/>
              </w:rPr>
            </w:pPr>
            <w:r>
              <w:rPr>
                <w:color w:val="000000"/>
                <w:u w:val="single"/>
              </w:rPr>
              <w:t>Six Months Ended June 30, 2026</w:t>
            </w:r>
          </w:p>
        </w:tc>
        <w:tc>
          <w:tcPr>
            <w:tcW w:w="90" w:type="dxa"/>
            <w:tcBorders/>
            <w:vAlign w:val="bottom"/>
          </w:tcPr>
          <w:p>
            <w:pPr>
              <w:pStyle w:val="TableContents"/>
              <w:bidi w:val="0"/>
              <w:spacing w:before="0" w:after="283"/>
              <w:jc w:val="left"/>
              <w:rPr/>
            </w:pPr>
            <w:r>
              <w:rPr/>
              <w:t> </w:t>
            </w:r>
          </w:p>
        </w:tc>
        <w:tc>
          <w:tcPr>
            <w:tcW w:w="994"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color w:val="000000"/>
              </w:rPr>
            </w:pPr>
            <w:r>
              <w:rPr>
                <w:color w:val="000000"/>
              </w:rPr>
              <w:t>Outstanding at beginning of year:</w:t>
            </w:r>
          </w:p>
        </w:tc>
        <w:tc>
          <w:tcPr>
            <w:tcW w:w="9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color w:val="000000"/>
              </w:rPr>
            </w:pPr>
            <w:r>
              <w:rPr>
                <w:color w:val="000000"/>
              </w:rPr>
              <w:t>241,035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left"/>
              <w:rPr>
                <w:color w:val="000000"/>
              </w:rPr>
            </w:pPr>
            <w:r>
              <w:rPr>
                <w:color w:val="000000"/>
              </w:rPr>
              <w:t>$</w:t>
            </w:r>
          </w:p>
        </w:tc>
        <w:tc>
          <w:tcPr>
            <w:tcW w:w="1518" w:type="dxa"/>
            <w:tcBorders/>
            <w:shd w:fill="CCEEFF" w:val="clear"/>
            <w:vAlign w:val="bottom"/>
          </w:tcPr>
          <w:p>
            <w:pPr>
              <w:pStyle w:val="TableContents"/>
              <w:bidi w:val="0"/>
              <w:spacing w:before="0" w:after="0"/>
              <w:jc w:val="right"/>
              <w:rPr>
                <w:color w:val="000000"/>
              </w:rPr>
            </w:pPr>
            <w:r>
              <w:rPr>
                <w:color w:val="000000"/>
              </w:rPr>
              <w:t>28.60</w:t>
            </w:r>
          </w:p>
        </w:tc>
        <w:tc>
          <w:tcPr>
            <w:tcW w:w="13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80" w:right="0" w:hanging="0"/>
              <w:jc w:val="left"/>
              <w:rPr>
                <w:color w:val="000000"/>
              </w:rPr>
            </w:pPr>
            <w:r>
              <w:rPr>
                <w:color w:val="000000"/>
              </w:rPr>
              <w:t>Granted</w:t>
            </w:r>
          </w:p>
        </w:tc>
        <w:tc>
          <w:tcPr>
            <w:tcW w:w="9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color w:val="000000"/>
              </w:rPr>
            </w:pPr>
            <w:r>
              <w:rPr>
                <w:color w:val="000000"/>
              </w:rPr>
              <w:t>78,750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0"/>
              <w:jc w:val="right"/>
              <w:rPr>
                <w:color w:val="000000"/>
              </w:rPr>
            </w:pPr>
            <w:r>
              <w:rPr>
                <w:color w:val="000000"/>
              </w:rPr>
              <w:t>41.30</w:t>
            </w:r>
          </w:p>
        </w:tc>
        <w:tc>
          <w:tcPr>
            <w:tcW w:w="13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80" w:right="0" w:hanging="0"/>
              <w:jc w:val="left"/>
              <w:rPr>
                <w:color w:val="000000"/>
              </w:rPr>
            </w:pPr>
            <w:r>
              <w:rPr>
                <w:color w:val="000000"/>
              </w:rPr>
              <w:t>Released</w:t>
            </w:r>
          </w:p>
        </w:tc>
        <w:tc>
          <w:tcPr>
            <w:tcW w:w="9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color w:val="000000"/>
              </w:rPr>
            </w:pPr>
            <w:r>
              <w:rPr>
                <w:color w:val="000000"/>
              </w:rPr>
              <w:t>(59,686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0"/>
              <w:jc w:val="right"/>
              <w:rPr>
                <w:color w:val="000000"/>
              </w:rPr>
            </w:pPr>
            <w:r>
              <w:rPr>
                <w:color w:val="000000"/>
              </w:rPr>
              <w:t>30.28</w:t>
            </w:r>
          </w:p>
        </w:tc>
        <w:tc>
          <w:tcPr>
            <w:tcW w:w="13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80" w:right="0" w:hanging="0"/>
              <w:jc w:val="left"/>
              <w:rPr>
                <w:color w:val="000000"/>
              </w:rPr>
            </w:pPr>
            <w:r>
              <w:rPr>
                <w:color w:val="000000"/>
              </w:rPr>
              <w:t>Expired</w:t>
            </w:r>
          </w:p>
        </w:tc>
        <w:tc>
          <w:tcPr>
            <w:tcW w:w="9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color w:val="000000"/>
              </w:rPr>
            </w:pPr>
            <w:r>
              <w:rPr>
                <w:color w:val="000000"/>
              </w:rPr>
              <w:t>(701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0"/>
              <w:jc w:val="right"/>
              <w:rPr>
                <w:color w:val="000000"/>
              </w:rPr>
            </w:pPr>
            <w:r>
              <w:rPr>
                <w:color w:val="000000"/>
              </w:rPr>
              <w:t>23.67</w:t>
            </w:r>
          </w:p>
        </w:tc>
        <w:tc>
          <w:tcPr>
            <w:tcW w:w="13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80" w:right="0" w:hanging="0"/>
              <w:jc w:val="left"/>
              <w:rPr>
                <w:color w:val="000000"/>
              </w:rPr>
            </w:pPr>
            <w:r>
              <w:rPr>
                <w:color w:val="000000"/>
              </w:rPr>
              <w:t>Forfeited</w:t>
            </w:r>
          </w:p>
        </w:tc>
        <w:tc>
          <w:tcPr>
            <w:tcW w:w="90" w:type="dxa"/>
            <w:tcBorders/>
            <w:shd w:fill="CCEEFF" w:val="clear"/>
            <w:vAlign w:val="bottom"/>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0"/>
              <w:jc w:val="right"/>
              <w:rPr>
                <w:color w:val="000000"/>
              </w:rPr>
            </w:pPr>
            <w:r>
              <w:rPr>
                <w:color w:val="000000"/>
              </w:rPr>
              <w:t>28.41</w:t>
            </w:r>
          </w:p>
        </w:tc>
        <w:tc>
          <w:tcPr>
            <w:tcW w:w="13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color w:val="000000"/>
              </w:rPr>
            </w:pPr>
            <w:r>
              <w:rPr>
                <w:color w:val="000000"/>
              </w:rPr>
              <w:t>Balance at end of period</w:t>
            </w:r>
          </w:p>
        </w:tc>
        <w:tc>
          <w:tcPr>
            <w:tcW w:w="90" w:type="dxa"/>
            <w:tcBorders/>
            <w:shd w:fill="CCEEFF" w:val="clear"/>
            <w:vAlign w:val="bottom"/>
          </w:tcPr>
          <w:p>
            <w:pPr>
              <w:pStyle w:val="TableContents"/>
              <w:bidi w:val="0"/>
              <w:spacing w:before="0" w:after="283"/>
              <w:jc w:val="left"/>
              <w:rPr/>
            </w:pPr>
            <w:r>
              <w:rPr/>
              <w:t> </w:t>
            </w:r>
          </w:p>
        </w:tc>
        <w:tc>
          <w:tcPr>
            <w:tcW w:w="9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258,312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32.10</w:t>
            </w:r>
          </w:p>
        </w:tc>
        <w:tc>
          <w:tcPr>
            <w:tcW w:w="13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color w:val="000000"/>
              </w:rPr>
            </w:pPr>
            <w:r>
              <w:rPr>
                <w:color w:val="000000"/>
              </w:rPr>
              <w:t>Nonvested at end of period</w:t>
            </w:r>
          </w:p>
        </w:tc>
        <w:tc>
          <w:tcPr>
            <w:tcW w:w="90" w:type="dxa"/>
            <w:tcBorders/>
            <w:shd w:fill="CCEEFF" w:val="clear"/>
            <w:vAlign w:val="bottom"/>
          </w:tcPr>
          <w:p>
            <w:pPr>
              <w:pStyle w:val="TableContents"/>
              <w:bidi w:val="0"/>
              <w:spacing w:before="0" w:after="283"/>
              <w:jc w:val="left"/>
              <w:rPr/>
            </w:pPr>
            <w:r>
              <w:rPr/>
              <w:t> </w:t>
            </w:r>
          </w:p>
        </w:tc>
        <w:tc>
          <w:tcPr>
            <w:tcW w:w="9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166,566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35.03</w:t>
            </w:r>
          </w:p>
        </w:tc>
        <w:tc>
          <w:tcPr>
            <w:tcW w:w="13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color w:val="000000"/>
              </w:rPr>
            </w:pPr>
            <w:r>
              <w:rPr>
                <w:color w:val="000000"/>
              </w:rPr>
              <w:t>Vested unreleased at end of period</w:t>
            </w:r>
          </w:p>
        </w:tc>
        <w:tc>
          <w:tcPr>
            <w:tcW w:w="90" w:type="dxa"/>
            <w:tcBorders/>
            <w:shd w:fill="CCEEFF" w:val="clear"/>
            <w:vAlign w:val="bottom"/>
          </w:tcPr>
          <w:p>
            <w:pPr>
              <w:pStyle w:val="TableContents"/>
              <w:bidi w:val="0"/>
              <w:spacing w:before="0" w:after="283"/>
              <w:jc w:val="left"/>
              <w:rPr/>
            </w:pPr>
            <w:r>
              <w:rPr/>
              <w:t> </w:t>
            </w:r>
          </w:p>
        </w:tc>
        <w:tc>
          <w:tcPr>
            <w:tcW w:w="9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9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91,746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1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26.78</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Restricted stock units granted under the Plan typically vest from one to four years, but vesting periods may vary. Compensation expense for these grants will be recognized over the vesting period of the awards based on the fair value of the stock at the issue date. The total fair value of restricted stock units released during each of the six months ended June 30, 2026 and 2025 was $1.8 million and $546 thousand, respectively.</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three months ended June 30, 2026 and 2025, the Company recorded stock-based compensation expense related to the Plan of $839 thousand and $722 thousand, respectively. For the six months ended June 30, 2026 and 2025, the Company recorded stock-based compensation expense related to the Plan of $1.5 million and $1.3 million, respectively.</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unrecognized compensation cost for the awards outstanding under the Plan at June 30, 2026 was $5.8 million and will be recognized over a weighted average remaining period of 1.74 years.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Employee Stock Purchase Plan</w:t>
      </w:r>
      <w:r>
        <w:rPr>
          <w:rFonts w:ascii="Times New Roman" w:hAnsi="Times New Roman"/>
          <w:color w:val="000000"/>
          <w:sz w:val="20"/>
          <w:shd w:fill="FFFFFF" w:val="clear"/>
        </w:rPr>
        <w:t xml:space="preserve"> – The Company maintains the South Plains Financial, Inc. 2023 Employee Stock Purchase Plan (the “ESPP”) offering eligible employees an opportunity to purchase shares of Company common stock at a 15% discount from the lesser of fair market value on the first or last day of each six-month offering period, beginning August 1, 2024. The ESPP provides for the purchase of up to an aggregate of one million shares of the Company’s common stock by the employees. A maximum of 1,200 shares per employee may be purchased per offering period. The ESPP benefit is treated as compensation to the employee, and the compensation expense will be recognized over the service period based on the grant date fair value of the rights determined at the beginning of the purchase period, adjusted for forfeitures and certain modifications. For the three months ended June 30, 2026 and 2025, the Company recorded stock-based compensation expense related to the ESPP of $34 thousand and $32 thousand, respectively. For the six months ended June 30, 2026 and 2025, the Company recorded stock-based compensation expense related to the ESPP of $75 thousand and $65 thousand, respectively.</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June 30, 2026, there was $11 thousand of total unrecognized compensation expense related to estimated ESPP shares. These costs are expected to be recognized over a period of one month.</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summary of assumptions used to calculate the grant date fair value of the ESPP rights for the period indicated is presented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5" w:name="z0805edec6f5b4f3380a01ad1675b359e"/>
      <w:bookmarkStart w:id="86" w:name="z0805edec6f5b4f3380a01ad1675b359e"/>
      <w:bookmarkEnd w:id="86"/>
    </w:p>
    <w:tbl>
      <w:tblPr>
        <w:tblW w:w="6524" w:type="dxa"/>
        <w:jc w:val="left"/>
        <w:tblInd w:w="0" w:type="dxa"/>
        <w:tblLayout w:type="fixed"/>
        <w:tblCellMar>
          <w:top w:w="0" w:type="dxa"/>
          <w:left w:w="0" w:type="dxa"/>
          <w:bottom w:w="0" w:type="dxa"/>
          <w:right w:w="0" w:type="dxa"/>
        </w:tblCellMar>
      </w:tblPr>
      <w:tblGrid>
        <w:gridCol w:w="2345"/>
        <w:gridCol w:w="90"/>
        <w:gridCol w:w="1848"/>
        <w:gridCol w:w="91"/>
        <w:gridCol w:w="90"/>
        <w:gridCol w:w="1940"/>
        <w:gridCol w:w="120"/>
      </w:tblGrid>
      <w:tr>
        <w:trPr/>
        <w:tc>
          <w:tcPr>
            <w:tcW w:w="23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 2026</w:t>
            </w:r>
          </w:p>
        </w:tc>
        <w:tc>
          <w:tcPr>
            <w:tcW w:w="90" w:type="dxa"/>
            <w:tcBorders/>
            <w:vAlign w:val="center"/>
          </w:tcPr>
          <w:p>
            <w:pPr>
              <w:pStyle w:val="TableContents"/>
              <w:bidi w:val="0"/>
              <w:spacing w:before="0" w:after="283"/>
              <w:jc w:val="center"/>
              <w:rPr/>
            </w:pPr>
            <w:r>
              <w:rPr/>
              <w:t> </w:t>
            </w:r>
          </w:p>
        </w:tc>
        <w:tc>
          <w:tcPr>
            <w:tcW w:w="1940"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 2025</w:t>
            </w:r>
          </w:p>
        </w:tc>
        <w:tc>
          <w:tcPr>
            <w:tcW w:w="120"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jc w:val="left"/>
              <w:rPr>
                <w:color w:val="000000"/>
              </w:rPr>
            </w:pPr>
            <w:r>
              <w:rPr>
                <w:color w:val="000000"/>
              </w:rPr>
              <w:t>Expected volatility</w:t>
            </w:r>
          </w:p>
        </w:tc>
        <w:tc>
          <w:tcPr>
            <w:tcW w:w="90" w:type="dxa"/>
            <w:tcBorders/>
            <w:shd w:fill="CCEEFF" w:val="clear"/>
            <w:vAlign w:val="bottom"/>
          </w:tcPr>
          <w:p>
            <w:pPr>
              <w:pStyle w:val="TableContents"/>
              <w:bidi w:val="0"/>
              <w:spacing w:before="0" w:after="283"/>
              <w:jc w:val="left"/>
              <w:rPr/>
            </w:pPr>
            <w:r>
              <w:rPr/>
              <w:t> </w:t>
            </w:r>
          </w:p>
        </w:tc>
        <w:tc>
          <w:tcPr>
            <w:tcW w:w="1848" w:type="dxa"/>
            <w:tcBorders/>
            <w:shd w:fill="CCEEFF" w:val="clear"/>
            <w:vAlign w:val="bottom"/>
          </w:tcPr>
          <w:p>
            <w:pPr>
              <w:pStyle w:val="TableContents"/>
              <w:bidi w:val="0"/>
              <w:spacing w:before="0" w:after="0"/>
              <w:jc w:val="right"/>
              <w:rPr>
                <w:color w:val="000000"/>
              </w:rPr>
            </w:pPr>
            <w:r>
              <w:rPr>
                <w:color w:val="000000"/>
              </w:rPr>
              <w:t>26.35% to 29.24%</w:t>
            </w:r>
          </w:p>
        </w:tc>
        <w:tc>
          <w:tcPr>
            <w:tcW w:w="9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0" w:type="dxa"/>
            <w:tcBorders/>
            <w:shd w:fill="CCEEFF" w:val="clear"/>
            <w:vAlign w:val="bottom"/>
          </w:tcPr>
          <w:p>
            <w:pPr>
              <w:pStyle w:val="TableContents"/>
              <w:bidi w:val="0"/>
              <w:spacing w:before="0" w:after="0"/>
              <w:jc w:val="right"/>
              <w:rPr>
                <w:color w:val="000000"/>
              </w:rPr>
            </w:pPr>
            <w:r>
              <w:rPr>
                <w:color w:val="000000"/>
              </w:rPr>
              <w:t>31.31% to 36.08%</w:t>
            </w:r>
          </w:p>
        </w:tc>
        <w:tc>
          <w:tcPr>
            <w:tcW w:w="120"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jc w:val="left"/>
              <w:rPr>
                <w:color w:val="000000"/>
              </w:rPr>
            </w:pPr>
            <w:r>
              <w:rPr>
                <w:color w:val="000000"/>
              </w:rPr>
              <w:t>Expected dividend yield</w:t>
            </w:r>
          </w:p>
        </w:tc>
        <w:tc>
          <w:tcPr>
            <w:tcW w:w="90" w:type="dxa"/>
            <w:tcBorders/>
            <w:vAlign w:val="bottom"/>
          </w:tcPr>
          <w:p>
            <w:pPr>
              <w:pStyle w:val="TableContents"/>
              <w:bidi w:val="0"/>
              <w:spacing w:before="0" w:after="283"/>
              <w:jc w:val="left"/>
              <w:rPr/>
            </w:pPr>
            <w:r>
              <w:rPr/>
              <w:t> </w:t>
            </w:r>
          </w:p>
        </w:tc>
        <w:tc>
          <w:tcPr>
            <w:tcW w:w="1848" w:type="dxa"/>
            <w:tcBorders/>
            <w:vAlign w:val="bottom"/>
          </w:tcPr>
          <w:p>
            <w:pPr>
              <w:pStyle w:val="TableContents"/>
              <w:bidi w:val="0"/>
              <w:spacing w:before="0" w:after="0"/>
              <w:jc w:val="right"/>
              <w:rPr>
                <w:color w:val="000000"/>
              </w:rPr>
            </w:pPr>
            <w:r>
              <w:rPr>
                <w:color w:val="000000"/>
              </w:rPr>
              <w:t>1.59% to 1.78%</w:t>
            </w:r>
          </w:p>
        </w:tc>
        <w:tc>
          <w:tcPr>
            <w:tcW w:w="9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0"/>
              <w:jc w:val="right"/>
              <w:rPr>
                <w:color w:val="000000"/>
              </w:rPr>
            </w:pPr>
            <w:r>
              <w:rPr>
                <w:color w:val="000000"/>
              </w:rPr>
              <w:t>1.70% to 1.89%</w:t>
            </w:r>
          </w:p>
        </w:tc>
        <w:tc>
          <w:tcPr>
            <w:tcW w:w="120"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jc w:val="left"/>
              <w:rPr>
                <w:color w:val="000000"/>
              </w:rPr>
            </w:pPr>
            <w:r>
              <w:rPr>
                <w:color w:val="000000"/>
              </w:rPr>
              <w:t>Expected term (years)</w:t>
            </w:r>
          </w:p>
        </w:tc>
        <w:tc>
          <w:tcPr>
            <w:tcW w:w="90" w:type="dxa"/>
            <w:tcBorders/>
            <w:shd w:fill="CCEEFF" w:val="clear"/>
            <w:vAlign w:val="bottom"/>
          </w:tcPr>
          <w:p>
            <w:pPr>
              <w:pStyle w:val="TableContents"/>
              <w:bidi w:val="0"/>
              <w:spacing w:before="0" w:after="283"/>
              <w:jc w:val="left"/>
              <w:rPr/>
            </w:pPr>
            <w:r>
              <w:rPr/>
              <w:t> </w:t>
            </w:r>
          </w:p>
        </w:tc>
        <w:tc>
          <w:tcPr>
            <w:tcW w:w="1848" w:type="dxa"/>
            <w:tcBorders/>
            <w:shd w:fill="CCEEFF" w:val="clear"/>
            <w:vAlign w:val="bottom"/>
          </w:tcPr>
          <w:p>
            <w:pPr>
              <w:pStyle w:val="TableContents"/>
              <w:bidi w:val="0"/>
              <w:spacing w:before="0" w:after="0"/>
              <w:jc w:val="right"/>
              <w:rPr>
                <w:color w:val="000000"/>
              </w:rPr>
            </w:pPr>
            <w:r>
              <w:rPr>
                <w:color w:val="000000"/>
              </w:rPr>
              <w:t>0.5</w:t>
            </w:r>
          </w:p>
        </w:tc>
        <w:tc>
          <w:tcPr>
            <w:tcW w:w="9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40" w:type="dxa"/>
            <w:tcBorders/>
            <w:shd w:fill="CCEEFF" w:val="clear"/>
            <w:vAlign w:val="bottom"/>
          </w:tcPr>
          <w:p>
            <w:pPr>
              <w:pStyle w:val="TableContents"/>
              <w:bidi w:val="0"/>
              <w:spacing w:before="0" w:after="0"/>
              <w:jc w:val="right"/>
              <w:rPr>
                <w:color w:val="000000"/>
              </w:rPr>
            </w:pPr>
            <w:r>
              <w:rPr>
                <w:color w:val="000000"/>
              </w:rPr>
              <w:t>0.5</w:t>
            </w:r>
          </w:p>
        </w:tc>
        <w:tc>
          <w:tcPr>
            <w:tcW w:w="120"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jc w:val="left"/>
              <w:rPr>
                <w:color w:val="000000"/>
              </w:rPr>
            </w:pPr>
            <w:r>
              <w:rPr>
                <w:color w:val="000000"/>
              </w:rPr>
              <w:t>Risk-free interest rate</w:t>
            </w:r>
          </w:p>
        </w:tc>
        <w:tc>
          <w:tcPr>
            <w:tcW w:w="90" w:type="dxa"/>
            <w:tcBorders/>
            <w:vAlign w:val="bottom"/>
          </w:tcPr>
          <w:p>
            <w:pPr>
              <w:pStyle w:val="TableContents"/>
              <w:bidi w:val="0"/>
              <w:spacing w:before="0" w:after="283"/>
              <w:jc w:val="left"/>
              <w:rPr/>
            </w:pPr>
            <w:r>
              <w:rPr/>
              <w:t> </w:t>
            </w:r>
          </w:p>
        </w:tc>
        <w:tc>
          <w:tcPr>
            <w:tcW w:w="1848" w:type="dxa"/>
            <w:tcBorders/>
            <w:vAlign w:val="bottom"/>
          </w:tcPr>
          <w:p>
            <w:pPr>
              <w:pStyle w:val="TableContents"/>
              <w:bidi w:val="0"/>
              <w:spacing w:before="0" w:after="0"/>
              <w:jc w:val="right"/>
              <w:rPr>
                <w:color w:val="000000"/>
              </w:rPr>
            </w:pPr>
            <w:r>
              <w:rPr>
                <w:color w:val="000000"/>
              </w:rPr>
              <w:t>3.59% to 4.12%</w:t>
            </w:r>
          </w:p>
        </w:tc>
        <w:tc>
          <w:tcPr>
            <w:tcW w:w="9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0"/>
              <w:jc w:val="right"/>
              <w:rPr>
                <w:color w:val="000000"/>
              </w:rPr>
            </w:pPr>
            <w:r>
              <w:rPr>
                <w:color w:val="000000"/>
              </w:rPr>
              <w:t>4.24% to 5.02%</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9.  OFF-BALANCE-SHEET ACTIVITIES, COMMITMENTS AND CONTINGENCIES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Financial instruments with off-balance-sheet risk</w:t>
      </w:r>
      <w:r>
        <w:rPr>
          <w:rFonts w:ascii="Times New Roman" w:hAnsi="Times New Roman"/>
          <w:color w:val="000000"/>
          <w:sz w:val="20"/>
          <w:shd w:fill="FFFFFF" w:val="clear"/>
        </w:rPr>
        <w:t xml:space="preserve"> - The Company is a party to financial instruments with off-balance-sheet risk in the normal course of business to meet the financing needs of its customers. These financial instruments include commitments to extend credit and standby letters of credit. Such commitments involve, to varying degrees, elements of credit and interest rate risk in excess of the amount recognized in the consolidated financial statements. The Company’s exposure to credit loss is represented by the contractual amount of these commitments. The Company follows the same credit policies in making commitments as it does for recorded instruments.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Financial instruments whose contract amounts represent credit risk outstanding at the dates indicated follow (dollars in thousands):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87" w:name="zbba9e609fc334e8d87c9c4a116c84aee"/>
      <w:bookmarkStart w:id="88" w:name="zbba9e609fc334e8d87c9c4a116c84aee"/>
      <w:bookmarkEnd w:id="88"/>
    </w:p>
    <w:tbl>
      <w:tblPr>
        <w:tblW w:w="10189" w:type="dxa"/>
        <w:jc w:val="left"/>
        <w:tblInd w:w="0" w:type="dxa"/>
        <w:tblLayout w:type="fixed"/>
        <w:tblCellMar>
          <w:top w:w="0" w:type="dxa"/>
          <w:left w:w="0" w:type="dxa"/>
          <w:bottom w:w="0" w:type="dxa"/>
          <w:right w:w="0" w:type="dxa"/>
        </w:tblCellMar>
      </w:tblPr>
      <w:tblGrid>
        <w:gridCol w:w="7340"/>
        <w:gridCol w:w="90"/>
        <w:gridCol w:w="170"/>
        <w:gridCol w:w="830"/>
        <w:gridCol w:w="90"/>
        <w:gridCol w:w="90"/>
        <w:gridCol w:w="245"/>
        <w:gridCol w:w="1199"/>
        <w:gridCol w:w="135"/>
      </w:tblGrid>
      <w:tr>
        <w:trPr/>
        <w:tc>
          <w:tcPr>
            <w:tcW w:w="734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June 30,</w:t>
            </w:r>
          </w:p>
          <w:p>
            <w:pPr>
              <w:pStyle w:val="TableContents"/>
              <w:bidi w:val="0"/>
              <w:spacing w:before="0" w:after="0"/>
              <w:jc w:val="center"/>
              <w:rPr>
                <w:b/>
                <w:color w:val="000000"/>
              </w:rPr>
            </w:pPr>
            <w:r>
              <w:rPr>
                <w:b/>
                <w:color w:val="000000"/>
              </w:rPr>
              <w:t>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pPr>
            <w:r>
              <w:rPr/>
              <w:t> </w:t>
            </w:r>
          </w:p>
        </w:tc>
      </w:tr>
      <w:tr>
        <w:trPr/>
        <w:tc>
          <w:tcPr>
            <w:tcW w:w="7340" w:type="dxa"/>
            <w:tcBorders/>
            <w:shd w:fill="CCEEFF" w:val="clear"/>
            <w:vAlign w:val="bottom"/>
          </w:tcPr>
          <w:p>
            <w:pPr>
              <w:pStyle w:val="TableContents"/>
              <w:bidi w:val="0"/>
              <w:spacing w:before="0" w:after="0"/>
              <w:ind w:left="180" w:right="0" w:hanging="180"/>
              <w:jc w:val="left"/>
              <w:rPr>
                <w:color w:val="000000"/>
              </w:rPr>
            </w:pPr>
            <w:r>
              <w:rPr>
                <w:color w:val="000000"/>
              </w:rPr>
              <w:t>Commitments to grant loans and unfunded commitments under lines of credit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737,832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1199" w:type="dxa"/>
            <w:tcBorders/>
            <w:shd w:fill="CCEEFF" w:val="clear"/>
            <w:vAlign w:val="bottom"/>
          </w:tcPr>
          <w:p>
            <w:pPr>
              <w:pStyle w:val="TableContents"/>
              <w:bidi w:val="0"/>
              <w:spacing w:before="0" w:after="0"/>
              <w:jc w:val="right"/>
              <w:rPr>
                <w:color w:val="000000"/>
              </w:rPr>
            </w:pPr>
            <w:r>
              <w:rPr>
                <w:color w:val="000000"/>
              </w:rPr>
              <w:t>554,286</w:t>
            </w:r>
          </w:p>
        </w:tc>
        <w:tc>
          <w:tcPr>
            <w:tcW w:w="135" w:type="dxa"/>
            <w:tcBorders/>
            <w:shd w:fill="CCEEFF" w:val="clear"/>
            <w:vAlign w:val="bottom"/>
          </w:tcPr>
          <w:p>
            <w:pPr>
              <w:pStyle w:val="TableContents"/>
              <w:bidi w:val="0"/>
              <w:spacing w:before="0" w:after="283"/>
              <w:jc w:val="left"/>
              <w:rPr/>
            </w:pPr>
            <w:r>
              <w:rPr/>
              <w:t> </w:t>
            </w:r>
          </w:p>
        </w:tc>
      </w:tr>
      <w:tr>
        <w:trPr/>
        <w:tc>
          <w:tcPr>
            <w:tcW w:w="7340" w:type="dxa"/>
            <w:tcBorders/>
            <w:vAlign w:val="bottom"/>
          </w:tcPr>
          <w:p>
            <w:pPr>
              <w:pStyle w:val="TableContents"/>
              <w:bidi w:val="0"/>
              <w:spacing w:before="0" w:after="0"/>
              <w:ind w:left="180" w:right="0" w:hanging="180"/>
              <w:jc w:val="left"/>
              <w:rPr>
                <w:color w:val="000000"/>
              </w:rPr>
            </w:pPr>
            <w:r>
              <w:rPr>
                <w:color w:val="000000"/>
              </w:rPr>
              <w:t>Standby letters of credit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36,348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0"/>
              <w:jc w:val="right"/>
              <w:rPr>
                <w:color w:val="000000"/>
              </w:rPr>
            </w:pPr>
            <w:r>
              <w:rPr>
                <w:color w:val="000000"/>
              </w:rPr>
              <w:t>30,681</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FHLB Letters of Credit</w:t>
      </w:r>
      <w:r>
        <w:rPr>
          <w:rFonts w:ascii="Times New Roman" w:hAnsi="Times New Roman"/>
          <w:color w:val="000000"/>
          <w:sz w:val="20"/>
          <w:shd w:fill="FFFFFF" w:val="clear"/>
        </w:rPr>
        <w:t xml:space="preserve"> - The Company may use FHLB letters of credit to pledge to certain public deposits. At each of June 30, 2026 and December 31, 2025 there were no FHLB letters of credit outstanding.</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u w:val="single"/>
          <w:shd w:fill="FFFFFF" w:val="clear"/>
        </w:rPr>
        <w:t>Litigation</w:t>
      </w:r>
      <w:r>
        <w:rPr>
          <w:rFonts w:ascii="Times New Roman" w:hAnsi="Times New Roman"/>
          <w:color w:val="000000"/>
          <w:sz w:val="20"/>
          <w:shd w:fill="FFFFFF" w:val="clear"/>
        </w:rPr>
        <w:t xml:space="preserve"> – The Company is a defendant in legal actions arising from time to time in the normal course of business. Management believes that the ultimate liability, if any, arising from these matters will not materially affect the consolidated financial statements, based on information known as of the date the consolidated financial statements were issued.</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10.  CAPITAL AND REGULATORY MATTERS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June 30, 2026 and December 31, 2025, that the Company and its bank subsidiary met all capital adequacy requirements to which they are subject.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and December 31, 2025,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June 30, 2026 that management believes have changed the bank subsidiary’s category.</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bank subsidiary’s actual capital amounts and ratios at the dates indicated follows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9" w:name="zec174ab8739e4c2386f62a133d5cbedd"/>
      <w:bookmarkStart w:id="90" w:name="zec174ab8739e4c2386f62a133d5cbedd"/>
      <w:bookmarkEnd w:id="90"/>
    </w:p>
    <w:tbl>
      <w:tblPr>
        <w:tblW w:w="10205" w:type="dxa"/>
        <w:jc w:val="left"/>
        <w:tblInd w:w="0" w:type="dxa"/>
        <w:tblLayout w:type="fixed"/>
        <w:tblCellMar>
          <w:top w:w="0" w:type="dxa"/>
          <w:left w:w="0" w:type="dxa"/>
          <w:bottom w:w="0" w:type="dxa"/>
          <w:right w:w="0" w:type="dxa"/>
        </w:tblCellMar>
      </w:tblPr>
      <w:tblGrid>
        <w:gridCol w:w="3025"/>
        <w:gridCol w:w="90"/>
        <w:gridCol w:w="170"/>
        <w:gridCol w:w="830"/>
        <w:gridCol w:w="90"/>
        <w:gridCol w:w="90"/>
        <w:gridCol w:w="90"/>
        <w:gridCol w:w="590"/>
        <w:gridCol w:w="245"/>
        <w:gridCol w:w="90"/>
        <w:gridCol w:w="180"/>
        <w:gridCol w:w="880"/>
        <w:gridCol w:w="95"/>
        <w:gridCol w:w="95"/>
        <w:gridCol w:w="95"/>
        <w:gridCol w:w="625"/>
        <w:gridCol w:w="245"/>
        <w:gridCol w:w="90"/>
        <w:gridCol w:w="209"/>
        <w:gridCol w:w="1025"/>
        <w:gridCol w:w="111"/>
        <w:gridCol w:w="111"/>
        <w:gridCol w:w="111"/>
        <w:gridCol w:w="729"/>
        <w:gridCol w:w="294"/>
      </w:tblGrid>
      <w:tr>
        <w:trPr/>
        <w:tc>
          <w:tcPr>
            <w:tcW w:w="302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Actual</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70" w:type="dxa"/>
            <w:gridSpan w:val="6"/>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Minimum Required</w:t>
            </w:r>
          </w:p>
          <w:p>
            <w:pPr>
              <w:pStyle w:val="TableContents"/>
              <w:bidi w:val="0"/>
              <w:spacing w:before="0" w:after="0"/>
              <w:jc w:val="center"/>
              <w:rPr>
                <w:b/>
                <w:color w:val="000000"/>
              </w:rPr>
            </w:pPr>
            <w:r>
              <w:rPr>
                <w:b/>
                <w:color w:val="000000"/>
              </w:rPr>
              <w:t>Under BASEL III</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296" w:type="dxa"/>
            <w:gridSpan w:val="6"/>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To Be Well Capitalized</w:t>
            </w:r>
          </w:p>
          <w:p>
            <w:pPr>
              <w:pStyle w:val="TableContents"/>
              <w:bidi w:val="0"/>
              <w:spacing w:before="0" w:after="0"/>
              <w:jc w:val="center"/>
              <w:rPr>
                <w:b/>
                <w:color w:val="000000"/>
              </w:rPr>
            </w:pPr>
            <w:r>
              <w:rPr>
                <w:b/>
                <w:color w:val="000000"/>
              </w:rPr>
              <w:t>Under Prompt Corrective</w:t>
            </w:r>
          </w:p>
          <w:p>
            <w:pPr>
              <w:pStyle w:val="TableContents"/>
              <w:bidi w:val="0"/>
              <w:spacing w:before="0" w:after="0"/>
              <w:jc w:val="center"/>
              <w:rPr>
                <w:b/>
                <w:color w:val="000000"/>
              </w:rPr>
            </w:pPr>
            <w:r>
              <w:rPr>
                <w:b/>
                <w:color w:val="000000"/>
              </w:rPr>
              <w:t>Action Provisions</w:t>
            </w:r>
          </w:p>
        </w:tc>
        <w:tc>
          <w:tcPr>
            <w:tcW w:w="294" w:type="dxa"/>
            <w:tcBorders/>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94" w:type="dxa"/>
            <w:tcBorders/>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u w:val="single"/>
              </w:rPr>
            </w:pPr>
            <w:r>
              <w:rPr>
                <w:color w:val="000000"/>
                <w:u w:val="single"/>
              </w:rPr>
              <w:t>June 30, 2026</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4" w:type="dxa"/>
            <w:gridSpan w:val="2"/>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0" w:type="dxa"/>
            <w:gridSpan w:val="2"/>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rPr>
            </w:pPr>
            <w:r>
              <w:rPr>
                <w:color w:val="000000"/>
              </w:rPr>
              <w:t>Total Capital to Risk Weighted Assets: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2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4" w:type="dxa"/>
            <w:gridSpan w:val="2"/>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0" w:type="dxa"/>
            <w:gridSpan w:val="2"/>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r>
      <w:tr>
        <w:trPr/>
        <w:tc>
          <w:tcPr>
            <w:tcW w:w="3025" w:type="dxa"/>
            <w:tcBorders/>
            <w:shd w:fill="CCEEFF" w:val="clear"/>
            <w:vAlign w:val="bottom"/>
          </w:tcPr>
          <w:p>
            <w:pPr>
              <w:pStyle w:val="TableContents"/>
              <w:bidi w:val="0"/>
              <w:spacing w:before="0" w:after="0"/>
              <w:ind w:left="180" w:right="0" w:hanging="180"/>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706,237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16.54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color w:val="000000"/>
              </w:rPr>
            </w:pPr>
            <w:r>
              <w:rPr>
                <w:color w:val="000000"/>
              </w:rPr>
              <w:t>$</w:t>
            </w:r>
          </w:p>
        </w:tc>
        <w:tc>
          <w:tcPr>
            <w:tcW w:w="880" w:type="dxa"/>
            <w:tcBorders/>
            <w:shd w:fill="CCEEFF" w:val="clear"/>
            <w:vAlign w:val="bottom"/>
          </w:tcPr>
          <w:p>
            <w:pPr>
              <w:pStyle w:val="TableContents"/>
              <w:bidi w:val="0"/>
              <w:spacing w:before="0" w:after="0"/>
              <w:jc w:val="right"/>
              <w:rPr>
                <w:color w:val="000000"/>
              </w:rPr>
            </w:pPr>
            <w:r>
              <w:rPr>
                <w:color w:val="000000"/>
              </w:rPr>
              <w:t>448,427</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10.50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color w:val="000000"/>
              </w:rPr>
            </w:pPr>
            <w:r>
              <w:rPr>
                <w:color w:val="000000"/>
              </w:rPr>
              <w:t>N/A</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N/A</w:t>
            </w:r>
          </w:p>
        </w:tc>
        <w:tc>
          <w:tcPr>
            <w:tcW w:w="294" w:type="dxa"/>
            <w:tcBorders/>
            <w:shd w:fill="CCEEFF" w:val="clear"/>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rPr>
            </w:pPr>
            <w:r>
              <w:rPr>
                <w:color w:val="000000"/>
              </w:rPr>
              <w:t>City 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619,057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14.50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448,169</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10.50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0"/>
              <w:jc w:val="left"/>
              <w:rPr>
                <w:color w:val="000000"/>
              </w:rPr>
            </w:pPr>
            <w:r>
              <w:rPr>
                <w:color w:val="000000"/>
              </w:rPr>
              <w:t>$</w:t>
            </w:r>
          </w:p>
        </w:tc>
        <w:tc>
          <w:tcPr>
            <w:tcW w:w="1025" w:type="dxa"/>
            <w:tcBorders/>
            <w:vAlign w:val="bottom"/>
          </w:tcPr>
          <w:p>
            <w:pPr>
              <w:pStyle w:val="TableContents"/>
              <w:bidi w:val="0"/>
              <w:spacing w:before="0" w:after="0"/>
              <w:jc w:val="right"/>
              <w:rPr>
                <w:color w:val="000000"/>
              </w:rPr>
            </w:pPr>
            <w:r>
              <w:rPr>
                <w:color w:val="000000"/>
              </w:rPr>
              <w:t>426,794</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10.00</w:t>
            </w:r>
          </w:p>
        </w:tc>
        <w:tc>
          <w:tcPr>
            <w:tcW w:w="294" w:type="dxa"/>
            <w:tcBorders/>
            <w:vAlign w:val="bottom"/>
          </w:tcPr>
          <w:p>
            <w:pPr>
              <w:pStyle w:val="TableContents"/>
              <w:bidi w:val="0"/>
              <w:spacing w:before="0" w:after="0"/>
              <w:jc w:val="left"/>
              <w:rPr>
                <w:color w:val="000000"/>
              </w:rPr>
            </w:pPr>
            <w:r>
              <w:rPr>
                <w:color w:val="000000"/>
              </w:rPr>
              <w:t>%</w:t>
            </w:r>
          </w:p>
        </w:tc>
      </w:tr>
      <w:tr>
        <w:trPr/>
        <w:tc>
          <w:tcPr>
            <w:tcW w:w="302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94" w:type="dxa"/>
            <w:tcBorders/>
            <w:shd w:fill="CCEEFF" w:val="clear"/>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rPr>
            </w:pPr>
            <w:r>
              <w:rPr>
                <w:color w:val="000000"/>
              </w:rPr>
              <w:t>Tier 1 Capital to Risk Weighted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94" w:type="dxa"/>
            <w:tcBorders/>
            <w:vAlign w:val="bottom"/>
          </w:tcPr>
          <w:p>
            <w:pPr>
              <w:pStyle w:val="TableContents"/>
              <w:bidi w:val="0"/>
              <w:spacing w:before="0" w:after="283"/>
              <w:jc w:val="left"/>
              <w:rPr/>
            </w:pPr>
            <w:r>
              <w:rPr/>
              <w:t> </w:t>
            </w:r>
          </w:p>
        </w:tc>
      </w:tr>
      <w:tr>
        <w:trPr/>
        <w:tc>
          <w:tcPr>
            <w:tcW w:w="3025" w:type="dxa"/>
            <w:tcBorders/>
            <w:shd w:fill="CCEEFF" w:val="clear"/>
            <w:vAlign w:val="bottom"/>
          </w:tcPr>
          <w:p>
            <w:pPr>
              <w:pStyle w:val="TableContents"/>
              <w:bidi w:val="0"/>
              <w:spacing w:before="0" w:after="0"/>
              <w:ind w:left="180" w:right="0" w:hanging="180"/>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647,574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15.16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363,012</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8.50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color w:val="000000"/>
              </w:rPr>
            </w:pPr>
            <w:r>
              <w:rPr>
                <w:color w:val="000000"/>
              </w:rPr>
              <w:t>N/A</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N/A</w:t>
            </w:r>
          </w:p>
        </w:tc>
        <w:tc>
          <w:tcPr>
            <w:tcW w:w="294" w:type="dxa"/>
            <w:tcBorders/>
            <w:shd w:fill="CCEEFF" w:val="clear"/>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rPr>
            </w:pPr>
            <w:r>
              <w:rPr>
                <w:color w:val="000000"/>
              </w:rPr>
              <w:t>City 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571,674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13.39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362,803</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8.50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color w:val="000000"/>
              </w:rPr>
            </w:pPr>
            <w:r>
              <w:rPr>
                <w:color w:val="000000"/>
              </w:rPr>
              <w:t>341,435</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8.00</w:t>
            </w:r>
          </w:p>
        </w:tc>
        <w:tc>
          <w:tcPr>
            <w:tcW w:w="294" w:type="dxa"/>
            <w:tcBorders/>
            <w:vAlign w:val="bottom"/>
          </w:tcPr>
          <w:p>
            <w:pPr>
              <w:pStyle w:val="TableContents"/>
              <w:bidi w:val="0"/>
              <w:spacing w:before="0" w:after="0"/>
              <w:jc w:val="left"/>
              <w:rPr>
                <w:color w:val="000000"/>
              </w:rPr>
            </w:pPr>
            <w:r>
              <w:rPr>
                <w:color w:val="000000"/>
              </w:rPr>
              <w:t>%</w:t>
            </w:r>
          </w:p>
        </w:tc>
      </w:tr>
      <w:tr>
        <w:trPr/>
        <w:tc>
          <w:tcPr>
            <w:tcW w:w="302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94" w:type="dxa"/>
            <w:tcBorders/>
            <w:shd w:fill="CCEEFF" w:val="clear"/>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rPr>
            </w:pPr>
            <w:r>
              <w:rPr>
                <w:color w:val="000000"/>
              </w:rPr>
              <w:t>Common Equity Tier 1 to Risk Weighted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94" w:type="dxa"/>
            <w:tcBorders/>
            <w:vAlign w:val="bottom"/>
          </w:tcPr>
          <w:p>
            <w:pPr>
              <w:pStyle w:val="TableContents"/>
              <w:bidi w:val="0"/>
              <w:spacing w:before="0" w:after="283"/>
              <w:jc w:val="left"/>
              <w:rPr/>
            </w:pPr>
            <w:r>
              <w:rPr/>
              <w:t> </w:t>
            </w:r>
          </w:p>
        </w:tc>
      </w:tr>
      <w:tr>
        <w:trPr/>
        <w:tc>
          <w:tcPr>
            <w:tcW w:w="3025" w:type="dxa"/>
            <w:tcBorders/>
            <w:shd w:fill="CCEEFF" w:val="clear"/>
            <w:vAlign w:val="bottom"/>
          </w:tcPr>
          <w:p>
            <w:pPr>
              <w:pStyle w:val="TableContents"/>
              <w:bidi w:val="0"/>
              <w:spacing w:before="0" w:after="0"/>
              <w:ind w:left="180" w:right="0" w:hanging="180"/>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602,574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14.11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298,951</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7.00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color w:val="000000"/>
              </w:rPr>
            </w:pPr>
            <w:r>
              <w:rPr>
                <w:color w:val="000000"/>
              </w:rPr>
              <w:t>N/A</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N/A</w:t>
            </w:r>
          </w:p>
        </w:tc>
        <w:tc>
          <w:tcPr>
            <w:tcW w:w="294" w:type="dxa"/>
            <w:tcBorders/>
            <w:shd w:fill="CCEEFF" w:val="clear"/>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rPr>
            </w:pPr>
            <w:r>
              <w:rPr>
                <w:color w:val="000000"/>
              </w:rPr>
              <w:t>City 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571,674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13.39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298,779</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7.00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color w:val="000000"/>
              </w:rPr>
            </w:pPr>
            <w:r>
              <w:rPr>
                <w:color w:val="000000"/>
              </w:rPr>
              <w:t>277,416</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6.50</w:t>
            </w:r>
          </w:p>
        </w:tc>
        <w:tc>
          <w:tcPr>
            <w:tcW w:w="294" w:type="dxa"/>
            <w:tcBorders/>
            <w:vAlign w:val="bottom"/>
          </w:tcPr>
          <w:p>
            <w:pPr>
              <w:pStyle w:val="TableContents"/>
              <w:bidi w:val="0"/>
              <w:spacing w:before="0" w:after="0"/>
              <w:jc w:val="left"/>
              <w:rPr>
                <w:color w:val="000000"/>
              </w:rPr>
            </w:pPr>
            <w:r>
              <w:rPr>
                <w:color w:val="000000"/>
              </w:rPr>
              <w:t>%</w:t>
            </w:r>
          </w:p>
        </w:tc>
      </w:tr>
      <w:tr>
        <w:trPr/>
        <w:tc>
          <w:tcPr>
            <w:tcW w:w="302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94" w:type="dxa"/>
            <w:tcBorders/>
            <w:shd w:fill="CCEEFF" w:val="clear"/>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rPr>
            </w:pPr>
            <w:r>
              <w:rPr>
                <w:color w:val="000000"/>
              </w:rPr>
              <w:t>Tier 1 Capital to Average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94" w:type="dxa"/>
            <w:tcBorders/>
            <w:vAlign w:val="bottom"/>
          </w:tcPr>
          <w:p>
            <w:pPr>
              <w:pStyle w:val="TableContents"/>
              <w:bidi w:val="0"/>
              <w:spacing w:before="0" w:after="283"/>
              <w:jc w:val="left"/>
              <w:rPr/>
            </w:pPr>
            <w:r>
              <w:rPr/>
              <w:t> </w:t>
            </w:r>
          </w:p>
        </w:tc>
      </w:tr>
      <w:tr>
        <w:trPr/>
        <w:tc>
          <w:tcPr>
            <w:tcW w:w="3025" w:type="dxa"/>
            <w:tcBorders/>
            <w:shd w:fill="CCEEFF" w:val="clear"/>
            <w:vAlign w:val="bottom"/>
          </w:tcPr>
          <w:p>
            <w:pPr>
              <w:pStyle w:val="TableContents"/>
              <w:bidi w:val="0"/>
              <w:spacing w:before="0" w:after="0"/>
              <w:ind w:left="180" w:right="0" w:hanging="180"/>
              <w:jc w:val="left"/>
              <w:rPr>
                <w:color w:val="000000"/>
              </w:rPr>
            </w:pPr>
            <w:r>
              <w:rPr>
                <w:color w:val="000000"/>
              </w:rPr>
              <w:t>Consolidated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647,574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12.21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215,000</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4.00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color w:val="000000"/>
              </w:rPr>
            </w:pPr>
            <w:r>
              <w:rPr>
                <w:color w:val="000000"/>
              </w:rPr>
              <w:t>N/A</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N/A</w:t>
            </w:r>
          </w:p>
        </w:tc>
        <w:tc>
          <w:tcPr>
            <w:tcW w:w="294" w:type="dxa"/>
            <w:tcBorders/>
            <w:shd w:fill="CCEEFF" w:val="clear"/>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rPr>
            </w:pPr>
            <w:r>
              <w:rPr>
                <w:color w:val="000000"/>
              </w:rPr>
              <w:t>City 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571,674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10.79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214,891</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4.00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color w:val="000000"/>
              </w:rPr>
            </w:pPr>
            <w:r>
              <w:rPr>
                <w:color w:val="000000"/>
              </w:rPr>
              <w:t>264,979</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5.00</w:t>
            </w:r>
          </w:p>
        </w:tc>
        <w:tc>
          <w:tcPr>
            <w:tcW w:w="294" w:type="dxa"/>
            <w:tcBorders/>
            <w:vAlign w:val="bottom"/>
          </w:tcPr>
          <w:p>
            <w:pPr>
              <w:pStyle w:val="TableContents"/>
              <w:bidi w:val="0"/>
              <w:spacing w:before="0" w:after="0"/>
              <w:jc w:val="left"/>
              <w:rPr>
                <w:color w:val="000000"/>
              </w:rPr>
            </w:pPr>
            <w:r>
              <w:rPr>
                <w:color w:val="000000"/>
              </w:rPr>
              <w:t>%</w:t>
            </w:r>
          </w:p>
        </w:tc>
      </w:tr>
      <w:tr>
        <w:trPr/>
        <w:tc>
          <w:tcPr>
            <w:tcW w:w="302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94" w:type="dxa"/>
            <w:tcBorders/>
            <w:shd w:fill="CCEEFF" w:val="clear"/>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94" w:type="dxa"/>
            <w:tcBorders/>
            <w:vAlign w:val="bottom"/>
          </w:tcPr>
          <w:p>
            <w:pPr>
              <w:pStyle w:val="TableContents"/>
              <w:bidi w:val="0"/>
              <w:spacing w:before="0" w:after="283"/>
              <w:jc w:val="left"/>
              <w:rPr/>
            </w:pPr>
            <w:r>
              <w:rPr/>
              <w:t> </w:t>
            </w:r>
          </w:p>
        </w:tc>
      </w:tr>
      <w:tr>
        <w:trPr/>
        <w:tc>
          <w:tcPr>
            <w:tcW w:w="3025" w:type="dxa"/>
            <w:tcBorders/>
            <w:shd w:fill="CCEEFF" w:val="clear"/>
            <w:vAlign w:val="bottom"/>
          </w:tcPr>
          <w:p>
            <w:pPr>
              <w:pStyle w:val="TableContents"/>
              <w:bidi w:val="0"/>
              <w:spacing w:before="0" w:after="0"/>
              <w:ind w:left="180" w:right="0" w:hanging="180"/>
              <w:jc w:val="left"/>
              <w:rPr>
                <w:color w:val="000000"/>
              </w:rPr>
            </w:pPr>
            <w:r>
              <w:rPr>
                <w:color w:val="000000"/>
              </w:rPr>
              <w:t>Total Capital to Risk 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94" w:type="dxa"/>
            <w:tcBorders/>
            <w:shd w:fill="CCEEFF" w:val="clear"/>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622,485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17.26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0"/>
              <w:jc w:val="left"/>
              <w:rPr>
                <w:color w:val="000000"/>
              </w:rPr>
            </w:pPr>
            <w:r>
              <w:rPr>
                <w:color w:val="000000"/>
              </w:rPr>
              <w:t>$</w:t>
            </w:r>
          </w:p>
        </w:tc>
        <w:tc>
          <w:tcPr>
            <w:tcW w:w="880" w:type="dxa"/>
            <w:tcBorders/>
            <w:vAlign w:val="bottom"/>
          </w:tcPr>
          <w:p>
            <w:pPr>
              <w:pStyle w:val="TableContents"/>
              <w:bidi w:val="0"/>
              <w:spacing w:before="0" w:after="0"/>
              <w:jc w:val="right"/>
              <w:rPr>
                <w:color w:val="000000"/>
              </w:rPr>
            </w:pPr>
            <w:r>
              <w:rPr>
                <w:color w:val="000000"/>
              </w:rPr>
              <w:t>378,645</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10.50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color w:val="000000"/>
              </w:rPr>
            </w:pPr>
            <w:r>
              <w:rPr>
                <w:color w:val="000000"/>
              </w:rPr>
              <w:t>N/A</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N/A</w:t>
            </w:r>
          </w:p>
        </w:tc>
        <w:tc>
          <w:tcPr>
            <w:tcW w:w="294" w:type="dxa"/>
            <w:tcBorders/>
            <w:vAlign w:val="bottom"/>
          </w:tcPr>
          <w:p>
            <w:pPr>
              <w:pStyle w:val="TableContents"/>
              <w:bidi w:val="0"/>
              <w:spacing w:before="0" w:after="283"/>
              <w:jc w:val="left"/>
              <w:rPr/>
            </w:pPr>
            <w:r>
              <w:rPr/>
              <w:t> </w:t>
            </w:r>
          </w:p>
        </w:tc>
      </w:tr>
      <w:tr>
        <w:trPr/>
        <w:tc>
          <w:tcPr>
            <w:tcW w:w="3025" w:type="dxa"/>
            <w:tcBorders/>
            <w:shd w:fill="CCEEFF" w:val="clear"/>
            <w:vAlign w:val="bottom"/>
          </w:tcPr>
          <w:p>
            <w:pPr>
              <w:pStyle w:val="TableContents"/>
              <w:bidi w:val="0"/>
              <w:spacing w:before="0" w:after="0"/>
              <w:ind w:left="180" w:right="0" w:hanging="180"/>
              <w:jc w:val="left"/>
              <w:rPr>
                <w:color w:val="000000"/>
              </w:rPr>
            </w:pPr>
            <w:r>
              <w:rPr>
                <w:color w:val="000000"/>
              </w:rPr>
              <w:t>City 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537,444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14.91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378,576</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10.50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0"/>
              <w:jc w:val="left"/>
              <w:rPr>
                <w:color w:val="000000"/>
              </w:rPr>
            </w:pPr>
            <w:r>
              <w:rPr>
                <w:color w:val="000000"/>
              </w:rPr>
              <w:t>$</w:t>
            </w:r>
          </w:p>
        </w:tc>
        <w:tc>
          <w:tcPr>
            <w:tcW w:w="1025" w:type="dxa"/>
            <w:tcBorders/>
            <w:shd w:fill="CCEEFF" w:val="clear"/>
            <w:vAlign w:val="bottom"/>
          </w:tcPr>
          <w:p>
            <w:pPr>
              <w:pStyle w:val="TableContents"/>
              <w:bidi w:val="0"/>
              <w:spacing w:before="0" w:after="0"/>
              <w:jc w:val="right"/>
              <w:rPr>
                <w:color w:val="000000"/>
              </w:rPr>
            </w:pPr>
            <w:r>
              <w:rPr>
                <w:color w:val="000000"/>
              </w:rPr>
              <w:t>360,549</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10.00</w:t>
            </w:r>
          </w:p>
        </w:tc>
        <w:tc>
          <w:tcPr>
            <w:tcW w:w="294" w:type="dxa"/>
            <w:tcBorders/>
            <w:shd w:fill="CCEEFF" w:val="clear"/>
            <w:vAlign w:val="bottom"/>
          </w:tcPr>
          <w:p>
            <w:pPr>
              <w:pStyle w:val="TableContents"/>
              <w:bidi w:val="0"/>
              <w:spacing w:before="0" w:after="0"/>
              <w:jc w:val="left"/>
              <w:rPr>
                <w:color w:val="000000"/>
              </w:rPr>
            </w:pPr>
            <w:r>
              <w:rPr>
                <w:color w:val="000000"/>
              </w:rPr>
              <w:t>%</w:t>
            </w:r>
          </w:p>
        </w:tc>
      </w:tr>
      <w:tr>
        <w:trPr/>
        <w:tc>
          <w:tcPr>
            <w:tcW w:w="302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94" w:type="dxa"/>
            <w:tcBorders/>
            <w:vAlign w:val="bottom"/>
          </w:tcPr>
          <w:p>
            <w:pPr>
              <w:pStyle w:val="TableContents"/>
              <w:bidi w:val="0"/>
              <w:spacing w:before="0" w:after="283"/>
              <w:jc w:val="left"/>
              <w:rPr/>
            </w:pPr>
            <w:r>
              <w:rPr/>
              <w:t> </w:t>
            </w:r>
          </w:p>
        </w:tc>
      </w:tr>
      <w:tr>
        <w:trPr/>
        <w:tc>
          <w:tcPr>
            <w:tcW w:w="3025" w:type="dxa"/>
            <w:tcBorders/>
            <w:shd w:fill="CCEEFF" w:val="clear"/>
            <w:vAlign w:val="bottom"/>
          </w:tcPr>
          <w:p>
            <w:pPr>
              <w:pStyle w:val="TableContents"/>
              <w:bidi w:val="0"/>
              <w:spacing w:before="0" w:after="0"/>
              <w:ind w:left="180" w:right="0" w:hanging="180"/>
              <w:jc w:val="left"/>
              <w:rPr>
                <w:color w:val="000000"/>
              </w:rPr>
            </w:pPr>
            <w:r>
              <w:rPr>
                <w:color w:val="000000"/>
              </w:rPr>
              <w:t>Tier 1 Capital to Risk 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94" w:type="dxa"/>
            <w:tcBorders/>
            <w:shd w:fill="CCEEFF" w:val="clear"/>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566,107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15.70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306,522</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8.50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color w:val="000000"/>
              </w:rPr>
            </w:pPr>
            <w:r>
              <w:rPr>
                <w:color w:val="000000"/>
              </w:rPr>
              <w:t>N/A</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N/A</w:t>
            </w:r>
          </w:p>
        </w:tc>
        <w:tc>
          <w:tcPr>
            <w:tcW w:w="294" w:type="dxa"/>
            <w:tcBorders/>
            <w:vAlign w:val="bottom"/>
          </w:tcPr>
          <w:p>
            <w:pPr>
              <w:pStyle w:val="TableContents"/>
              <w:bidi w:val="0"/>
              <w:spacing w:before="0" w:after="283"/>
              <w:jc w:val="left"/>
              <w:rPr/>
            </w:pPr>
            <w:r>
              <w:rPr/>
              <w:t> </w:t>
            </w:r>
          </w:p>
        </w:tc>
      </w:tr>
      <w:tr>
        <w:trPr/>
        <w:tc>
          <w:tcPr>
            <w:tcW w:w="3025" w:type="dxa"/>
            <w:tcBorders/>
            <w:shd w:fill="CCEEFF" w:val="clear"/>
            <w:vAlign w:val="bottom"/>
          </w:tcPr>
          <w:p>
            <w:pPr>
              <w:pStyle w:val="TableContents"/>
              <w:bidi w:val="0"/>
              <w:spacing w:before="0" w:after="0"/>
              <w:ind w:left="180" w:right="0" w:hanging="180"/>
              <w:jc w:val="left"/>
              <w:rPr>
                <w:color w:val="000000"/>
              </w:rPr>
            </w:pPr>
            <w:r>
              <w:rPr>
                <w:color w:val="000000"/>
              </w:rPr>
              <w:t>City 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492,355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13.66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306,466</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8.50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color w:val="000000"/>
              </w:rPr>
            </w:pPr>
            <w:r>
              <w:rPr>
                <w:color w:val="000000"/>
              </w:rPr>
              <w:t>288,439</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8.00</w:t>
            </w:r>
          </w:p>
        </w:tc>
        <w:tc>
          <w:tcPr>
            <w:tcW w:w="294" w:type="dxa"/>
            <w:tcBorders/>
            <w:shd w:fill="CCEEFF" w:val="clear"/>
            <w:vAlign w:val="bottom"/>
          </w:tcPr>
          <w:p>
            <w:pPr>
              <w:pStyle w:val="TableContents"/>
              <w:bidi w:val="0"/>
              <w:spacing w:before="0" w:after="0"/>
              <w:jc w:val="left"/>
              <w:rPr>
                <w:color w:val="000000"/>
              </w:rPr>
            </w:pPr>
            <w:r>
              <w:rPr>
                <w:color w:val="000000"/>
              </w:rPr>
              <w:t>%</w:t>
            </w:r>
          </w:p>
        </w:tc>
      </w:tr>
      <w:tr>
        <w:trPr/>
        <w:tc>
          <w:tcPr>
            <w:tcW w:w="302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94" w:type="dxa"/>
            <w:tcBorders/>
            <w:vAlign w:val="bottom"/>
          </w:tcPr>
          <w:p>
            <w:pPr>
              <w:pStyle w:val="TableContents"/>
              <w:bidi w:val="0"/>
              <w:spacing w:before="0" w:after="283"/>
              <w:jc w:val="left"/>
              <w:rPr/>
            </w:pPr>
            <w:r>
              <w:rPr/>
              <w:t> </w:t>
            </w:r>
          </w:p>
        </w:tc>
      </w:tr>
      <w:tr>
        <w:trPr/>
        <w:tc>
          <w:tcPr>
            <w:tcW w:w="3025" w:type="dxa"/>
            <w:tcBorders/>
            <w:shd w:fill="CCEEFF" w:val="clear"/>
            <w:vAlign w:val="bottom"/>
          </w:tcPr>
          <w:p>
            <w:pPr>
              <w:pStyle w:val="TableContents"/>
              <w:bidi w:val="0"/>
              <w:spacing w:before="0" w:after="0"/>
              <w:ind w:left="180" w:right="0" w:hanging="180"/>
              <w:jc w:val="left"/>
              <w:rPr>
                <w:color w:val="000000"/>
              </w:rPr>
            </w:pPr>
            <w:r>
              <w:rPr>
                <w:color w:val="000000"/>
              </w:rPr>
              <w:t>Common Equity Tier 1 to Risk 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94" w:type="dxa"/>
            <w:tcBorders/>
            <w:shd w:fill="CCEEFF" w:val="clear"/>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521,107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14.45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252,430</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7.00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color w:val="000000"/>
              </w:rPr>
            </w:pPr>
            <w:r>
              <w:rPr>
                <w:color w:val="000000"/>
              </w:rPr>
              <w:t>N/A</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N/A</w:t>
            </w:r>
          </w:p>
        </w:tc>
        <w:tc>
          <w:tcPr>
            <w:tcW w:w="294" w:type="dxa"/>
            <w:tcBorders/>
            <w:vAlign w:val="bottom"/>
          </w:tcPr>
          <w:p>
            <w:pPr>
              <w:pStyle w:val="TableContents"/>
              <w:bidi w:val="0"/>
              <w:spacing w:before="0" w:after="283"/>
              <w:jc w:val="left"/>
              <w:rPr/>
            </w:pPr>
            <w:r>
              <w:rPr/>
              <w:t> </w:t>
            </w:r>
          </w:p>
        </w:tc>
      </w:tr>
      <w:tr>
        <w:trPr/>
        <w:tc>
          <w:tcPr>
            <w:tcW w:w="3025" w:type="dxa"/>
            <w:tcBorders/>
            <w:shd w:fill="CCEEFF" w:val="clear"/>
            <w:vAlign w:val="bottom"/>
          </w:tcPr>
          <w:p>
            <w:pPr>
              <w:pStyle w:val="TableContents"/>
              <w:bidi w:val="0"/>
              <w:spacing w:before="0" w:after="0"/>
              <w:ind w:left="180" w:right="0" w:hanging="180"/>
              <w:jc w:val="left"/>
              <w:rPr>
                <w:color w:val="000000"/>
              </w:rPr>
            </w:pPr>
            <w:r>
              <w:rPr>
                <w:color w:val="000000"/>
              </w:rPr>
              <w:t>City 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492,355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13.66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252,384</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7.00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color w:val="000000"/>
              </w:rPr>
            </w:pPr>
            <w:r>
              <w:rPr>
                <w:color w:val="000000"/>
              </w:rPr>
              <w:t>234,357</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6.50</w:t>
            </w:r>
          </w:p>
        </w:tc>
        <w:tc>
          <w:tcPr>
            <w:tcW w:w="294" w:type="dxa"/>
            <w:tcBorders/>
            <w:shd w:fill="CCEEFF" w:val="clear"/>
            <w:vAlign w:val="bottom"/>
          </w:tcPr>
          <w:p>
            <w:pPr>
              <w:pStyle w:val="TableContents"/>
              <w:bidi w:val="0"/>
              <w:spacing w:before="0" w:after="0"/>
              <w:jc w:val="left"/>
              <w:rPr>
                <w:color w:val="000000"/>
              </w:rPr>
            </w:pPr>
            <w:r>
              <w:rPr>
                <w:color w:val="000000"/>
              </w:rPr>
              <w:t>%</w:t>
            </w:r>
          </w:p>
        </w:tc>
      </w:tr>
      <w:tr>
        <w:trPr/>
        <w:tc>
          <w:tcPr>
            <w:tcW w:w="302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294" w:type="dxa"/>
            <w:tcBorders/>
            <w:vAlign w:val="bottom"/>
          </w:tcPr>
          <w:p>
            <w:pPr>
              <w:pStyle w:val="TableContents"/>
              <w:bidi w:val="0"/>
              <w:spacing w:before="0" w:after="283"/>
              <w:jc w:val="left"/>
              <w:rPr/>
            </w:pPr>
            <w:r>
              <w:rPr/>
              <w:t> </w:t>
            </w:r>
          </w:p>
        </w:tc>
      </w:tr>
      <w:tr>
        <w:trPr/>
        <w:tc>
          <w:tcPr>
            <w:tcW w:w="3025" w:type="dxa"/>
            <w:tcBorders/>
            <w:shd w:fill="CCEEFF" w:val="clear"/>
            <w:vAlign w:val="bottom"/>
          </w:tcPr>
          <w:p>
            <w:pPr>
              <w:pStyle w:val="TableContents"/>
              <w:bidi w:val="0"/>
              <w:spacing w:before="0" w:after="0"/>
              <w:ind w:left="180" w:right="0" w:hanging="180"/>
              <w:jc w:val="left"/>
              <w:rPr>
                <w:color w:val="000000"/>
              </w:rPr>
            </w:pPr>
            <w:r>
              <w:rPr>
                <w:color w:val="000000"/>
              </w:rPr>
              <w:t>Tier 1 Capital to Average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294" w:type="dxa"/>
            <w:tcBorders/>
            <w:shd w:fill="CCEEFF" w:val="clear"/>
            <w:vAlign w:val="bottom"/>
          </w:tcPr>
          <w:p>
            <w:pPr>
              <w:pStyle w:val="TableContents"/>
              <w:bidi w:val="0"/>
              <w:spacing w:before="0" w:after="283"/>
              <w:jc w:val="left"/>
              <w:rPr/>
            </w:pPr>
            <w:r>
              <w:rPr/>
              <w:t> </w:t>
            </w:r>
          </w:p>
        </w:tc>
      </w:tr>
      <w:tr>
        <w:trPr/>
        <w:tc>
          <w:tcPr>
            <w:tcW w:w="3025" w:type="dxa"/>
            <w:tcBorders/>
            <w:vAlign w:val="bottom"/>
          </w:tcPr>
          <w:p>
            <w:pPr>
              <w:pStyle w:val="TableContents"/>
              <w:bidi w:val="0"/>
              <w:spacing w:before="0" w:after="0"/>
              <w:ind w:left="180" w:right="0" w:hanging="180"/>
              <w:jc w:val="left"/>
              <w:rPr>
                <w:color w:val="000000"/>
              </w:rPr>
            </w:pPr>
            <w:r>
              <w:rPr>
                <w:color w:val="000000"/>
              </w:rPr>
              <w:t>Consolidated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566,107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12.53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color w:val="000000"/>
              </w:rPr>
            </w:pPr>
            <w:r>
              <w:rPr>
                <w:color w:val="000000"/>
              </w:rPr>
              <w:t>181,591</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0"/>
              <w:jc w:val="right"/>
              <w:rPr>
                <w:color w:val="000000"/>
              </w:rPr>
            </w:pPr>
            <w:r>
              <w:rPr>
                <w:color w:val="000000"/>
              </w:rPr>
              <w:t>4.00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color w:val="000000"/>
              </w:rPr>
            </w:pPr>
            <w:r>
              <w:rPr>
                <w:color w:val="000000"/>
              </w:rPr>
              <w:t>N/A</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0"/>
              <w:jc w:val="right"/>
              <w:rPr>
                <w:color w:val="000000"/>
              </w:rPr>
            </w:pPr>
            <w:r>
              <w:rPr>
                <w:color w:val="000000"/>
              </w:rPr>
              <w:t>N/A</w:t>
            </w:r>
          </w:p>
        </w:tc>
        <w:tc>
          <w:tcPr>
            <w:tcW w:w="294" w:type="dxa"/>
            <w:tcBorders/>
            <w:vAlign w:val="bottom"/>
          </w:tcPr>
          <w:p>
            <w:pPr>
              <w:pStyle w:val="TableContents"/>
              <w:bidi w:val="0"/>
              <w:spacing w:before="0" w:after="283"/>
              <w:jc w:val="left"/>
              <w:rPr/>
            </w:pPr>
            <w:r>
              <w:rPr/>
              <w:t> </w:t>
            </w:r>
          </w:p>
        </w:tc>
      </w:tr>
      <w:tr>
        <w:trPr/>
        <w:tc>
          <w:tcPr>
            <w:tcW w:w="3025" w:type="dxa"/>
            <w:tcBorders/>
            <w:shd w:fill="CCEEFF" w:val="clear"/>
            <w:vAlign w:val="bottom"/>
          </w:tcPr>
          <w:p>
            <w:pPr>
              <w:pStyle w:val="TableContents"/>
              <w:bidi w:val="0"/>
              <w:spacing w:before="0" w:after="0"/>
              <w:ind w:left="180" w:right="0" w:hanging="180"/>
              <w:jc w:val="left"/>
              <w:rPr>
                <w:color w:val="000000"/>
              </w:rPr>
            </w:pPr>
            <w:r>
              <w:rPr>
                <w:color w:val="000000"/>
              </w:rPr>
              <w:t>City Bank</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492,355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10.90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color w:val="000000"/>
              </w:rPr>
            </w:pPr>
            <w:r>
              <w:rPr>
                <w:color w:val="000000"/>
              </w:rPr>
              <w:t>181,512</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0"/>
              <w:jc w:val="right"/>
              <w:rPr>
                <w:color w:val="000000"/>
              </w:rPr>
            </w:pPr>
            <w:r>
              <w:rPr>
                <w:color w:val="000000"/>
              </w:rPr>
              <w:t>4.00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color w:val="000000"/>
              </w:rPr>
            </w:pPr>
            <w:r>
              <w:rPr>
                <w:color w:val="000000"/>
              </w:rPr>
              <w:t>225,868</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0"/>
              <w:jc w:val="right"/>
              <w:rPr>
                <w:color w:val="000000"/>
              </w:rPr>
            </w:pPr>
            <w:r>
              <w:rPr>
                <w:color w:val="000000"/>
              </w:rPr>
              <w:t>5.00</w:t>
            </w:r>
          </w:p>
        </w:tc>
        <w:tc>
          <w:tcPr>
            <w:tcW w:w="294"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June 30, 2026.</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11.  DERIVATIVES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amounts of the interest rate swaps do not represent amounts exchanged by the parties. The amount exchanged is determined by reference to the notional amounts and the other terms of the individual interest rate swap agreements.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changes in fair value hedges included in the consolidated statements of comprehensive income for the periods indicated (dollars in thousands):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91" w:name="zb595113a3d5a4c8791cb9d13100cee04"/>
      <w:bookmarkStart w:id="92" w:name="zb595113a3d5a4c8791cb9d13100cee04"/>
      <w:bookmarkEnd w:id="92"/>
    </w:p>
    <w:tbl>
      <w:tblPr>
        <w:tblW w:w="10205" w:type="dxa"/>
        <w:jc w:val="left"/>
        <w:tblInd w:w="0" w:type="dxa"/>
        <w:tblLayout w:type="fixed"/>
        <w:tblCellMar>
          <w:top w:w="0" w:type="dxa"/>
          <w:left w:w="0" w:type="dxa"/>
          <w:bottom w:w="0" w:type="dxa"/>
          <w:right w:w="0" w:type="dxa"/>
        </w:tblCellMar>
      </w:tblPr>
      <w:tblGrid>
        <w:gridCol w:w="5510"/>
        <w:gridCol w:w="90"/>
        <w:gridCol w:w="2241"/>
        <w:gridCol w:w="90"/>
        <w:gridCol w:w="211"/>
        <w:gridCol w:w="602"/>
        <w:gridCol w:w="155"/>
        <w:gridCol w:w="111"/>
        <w:gridCol w:w="211"/>
        <w:gridCol w:w="826"/>
        <w:gridCol w:w="158"/>
      </w:tblGrid>
      <w:tr>
        <w:trPr/>
        <w:tc>
          <w:tcPr>
            <w:tcW w:w="551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24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58" w:type="dxa"/>
            <w:tcBorders/>
            <w:vAlign w:val="bottom"/>
          </w:tcPr>
          <w:p>
            <w:pPr>
              <w:pStyle w:val="TableContents"/>
              <w:bidi w:val="0"/>
              <w:spacing w:before="0" w:after="283"/>
              <w:jc w:val="left"/>
              <w:rPr/>
            </w:pPr>
            <w:r>
              <w:rPr/>
              <w:t> </w:t>
            </w:r>
          </w:p>
        </w:tc>
      </w:tr>
      <w:tr>
        <w:trPr/>
        <w:tc>
          <w:tcPr>
            <w:tcW w:w="5510" w:type="dxa"/>
            <w:tcBorders>
              <w:bottom w:val="single" w:sz="12" w:space="0" w:color="000000"/>
            </w:tcBorders>
            <w:tcMar>
              <w:bottom w:w="28" w:type="dxa"/>
            </w:tcMar>
            <w:vAlign w:val="bottom"/>
          </w:tcPr>
          <w:p>
            <w:pPr>
              <w:pStyle w:val="TableContents"/>
              <w:bidi w:val="0"/>
              <w:spacing w:before="0" w:after="0"/>
              <w:ind w:left="180" w:right="0" w:hanging="180"/>
              <w:jc w:val="left"/>
              <w:rPr>
                <w:b/>
                <w:color w:val="000000"/>
              </w:rPr>
            </w:pPr>
            <w:r>
              <w:rPr>
                <w:b/>
                <w:color w:val="000000"/>
              </w:rPr>
              <w:t>Interest Rate Contracts</w:t>
            </w:r>
          </w:p>
        </w:tc>
        <w:tc>
          <w:tcPr>
            <w:tcW w:w="90" w:type="dxa"/>
            <w:tcBorders/>
            <w:vAlign w:val="bottom"/>
          </w:tcPr>
          <w:p>
            <w:pPr>
              <w:pStyle w:val="TableContents"/>
              <w:bidi w:val="0"/>
              <w:spacing w:before="0" w:after="283"/>
              <w:jc w:val="left"/>
              <w:rPr/>
            </w:pPr>
            <w:r>
              <w:rPr/>
              <w:t> </w:t>
            </w:r>
          </w:p>
        </w:tc>
        <w:tc>
          <w:tcPr>
            <w:tcW w:w="2241"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Location</w:t>
            </w:r>
          </w:p>
        </w:tc>
        <w:tc>
          <w:tcPr>
            <w:tcW w:w="90" w:type="dxa"/>
            <w:tcBorders/>
            <w:vAlign w:val="bottom"/>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55"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03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58" w:type="dxa"/>
            <w:tcBorders/>
            <w:vAlign w:val="bottom"/>
          </w:tcPr>
          <w:p>
            <w:pPr>
              <w:pStyle w:val="TableContents"/>
              <w:bidi w:val="0"/>
              <w:spacing w:before="0" w:after="283"/>
              <w:jc w:val="left"/>
              <w:rPr/>
            </w:pPr>
            <w:r>
              <w:rPr/>
              <w:t> </w:t>
            </w:r>
          </w:p>
        </w:tc>
      </w:tr>
      <w:tr>
        <w:trPr/>
        <w:tc>
          <w:tcPr>
            <w:tcW w:w="5510" w:type="dxa"/>
            <w:tcBorders/>
            <w:shd w:fill="CCEEFF" w:val="clear"/>
            <w:vAlign w:val="bottom"/>
          </w:tcPr>
          <w:p>
            <w:pPr>
              <w:pStyle w:val="TableContents"/>
              <w:bidi w:val="0"/>
              <w:spacing w:before="0" w:after="0"/>
              <w:ind w:left="180" w:right="0" w:hanging="180"/>
              <w:jc w:val="left"/>
              <w:rPr>
                <w:color w:val="000000"/>
              </w:rPr>
            </w:pPr>
            <w:r>
              <w:rPr>
                <w:color w:val="000000"/>
              </w:rPr>
              <w:t>Change in fair value of interest rate swaps hedging investment securities</w:t>
            </w:r>
          </w:p>
        </w:tc>
        <w:tc>
          <w:tcPr>
            <w:tcW w:w="90" w:type="dxa"/>
            <w:tcBorders/>
            <w:shd w:fill="CCEEFF" w:val="clear"/>
            <w:vAlign w:val="bottom"/>
          </w:tcPr>
          <w:p>
            <w:pPr>
              <w:pStyle w:val="TableContents"/>
              <w:bidi w:val="0"/>
              <w:spacing w:before="0" w:after="283"/>
              <w:jc w:val="left"/>
              <w:rPr/>
            </w:pPr>
            <w:r>
              <w:rPr/>
              <w:t> </w:t>
            </w:r>
          </w:p>
        </w:tc>
        <w:tc>
          <w:tcPr>
            <w:tcW w:w="2241" w:type="dxa"/>
            <w:tcBorders/>
            <w:shd w:fill="CCEEFF" w:val="clear"/>
            <w:vAlign w:val="bottom"/>
          </w:tcPr>
          <w:p>
            <w:pPr>
              <w:pStyle w:val="TableContents"/>
              <w:bidi w:val="0"/>
              <w:spacing w:before="0" w:after="0"/>
              <w:jc w:val="left"/>
              <w:rPr>
                <w:color w:val="000000"/>
              </w:rPr>
            </w:pPr>
            <w:r>
              <w:rPr>
                <w:color w:val="000000"/>
              </w:rPr>
              <w:t>Other noninterest expense</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color w:val="000000"/>
              </w:rPr>
            </w:pPr>
            <w:r>
              <w:rPr>
                <w:color w:val="000000"/>
              </w:rPr>
              <w:t>$</w:t>
            </w:r>
          </w:p>
        </w:tc>
        <w:tc>
          <w:tcPr>
            <w:tcW w:w="602" w:type="dxa"/>
            <w:tcBorders/>
            <w:shd w:fill="CCEEFF" w:val="clear"/>
            <w:vAlign w:val="bottom"/>
          </w:tcPr>
          <w:p>
            <w:pPr>
              <w:pStyle w:val="TableContents"/>
              <w:bidi w:val="0"/>
              <w:spacing w:before="0" w:after="0"/>
              <w:jc w:val="right"/>
              <w:rPr>
                <w:color w:val="000000"/>
              </w:rPr>
            </w:pPr>
            <w:r>
              <w:rPr>
                <w:color w:val="000000"/>
              </w:rPr>
              <w:t>278</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0"/>
              <w:jc w:val="left"/>
              <w:rPr>
                <w:color w:val="000000"/>
              </w:rPr>
            </w:pPr>
            <w:r>
              <w:rPr>
                <w:color w:val="000000"/>
              </w:rPr>
              <w:t>$</w:t>
            </w:r>
          </w:p>
        </w:tc>
        <w:tc>
          <w:tcPr>
            <w:tcW w:w="826" w:type="dxa"/>
            <w:tcBorders/>
            <w:shd w:fill="CCEEFF" w:val="clear"/>
            <w:vAlign w:val="bottom"/>
          </w:tcPr>
          <w:p>
            <w:pPr>
              <w:pStyle w:val="TableContents"/>
              <w:bidi w:val="0"/>
              <w:spacing w:before="0" w:after="0"/>
              <w:jc w:val="right"/>
              <w:rPr>
                <w:color w:val="000000"/>
              </w:rPr>
            </w:pPr>
            <w:r>
              <w:rPr>
                <w:color w:val="000000"/>
              </w:rPr>
              <w:t>(1,668</w:t>
            </w:r>
          </w:p>
        </w:tc>
        <w:tc>
          <w:tcPr>
            <w:tcW w:w="158" w:type="dxa"/>
            <w:tcBorders/>
            <w:shd w:fill="CCEEFF" w:val="clear"/>
            <w:vAlign w:val="bottom"/>
          </w:tcPr>
          <w:p>
            <w:pPr>
              <w:pStyle w:val="TableContents"/>
              <w:bidi w:val="0"/>
              <w:spacing w:before="0" w:after="0"/>
              <w:jc w:val="left"/>
              <w:rPr>
                <w:color w:val="000000"/>
              </w:rPr>
            </w:pPr>
            <w:r>
              <w:rPr>
                <w:color w:val="000000"/>
              </w:rPr>
              <w:t>)</w:t>
            </w:r>
          </w:p>
        </w:tc>
      </w:tr>
      <w:tr>
        <w:trPr/>
        <w:tc>
          <w:tcPr>
            <w:tcW w:w="5510" w:type="dxa"/>
            <w:tcBorders/>
            <w:vAlign w:val="bottom"/>
          </w:tcPr>
          <w:p>
            <w:pPr>
              <w:pStyle w:val="TableContents"/>
              <w:bidi w:val="0"/>
              <w:spacing w:before="0" w:after="0"/>
              <w:ind w:left="180" w:right="0" w:hanging="180"/>
              <w:jc w:val="left"/>
              <w:rPr>
                <w:color w:val="000000"/>
              </w:rPr>
            </w:pPr>
            <w:r>
              <w:rPr>
                <w:color w:val="000000"/>
              </w:rPr>
              <w:t>Change in fair value of hedged investment securities</w:t>
            </w:r>
          </w:p>
        </w:tc>
        <w:tc>
          <w:tcPr>
            <w:tcW w:w="90" w:type="dxa"/>
            <w:tcBorders/>
            <w:vAlign w:val="bottom"/>
          </w:tcPr>
          <w:p>
            <w:pPr>
              <w:pStyle w:val="TableContents"/>
              <w:bidi w:val="0"/>
              <w:spacing w:before="0" w:after="283"/>
              <w:jc w:val="left"/>
              <w:rPr/>
            </w:pPr>
            <w:r>
              <w:rPr/>
              <w:t> </w:t>
            </w:r>
          </w:p>
        </w:tc>
        <w:tc>
          <w:tcPr>
            <w:tcW w:w="2241" w:type="dxa"/>
            <w:tcBorders/>
            <w:vAlign w:val="bottom"/>
          </w:tcPr>
          <w:p>
            <w:pPr>
              <w:pStyle w:val="TableContents"/>
              <w:bidi w:val="0"/>
              <w:spacing w:before="0" w:after="0"/>
              <w:jc w:val="left"/>
              <w:rPr>
                <w:color w:val="000000"/>
              </w:rPr>
            </w:pPr>
            <w:r>
              <w:rPr>
                <w:color w:val="000000"/>
              </w:rPr>
              <w:t>Other noninterest expense</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0"/>
              <w:jc w:val="right"/>
              <w:rPr>
                <w:color w:val="000000"/>
              </w:rPr>
            </w:pPr>
            <w:r>
              <w:rPr>
                <w:color w:val="000000"/>
              </w:rPr>
              <w:t>(263</w:t>
            </w:r>
          </w:p>
        </w:tc>
        <w:tc>
          <w:tcPr>
            <w:tcW w:w="155" w:type="dxa"/>
            <w:tcBorders/>
            <w:vAlign w:val="bottom"/>
          </w:tcPr>
          <w:p>
            <w:pPr>
              <w:pStyle w:val="TableContents"/>
              <w:bidi w:val="0"/>
              <w:spacing w:before="0" w:after="0"/>
              <w:jc w:val="left"/>
              <w:rPr>
                <w:color w:val="000000"/>
              </w:rPr>
            </w:pPr>
            <w:r>
              <w:rPr>
                <w:color w:val="000000"/>
              </w:rPr>
              <w:t>)</w:t>
            </w:r>
          </w:p>
        </w:tc>
        <w:tc>
          <w:tcPr>
            <w:tcW w:w="11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color w:val="000000"/>
              </w:rPr>
            </w:pPr>
            <w:r>
              <w:rPr>
                <w:color w:val="000000"/>
              </w:rPr>
              <w:t>1,573</w:t>
            </w:r>
          </w:p>
        </w:tc>
        <w:tc>
          <w:tcPr>
            <w:tcW w:w="158" w:type="dxa"/>
            <w:tcBorders/>
            <w:vAlign w:val="bottom"/>
          </w:tcPr>
          <w:p>
            <w:pPr>
              <w:pStyle w:val="TableContents"/>
              <w:bidi w:val="0"/>
              <w:spacing w:before="0" w:after="283"/>
              <w:jc w:val="left"/>
              <w:rPr/>
            </w:pPr>
            <w:r>
              <w:rPr/>
              <w:t> </w:t>
            </w:r>
          </w:p>
        </w:tc>
      </w:tr>
      <w:tr>
        <w:trPr/>
        <w:tc>
          <w:tcPr>
            <w:tcW w:w="5510" w:type="dxa"/>
            <w:tcBorders/>
            <w:shd w:fill="CCEEFF" w:val="clear"/>
            <w:vAlign w:val="bottom"/>
          </w:tcPr>
          <w:p>
            <w:pPr>
              <w:pStyle w:val="TableContents"/>
              <w:bidi w:val="0"/>
              <w:spacing w:before="0" w:after="0"/>
              <w:ind w:left="180" w:right="0" w:hanging="180"/>
              <w:jc w:val="left"/>
              <w:rPr>
                <w:color w:val="000000"/>
              </w:rPr>
            </w:pPr>
            <w:r>
              <w:rPr>
                <w:color w:val="000000"/>
              </w:rPr>
              <w:t>Change in fair value of interest rate swaps hedging fixed rate loans</w:t>
            </w:r>
          </w:p>
        </w:tc>
        <w:tc>
          <w:tcPr>
            <w:tcW w:w="90" w:type="dxa"/>
            <w:tcBorders/>
            <w:shd w:fill="CCEEFF" w:val="clear"/>
            <w:vAlign w:val="bottom"/>
          </w:tcPr>
          <w:p>
            <w:pPr>
              <w:pStyle w:val="TableContents"/>
              <w:bidi w:val="0"/>
              <w:spacing w:before="0" w:after="283"/>
              <w:jc w:val="left"/>
              <w:rPr/>
            </w:pPr>
            <w:r>
              <w:rPr/>
              <w:t> </w:t>
            </w:r>
          </w:p>
        </w:tc>
        <w:tc>
          <w:tcPr>
            <w:tcW w:w="2241" w:type="dxa"/>
            <w:tcBorders/>
            <w:shd w:fill="CCEEFF" w:val="clear"/>
            <w:vAlign w:val="bottom"/>
          </w:tcPr>
          <w:p>
            <w:pPr>
              <w:pStyle w:val="TableContents"/>
              <w:bidi w:val="0"/>
              <w:spacing w:before="0" w:after="0"/>
              <w:jc w:val="left"/>
              <w:rPr>
                <w:color w:val="000000"/>
              </w:rPr>
            </w:pPr>
            <w:r>
              <w:rPr>
                <w:color w:val="000000"/>
              </w:rPr>
              <w:t>Interest income-loans</w:t>
            </w:r>
          </w:p>
        </w:tc>
        <w:tc>
          <w:tcPr>
            <w:tcW w:w="9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0"/>
              <w:jc w:val="right"/>
              <w:rPr>
                <w:color w:val="000000"/>
              </w:rPr>
            </w:pPr>
            <w:r>
              <w:rPr>
                <w:color w:val="000000"/>
              </w:rPr>
              <w:t>5</w:t>
            </w:r>
          </w:p>
        </w:tc>
        <w:tc>
          <w:tcPr>
            <w:tcW w:w="155"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color w:val="000000"/>
              </w:rPr>
            </w:pPr>
            <w:r>
              <w:rPr>
                <w:color w:val="000000"/>
              </w:rPr>
              <w:t>(43</w:t>
            </w:r>
          </w:p>
        </w:tc>
        <w:tc>
          <w:tcPr>
            <w:tcW w:w="158" w:type="dxa"/>
            <w:tcBorders/>
            <w:shd w:fill="CCEEFF" w:val="clear"/>
            <w:vAlign w:val="bottom"/>
          </w:tcPr>
          <w:p>
            <w:pPr>
              <w:pStyle w:val="TableContents"/>
              <w:bidi w:val="0"/>
              <w:spacing w:before="0" w:after="0"/>
              <w:jc w:val="left"/>
              <w:rPr>
                <w:color w:val="000000"/>
              </w:rPr>
            </w:pPr>
            <w:r>
              <w:rPr>
                <w:color w:val="000000"/>
              </w:rPr>
              <w:t>)</w:t>
            </w:r>
          </w:p>
        </w:tc>
      </w:tr>
      <w:tr>
        <w:trPr/>
        <w:tc>
          <w:tcPr>
            <w:tcW w:w="5510" w:type="dxa"/>
            <w:tcBorders/>
            <w:vAlign w:val="bottom"/>
          </w:tcPr>
          <w:p>
            <w:pPr>
              <w:pStyle w:val="TableContents"/>
              <w:bidi w:val="0"/>
              <w:spacing w:before="0" w:after="0"/>
              <w:ind w:left="180" w:right="0" w:hanging="180"/>
              <w:jc w:val="left"/>
              <w:rPr>
                <w:color w:val="000000"/>
              </w:rPr>
            </w:pPr>
            <w:r>
              <w:rPr>
                <w:color w:val="000000"/>
              </w:rPr>
              <w:t>Change in fair value of hedged fixed rate loans</w:t>
            </w:r>
          </w:p>
        </w:tc>
        <w:tc>
          <w:tcPr>
            <w:tcW w:w="90" w:type="dxa"/>
            <w:tcBorders/>
            <w:vAlign w:val="bottom"/>
          </w:tcPr>
          <w:p>
            <w:pPr>
              <w:pStyle w:val="TableContents"/>
              <w:bidi w:val="0"/>
              <w:spacing w:before="0" w:after="283"/>
              <w:jc w:val="left"/>
              <w:rPr/>
            </w:pPr>
            <w:r>
              <w:rPr/>
              <w:t> </w:t>
            </w:r>
          </w:p>
        </w:tc>
        <w:tc>
          <w:tcPr>
            <w:tcW w:w="2241" w:type="dxa"/>
            <w:tcBorders/>
            <w:vAlign w:val="bottom"/>
          </w:tcPr>
          <w:p>
            <w:pPr>
              <w:pStyle w:val="TableContents"/>
              <w:bidi w:val="0"/>
              <w:spacing w:before="0" w:after="0"/>
              <w:jc w:val="left"/>
              <w:rPr>
                <w:color w:val="000000"/>
              </w:rPr>
            </w:pPr>
            <w:r>
              <w:rPr>
                <w:color w:val="000000"/>
              </w:rPr>
              <w:t>Interest income-loans</w:t>
            </w:r>
          </w:p>
        </w:tc>
        <w:tc>
          <w:tcPr>
            <w:tcW w:w="9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0"/>
              <w:jc w:val="right"/>
              <w:rPr>
                <w:color w:val="000000"/>
              </w:rPr>
            </w:pPr>
            <w:r>
              <w:rPr>
                <w:color w:val="000000"/>
              </w:rPr>
              <w:t>(7</w:t>
            </w:r>
          </w:p>
        </w:tc>
        <w:tc>
          <w:tcPr>
            <w:tcW w:w="155" w:type="dxa"/>
            <w:tcBorders/>
            <w:vAlign w:val="bottom"/>
          </w:tcPr>
          <w:p>
            <w:pPr>
              <w:pStyle w:val="TableContents"/>
              <w:bidi w:val="0"/>
              <w:spacing w:before="0" w:after="0"/>
              <w:jc w:val="left"/>
              <w:rPr>
                <w:color w:val="000000"/>
              </w:rPr>
            </w:pPr>
            <w:r>
              <w:rPr>
                <w:color w:val="000000"/>
              </w:rPr>
              <w:t>)</w:t>
            </w:r>
          </w:p>
        </w:tc>
        <w:tc>
          <w:tcPr>
            <w:tcW w:w="11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color w:val="000000"/>
              </w:rPr>
            </w:pPr>
            <w:r>
              <w:rPr>
                <w:color w:val="000000"/>
              </w:rPr>
              <w:t>56</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93" w:name="z0625206320c545dd93b24af5e98e5534"/>
      <w:bookmarkStart w:id="94" w:name="z0625206320c545dd93b24af5e98e5534"/>
      <w:bookmarkEnd w:id="94"/>
    </w:p>
    <w:tbl>
      <w:tblPr>
        <w:tblW w:w="10205" w:type="dxa"/>
        <w:jc w:val="left"/>
        <w:tblInd w:w="0" w:type="dxa"/>
        <w:tblLayout w:type="fixed"/>
        <w:tblCellMar>
          <w:top w:w="0" w:type="dxa"/>
          <w:left w:w="0" w:type="dxa"/>
          <w:bottom w:w="0" w:type="dxa"/>
          <w:right w:w="0" w:type="dxa"/>
        </w:tblCellMar>
      </w:tblPr>
      <w:tblGrid>
        <w:gridCol w:w="5725"/>
        <w:gridCol w:w="90"/>
        <w:gridCol w:w="2250"/>
        <w:gridCol w:w="90"/>
        <w:gridCol w:w="188"/>
        <w:gridCol w:w="538"/>
        <w:gridCol w:w="138"/>
        <w:gridCol w:w="99"/>
        <w:gridCol w:w="188"/>
        <w:gridCol w:w="738"/>
        <w:gridCol w:w="161"/>
      </w:tblGrid>
      <w:tr>
        <w:trPr/>
        <w:tc>
          <w:tcPr>
            <w:tcW w:w="572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25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889"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61" w:type="dxa"/>
            <w:tcBorders/>
            <w:vAlign w:val="bottom"/>
          </w:tcPr>
          <w:p>
            <w:pPr>
              <w:pStyle w:val="TableContents"/>
              <w:bidi w:val="0"/>
              <w:spacing w:before="0" w:after="283"/>
              <w:jc w:val="left"/>
              <w:rPr/>
            </w:pPr>
            <w:r>
              <w:rPr/>
              <w:t> </w:t>
            </w:r>
          </w:p>
        </w:tc>
      </w:tr>
      <w:tr>
        <w:trPr/>
        <w:tc>
          <w:tcPr>
            <w:tcW w:w="5725" w:type="dxa"/>
            <w:tcBorders>
              <w:bottom w:val="single" w:sz="12" w:space="0" w:color="000000"/>
            </w:tcBorders>
            <w:tcMar>
              <w:bottom w:w="28" w:type="dxa"/>
            </w:tcMar>
            <w:vAlign w:val="bottom"/>
          </w:tcPr>
          <w:p>
            <w:pPr>
              <w:pStyle w:val="TableContents"/>
              <w:bidi w:val="0"/>
              <w:spacing w:before="0" w:after="0"/>
              <w:ind w:left="180" w:right="0" w:hanging="180"/>
              <w:jc w:val="left"/>
              <w:rPr>
                <w:b/>
                <w:color w:val="000000"/>
              </w:rPr>
            </w:pPr>
            <w:r>
              <w:rPr>
                <w:b/>
                <w:color w:val="000000"/>
              </w:rPr>
              <w:t>Interest Rate Contracts</w:t>
            </w:r>
          </w:p>
        </w:tc>
        <w:tc>
          <w:tcPr>
            <w:tcW w:w="90" w:type="dxa"/>
            <w:tcBorders/>
            <w:vAlign w:val="bottom"/>
          </w:tcPr>
          <w:p>
            <w:pPr>
              <w:pStyle w:val="TableContents"/>
              <w:bidi w:val="0"/>
              <w:spacing w:before="0" w:after="283"/>
              <w:jc w:val="left"/>
              <w:rPr/>
            </w:pPr>
            <w:r>
              <w:rPr/>
              <w:t> </w:t>
            </w:r>
          </w:p>
        </w:tc>
        <w:tc>
          <w:tcPr>
            <w:tcW w:w="2250" w:type="dxa"/>
            <w:tcBorders>
              <w:bottom w:val="single" w:sz="12" w:space="0" w:color="000000"/>
            </w:tcBorders>
            <w:tcMar>
              <w:bottom w:w="28" w:type="dxa"/>
            </w:tcMar>
            <w:vAlign w:val="bottom"/>
          </w:tcPr>
          <w:p>
            <w:pPr>
              <w:pStyle w:val="TableContents"/>
              <w:bidi w:val="0"/>
              <w:spacing w:before="0" w:after="0"/>
              <w:ind w:left="180" w:right="0" w:hanging="180"/>
              <w:jc w:val="center"/>
              <w:rPr>
                <w:b/>
                <w:color w:val="000000"/>
              </w:rPr>
            </w:pPr>
            <w:r>
              <w:rPr>
                <w:b/>
                <w:color w:val="000000"/>
              </w:rPr>
              <w:t>Location</w:t>
            </w:r>
          </w:p>
        </w:tc>
        <w:tc>
          <w:tcPr>
            <w:tcW w:w="90" w:type="dxa"/>
            <w:tcBorders/>
            <w:vAlign w:val="bottom"/>
          </w:tcPr>
          <w:p>
            <w:pPr>
              <w:pStyle w:val="TableContents"/>
              <w:bidi w:val="0"/>
              <w:spacing w:before="0" w:after="283"/>
              <w:jc w:val="left"/>
              <w:rPr/>
            </w:pPr>
            <w:r>
              <w:rPr/>
              <w:t> </w:t>
            </w:r>
          </w:p>
        </w:tc>
        <w:tc>
          <w:tcPr>
            <w:tcW w:w="7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3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61" w:type="dxa"/>
            <w:tcBorders/>
            <w:vAlign w:val="bottom"/>
          </w:tcPr>
          <w:p>
            <w:pPr>
              <w:pStyle w:val="TableContents"/>
              <w:bidi w:val="0"/>
              <w:spacing w:before="0" w:after="283"/>
              <w:jc w:val="left"/>
              <w:rPr/>
            </w:pPr>
            <w:r>
              <w:rPr/>
              <w:t> </w:t>
            </w:r>
          </w:p>
        </w:tc>
      </w:tr>
      <w:tr>
        <w:trPr/>
        <w:tc>
          <w:tcPr>
            <w:tcW w:w="5725" w:type="dxa"/>
            <w:tcBorders/>
            <w:shd w:fill="CCEEFF" w:val="clear"/>
            <w:vAlign w:val="bottom"/>
          </w:tcPr>
          <w:p>
            <w:pPr>
              <w:pStyle w:val="TableContents"/>
              <w:bidi w:val="0"/>
              <w:spacing w:before="0" w:after="0"/>
              <w:ind w:left="180" w:right="0" w:hanging="180"/>
              <w:jc w:val="left"/>
              <w:rPr>
                <w:color w:val="000000"/>
              </w:rPr>
            </w:pPr>
            <w:r>
              <w:rPr>
                <w:color w:val="000000"/>
              </w:rPr>
              <w:t>Change in fair value of interest rate swaps hedging investment securities</w:t>
            </w:r>
          </w:p>
        </w:tc>
        <w:tc>
          <w:tcPr>
            <w:tcW w:w="90" w:type="dxa"/>
            <w:tcBorders/>
            <w:shd w:fill="CCEEFF" w:val="clear"/>
            <w:vAlign w:val="bottom"/>
          </w:tcPr>
          <w:p>
            <w:pPr>
              <w:pStyle w:val="TableContents"/>
              <w:bidi w:val="0"/>
              <w:spacing w:before="0" w:after="283"/>
              <w:jc w:val="left"/>
              <w:rPr/>
            </w:pPr>
            <w:r>
              <w:rPr/>
              <w:t> </w:t>
            </w:r>
          </w:p>
        </w:tc>
        <w:tc>
          <w:tcPr>
            <w:tcW w:w="2250" w:type="dxa"/>
            <w:tcBorders/>
            <w:shd w:fill="CCEEFF" w:val="clear"/>
            <w:vAlign w:val="bottom"/>
          </w:tcPr>
          <w:p>
            <w:pPr>
              <w:pStyle w:val="TableContents"/>
              <w:bidi w:val="0"/>
              <w:spacing w:before="0" w:after="0"/>
              <w:ind w:left="180" w:right="0" w:hanging="180"/>
              <w:jc w:val="left"/>
              <w:rPr>
                <w:color w:val="000000"/>
              </w:rPr>
            </w:pPr>
            <w:r>
              <w:rPr>
                <w:color w:val="000000"/>
              </w:rPr>
              <w:t>Other noninterest expense</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0"/>
              <w:jc w:val="left"/>
              <w:rPr>
                <w:color w:val="000000"/>
              </w:rPr>
            </w:pPr>
            <w:r>
              <w:rPr>
                <w:color w:val="000000"/>
              </w:rPr>
              <w:t>$</w:t>
            </w:r>
          </w:p>
        </w:tc>
        <w:tc>
          <w:tcPr>
            <w:tcW w:w="538" w:type="dxa"/>
            <w:tcBorders/>
            <w:shd w:fill="CCEEFF" w:val="clear"/>
            <w:vAlign w:val="bottom"/>
          </w:tcPr>
          <w:p>
            <w:pPr>
              <w:pStyle w:val="TableContents"/>
              <w:bidi w:val="0"/>
              <w:spacing w:before="0" w:after="0"/>
              <w:jc w:val="right"/>
              <w:rPr>
                <w:color w:val="000000"/>
              </w:rPr>
            </w:pPr>
            <w:r>
              <w:rPr>
                <w:color w:val="000000"/>
              </w:rPr>
              <w:t>214</w:t>
            </w:r>
          </w:p>
        </w:tc>
        <w:tc>
          <w:tcPr>
            <w:tcW w:w="13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0"/>
              <w:jc w:val="left"/>
              <w:rPr>
                <w:color w:val="000000"/>
              </w:rPr>
            </w:pPr>
            <w:r>
              <w:rPr>
                <w:color w:val="000000"/>
              </w:rPr>
              <w:t>$</w:t>
            </w:r>
          </w:p>
        </w:tc>
        <w:tc>
          <w:tcPr>
            <w:tcW w:w="738" w:type="dxa"/>
            <w:tcBorders/>
            <w:shd w:fill="CCEEFF" w:val="clear"/>
            <w:vAlign w:val="bottom"/>
          </w:tcPr>
          <w:p>
            <w:pPr>
              <w:pStyle w:val="TableContents"/>
              <w:bidi w:val="0"/>
              <w:spacing w:before="0" w:after="0"/>
              <w:jc w:val="right"/>
              <w:rPr>
                <w:color w:val="000000"/>
              </w:rPr>
            </w:pPr>
            <w:r>
              <w:rPr>
                <w:color w:val="000000"/>
              </w:rPr>
              <w:t>(4,104</w:t>
            </w:r>
          </w:p>
        </w:tc>
        <w:tc>
          <w:tcPr>
            <w:tcW w:w="161" w:type="dxa"/>
            <w:tcBorders/>
            <w:shd w:fill="CCEEFF" w:val="clear"/>
            <w:vAlign w:val="bottom"/>
          </w:tcPr>
          <w:p>
            <w:pPr>
              <w:pStyle w:val="TableContents"/>
              <w:bidi w:val="0"/>
              <w:spacing w:before="0" w:after="0"/>
              <w:jc w:val="left"/>
              <w:rPr>
                <w:color w:val="000000"/>
              </w:rPr>
            </w:pPr>
            <w:r>
              <w:rPr>
                <w:color w:val="000000"/>
              </w:rPr>
              <w:t>)</w:t>
            </w:r>
          </w:p>
        </w:tc>
      </w:tr>
      <w:tr>
        <w:trPr/>
        <w:tc>
          <w:tcPr>
            <w:tcW w:w="5725" w:type="dxa"/>
            <w:tcBorders/>
            <w:vAlign w:val="bottom"/>
          </w:tcPr>
          <w:p>
            <w:pPr>
              <w:pStyle w:val="TableContents"/>
              <w:bidi w:val="0"/>
              <w:spacing w:before="0" w:after="0"/>
              <w:ind w:left="180" w:right="0" w:hanging="180"/>
              <w:jc w:val="left"/>
              <w:rPr>
                <w:color w:val="000000"/>
              </w:rPr>
            </w:pPr>
            <w:r>
              <w:rPr>
                <w:color w:val="000000"/>
              </w:rPr>
              <w:t>Change in fair value of hedged investment securities</w:t>
            </w:r>
          </w:p>
        </w:tc>
        <w:tc>
          <w:tcPr>
            <w:tcW w:w="90" w:type="dxa"/>
            <w:tcBorders/>
            <w:vAlign w:val="bottom"/>
          </w:tcPr>
          <w:p>
            <w:pPr>
              <w:pStyle w:val="TableContents"/>
              <w:bidi w:val="0"/>
              <w:spacing w:before="0" w:after="283"/>
              <w:jc w:val="left"/>
              <w:rPr/>
            </w:pPr>
            <w:r>
              <w:rPr/>
              <w:t> </w:t>
            </w:r>
          </w:p>
        </w:tc>
        <w:tc>
          <w:tcPr>
            <w:tcW w:w="2250" w:type="dxa"/>
            <w:tcBorders/>
            <w:vAlign w:val="bottom"/>
          </w:tcPr>
          <w:p>
            <w:pPr>
              <w:pStyle w:val="TableContents"/>
              <w:bidi w:val="0"/>
              <w:spacing w:before="0" w:after="0"/>
              <w:ind w:left="180" w:right="0" w:hanging="180"/>
              <w:jc w:val="left"/>
              <w:rPr>
                <w:color w:val="000000"/>
              </w:rPr>
            </w:pPr>
            <w:r>
              <w:rPr>
                <w:color w:val="000000"/>
              </w:rPr>
              <w:t>Other noninterest expense</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0"/>
              <w:jc w:val="right"/>
              <w:rPr>
                <w:color w:val="000000"/>
              </w:rPr>
            </w:pPr>
            <w:r>
              <w:rPr>
                <w:color w:val="000000"/>
              </w:rPr>
              <w:t>(237</w:t>
            </w:r>
          </w:p>
        </w:tc>
        <w:tc>
          <w:tcPr>
            <w:tcW w:w="138" w:type="dxa"/>
            <w:tcBorders/>
            <w:vAlign w:val="bottom"/>
          </w:tcPr>
          <w:p>
            <w:pPr>
              <w:pStyle w:val="TableContents"/>
              <w:bidi w:val="0"/>
              <w:spacing w:before="0" w:after="0"/>
              <w:jc w:val="left"/>
              <w:rPr>
                <w:color w:val="000000"/>
              </w:rPr>
            </w:pPr>
            <w:r>
              <w:rPr>
                <w:color w:val="000000"/>
              </w:rPr>
              <w:t>)</w:t>
            </w:r>
          </w:p>
        </w:tc>
        <w:tc>
          <w:tcPr>
            <w:tcW w:w="9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color w:val="000000"/>
              </w:rPr>
            </w:pPr>
            <w:r>
              <w:rPr>
                <w:color w:val="000000"/>
              </w:rPr>
              <w:t>3,825</w:t>
            </w:r>
          </w:p>
        </w:tc>
        <w:tc>
          <w:tcPr>
            <w:tcW w:w="161" w:type="dxa"/>
            <w:tcBorders/>
            <w:vAlign w:val="bottom"/>
          </w:tcPr>
          <w:p>
            <w:pPr>
              <w:pStyle w:val="TableContents"/>
              <w:bidi w:val="0"/>
              <w:spacing w:before="0" w:after="283"/>
              <w:jc w:val="left"/>
              <w:rPr/>
            </w:pPr>
            <w:r>
              <w:rPr/>
              <w:t> </w:t>
            </w:r>
          </w:p>
        </w:tc>
      </w:tr>
      <w:tr>
        <w:trPr/>
        <w:tc>
          <w:tcPr>
            <w:tcW w:w="5725" w:type="dxa"/>
            <w:tcBorders/>
            <w:shd w:fill="CCEEFF" w:val="clear"/>
            <w:vAlign w:val="bottom"/>
          </w:tcPr>
          <w:p>
            <w:pPr>
              <w:pStyle w:val="TableContents"/>
              <w:bidi w:val="0"/>
              <w:spacing w:before="0" w:after="0"/>
              <w:ind w:left="180" w:right="0" w:hanging="180"/>
              <w:jc w:val="left"/>
              <w:rPr>
                <w:color w:val="000000"/>
              </w:rPr>
            </w:pPr>
            <w:r>
              <w:rPr>
                <w:color w:val="000000"/>
              </w:rPr>
              <w:t>Change in fair value of interest rate swaps hedging fixed rate loans</w:t>
            </w:r>
          </w:p>
        </w:tc>
        <w:tc>
          <w:tcPr>
            <w:tcW w:w="90" w:type="dxa"/>
            <w:tcBorders/>
            <w:shd w:fill="CCEEFF" w:val="clear"/>
            <w:vAlign w:val="bottom"/>
          </w:tcPr>
          <w:p>
            <w:pPr>
              <w:pStyle w:val="TableContents"/>
              <w:bidi w:val="0"/>
              <w:spacing w:before="0" w:after="283"/>
              <w:jc w:val="left"/>
              <w:rPr/>
            </w:pPr>
            <w:r>
              <w:rPr/>
              <w:t> </w:t>
            </w:r>
          </w:p>
        </w:tc>
        <w:tc>
          <w:tcPr>
            <w:tcW w:w="2250" w:type="dxa"/>
            <w:tcBorders/>
            <w:shd w:fill="CCEEFF" w:val="clear"/>
            <w:vAlign w:val="bottom"/>
          </w:tcPr>
          <w:p>
            <w:pPr>
              <w:pStyle w:val="TableContents"/>
              <w:bidi w:val="0"/>
              <w:spacing w:before="0" w:after="0"/>
              <w:ind w:left="180" w:right="0" w:hanging="180"/>
              <w:jc w:val="left"/>
              <w:rPr>
                <w:color w:val="000000"/>
              </w:rPr>
            </w:pPr>
            <w:r>
              <w:rPr>
                <w:color w:val="000000"/>
              </w:rPr>
              <w:t>Interest income-loans</w:t>
            </w:r>
          </w:p>
        </w:tc>
        <w:tc>
          <w:tcPr>
            <w:tcW w:w="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0"/>
              <w:jc w:val="right"/>
              <w:rPr>
                <w:color w:val="000000"/>
              </w:rPr>
            </w:pPr>
            <w:r>
              <w:rPr>
                <w:color w:val="000000"/>
              </w:rPr>
              <w:t>5</w:t>
            </w:r>
          </w:p>
        </w:tc>
        <w:tc>
          <w:tcPr>
            <w:tcW w:w="13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0"/>
              <w:jc w:val="right"/>
              <w:rPr>
                <w:color w:val="000000"/>
              </w:rPr>
            </w:pPr>
            <w:r>
              <w:rPr>
                <w:color w:val="000000"/>
              </w:rPr>
              <w:t>(102</w:t>
            </w:r>
          </w:p>
        </w:tc>
        <w:tc>
          <w:tcPr>
            <w:tcW w:w="161" w:type="dxa"/>
            <w:tcBorders/>
            <w:shd w:fill="CCEEFF" w:val="clear"/>
            <w:vAlign w:val="bottom"/>
          </w:tcPr>
          <w:p>
            <w:pPr>
              <w:pStyle w:val="TableContents"/>
              <w:bidi w:val="0"/>
              <w:spacing w:before="0" w:after="0"/>
              <w:jc w:val="left"/>
              <w:rPr>
                <w:color w:val="000000"/>
              </w:rPr>
            </w:pPr>
            <w:r>
              <w:rPr>
                <w:color w:val="000000"/>
              </w:rPr>
              <w:t>)</w:t>
            </w:r>
          </w:p>
        </w:tc>
      </w:tr>
      <w:tr>
        <w:trPr/>
        <w:tc>
          <w:tcPr>
            <w:tcW w:w="5725" w:type="dxa"/>
            <w:tcBorders/>
            <w:vAlign w:val="bottom"/>
          </w:tcPr>
          <w:p>
            <w:pPr>
              <w:pStyle w:val="TableContents"/>
              <w:bidi w:val="0"/>
              <w:spacing w:before="0" w:after="0"/>
              <w:ind w:left="180" w:right="0" w:hanging="180"/>
              <w:jc w:val="left"/>
              <w:rPr>
                <w:color w:val="000000"/>
              </w:rPr>
            </w:pPr>
            <w:r>
              <w:rPr>
                <w:color w:val="000000"/>
              </w:rPr>
              <w:t>Change in fair value of hedged fixed rate loans</w:t>
            </w:r>
          </w:p>
        </w:tc>
        <w:tc>
          <w:tcPr>
            <w:tcW w:w="90" w:type="dxa"/>
            <w:tcBorders/>
            <w:vAlign w:val="bottom"/>
          </w:tcPr>
          <w:p>
            <w:pPr>
              <w:pStyle w:val="TableContents"/>
              <w:bidi w:val="0"/>
              <w:spacing w:before="0" w:after="283"/>
              <w:jc w:val="left"/>
              <w:rPr/>
            </w:pPr>
            <w:r>
              <w:rPr/>
              <w:t> </w:t>
            </w:r>
          </w:p>
        </w:tc>
        <w:tc>
          <w:tcPr>
            <w:tcW w:w="2250" w:type="dxa"/>
            <w:tcBorders/>
            <w:vAlign w:val="bottom"/>
          </w:tcPr>
          <w:p>
            <w:pPr>
              <w:pStyle w:val="TableContents"/>
              <w:bidi w:val="0"/>
              <w:spacing w:before="0" w:after="0"/>
              <w:ind w:left="180" w:right="0" w:hanging="180"/>
              <w:jc w:val="left"/>
              <w:rPr>
                <w:color w:val="000000"/>
              </w:rPr>
            </w:pPr>
            <w:r>
              <w:rPr>
                <w:color w:val="000000"/>
              </w:rPr>
              <w:t>Interest income-loans</w:t>
            </w:r>
          </w:p>
        </w:tc>
        <w:tc>
          <w:tcPr>
            <w:tcW w:w="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0"/>
              <w:jc w:val="right"/>
              <w:rPr>
                <w:color w:val="000000"/>
              </w:rPr>
            </w:pPr>
            <w:r>
              <w:rPr>
                <w:color w:val="000000"/>
              </w:rPr>
              <w:t>(7</w:t>
            </w:r>
          </w:p>
        </w:tc>
        <w:tc>
          <w:tcPr>
            <w:tcW w:w="138" w:type="dxa"/>
            <w:tcBorders/>
            <w:vAlign w:val="bottom"/>
          </w:tcPr>
          <w:p>
            <w:pPr>
              <w:pStyle w:val="TableContents"/>
              <w:bidi w:val="0"/>
              <w:spacing w:before="0" w:after="0"/>
              <w:jc w:val="left"/>
              <w:rPr>
                <w:color w:val="000000"/>
              </w:rPr>
            </w:pPr>
            <w:r>
              <w:rPr>
                <w:color w:val="000000"/>
              </w:rPr>
              <w:t>)</w:t>
            </w:r>
          </w:p>
        </w:tc>
        <w:tc>
          <w:tcPr>
            <w:tcW w:w="9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0"/>
              <w:jc w:val="right"/>
              <w:rPr>
                <w:color w:val="000000"/>
              </w:rPr>
            </w:pPr>
            <w:r>
              <w:rPr>
                <w:color w:val="000000"/>
              </w:rPr>
              <w:t>127</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fair value hedges included in the consolidated balance sheets at the dates indicated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5" w:name="zc5f80216e6ff49db8b10b14e29c74979"/>
      <w:bookmarkStart w:id="96" w:name="zc5f80216e6ff49db8b10b14e29c74979"/>
      <w:bookmarkEnd w:id="96"/>
    </w:p>
    <w:tbl>
      <w:tblPr>
        <w:tblW w:w="9867" w:type="dxa"/>
        <w:jc w:val="left"/>
        <w:tblInd w:w="0" w:type="dxa"/>
        <w:tblLayout w:type="fixed"/>
        <w:tblCellMar>
          <w:top w:w="0" w:type="dxa"/>
          <w:left w:w="0" w:type="dxa"/>
          <w:bottom w:w="0" w:type="dxa"/>
          <w:right w:w="0" w:type="dxa"/>
        </w:tblCellMar>
      </w:tblPr>
      <w:tblGrid>
        <w:gridCol w:w="5540"/>
        <w:gridCol w:w="90"/>
        <w:gridCol w:w="170"/>
        <w:gridCol w:w="830"/>
        <w:gridCol w:w="90"/>
        <w:gridCol w:w="90"/>
        <w:gridCol w:w="170"/>
        <w:gridCol w:w="590"/>
        <w:gridCol w:w="90"/>
        <w:gridCol w:w="90"/>
        <w:gridCol w:w="173"/>
        <w:gridCol w:w="849"/>
        <w:gridCol w:w="92"/>
        <w:gridCol w:w="92"/>
        <w:gridCol w:w="173"/>
        <w:gridCol w:w="603"/>
        <w:gridCol w:w="135"/>
      </w:tblGrid>
      <w:tr>
        <w:trPr/>
        <w:tc>
          <w:tcPr>
            <w:tcW w:w="554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9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135" w:type="dxa"/>
            <w:tcBorders/>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2"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92" w:type="dxa"/>
            <w:tcBorders/>
            <w:vAlign w:val="center"/>
          </w:tcPr>
          <w:p>
            <w:pPr>
              <w:pStyle w:val="TableContents"/>
              <w:bidi w:val="0"/>
              <w:spacing w:before="0" w:after="283"/>
              <w:jc w:val="center"/>
              <w:rPr/>
            </w:pPr>
            <w:r>
              <w:rPr/>
              <w:t> </w:t>
            </w:r>
          </w:p>
        </w:tc>
        <w:tc>
          <w:tcPr>
            <w:tcW w:w="92" w:type="dxa"/>
            <w:tcBorders/>
            <w:vAlign w:val="center"/>
          </w:tcPr>
          <w:p>
            <w:pPr>
              <w:pStyle w:val="TableContents"/>
              <w:bidi w:val="0"/>
              <w:spacing w:before="0" w:after="283"/>
              <w:jc w:val="center"/>
              <w:rPr/>
            </w:pPr>
            <w:r>
              <w:rPr/>
              <w:t> </w:t>
            </w:r>
          </w:p>
        </w:tc>
        <w:tc>
          <w:tcPr>
            <w:tcW w:w="776"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135" w:type="dxa"/>
            <w:tcBorders/>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before="0" w:after="0"/>
              <w:ind w:left="180" w:right="0" w:hanging="180"/>
              <w:jc w:val="left"/>
              <w:rPr>
                <w:color w:val="000000"/>
              </w:rPr>
            </w:pPr>
            <w:r>
              <w:rPr>
                <w:color w:val="000000"/>
              </w:rPr>
              <w:t>Included in other liabilities: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76"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5540" w:type="dxa"/>
            <w:tcBorders/>
            <w:shd w:fill="CCEEFF" w:val="clear"/>
            <w:vAlign w:val="bottom"/>
          </w:tcPr>
          <w:p>
            <w:pPr>
              <w:pStyle w:val="TableContents"/>
              <w:bidi w:val="0"/>
              <w:spacing w:before="0" w:after="0"/>
              <w:ind w:left="360" w:right="0" w:hanging="180"/>
              <w:jc w:val="left"/>
              <w:rPr>
                <w:color w:val="000000"/>
              </w:rPr>
            </w:pPr>
            <w:r>
              <w:rPr>
                <w:color w:val="000000"/>
              </w:rPr>
              <w:t>Interest rate swaps related to fixed rate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849" w:type="dxa"/>
            <w:tcBorders/>
            <w:shd w:fill="CCEEFF" w:val="clear"/>
            <w:vAlign w:val="bottom"/>
          </w:tcPr>
          <w:p>
            <w:pPr>
              <w:pStyle w:val="TableContents"/>
              <w:bidi w:val="0"/>
              <w:spacing w:before="0" w:after="0"/>
              <w:jc w:val="right"/>
              <w:rPr>
                <w:color w:val="000000"/>
              </w:rPr>
            </w:pPr>
            <w:r>
              <w:rPr>
                <w:color w:val="000000"/>
              </w:rPr>
              <w:t>-</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0"/>
              <w:jc w:val="left"/>
              <w:rPr>
                <w:color w:val="000000"/>
              </w:rPr>
            </w:pPr>
            <w:r>
              <w:rPr>
                <w:color w:val="000000"/>
              </w:rPr>
              <w:t>$</w:t>
            </w:r>
          </w:p>
        </w:tc>
        <w:tc>
          <w:tcPr>
            <w:tcW w:w="603"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before="0" w:after="0"/>
              <w:ind w:left="360" w:right="0" w:hanging="180"/>
              <w:jc w:val="left"/>
              <w:rPr>
                <w:color w:val="000000"/>
              </w:rPr>
            </w:pPr>
            <w:r>
              <w:rPr>
                <w:color w:val="000000"/>
              </w:rPr>
              <w:t>Interest rate swaps related to state and municipal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0"/>
              <w:jc w:val="right"/>
              <w:rPr>
                <w:color w:val="000000"/>
              </w:rPr>
            </w:pPr>
            <w:r>
              <w:rPr>
                <w:color w:val="000000"/>
              </w:rPr>
              <w:t>-</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5540" w:type="dxa"/>
            <w:tcBorders/>
            <w:shd w:fill="CCEEFF" w:val="clear"/>
            <w:vAlign w:val="bottom"/>
          </w:tcPr>
          <w:p>
            <w:pPr>
              <w:pStyle w:val="TableContents"/>
              <w:bidi w:val="0"/>
              <w:spacing w:before="0" w:after="0"/>
              <w:ind w:left="180" w:right="0" w:hanging="180"/>
              <w:jc w:val="left"/>
              <w:rPr>
                <w:color w:val="000000"/>
              </w:rPr>
            </w:pPr>
            <w:r>
              <w:rPr>
                <w:color w:val="000000"/>
              </w:rPr>
              <w:t>Included in other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 </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5540" w:type="dxa"/>
            <w:tcBorders/>
            <w:vAlign w:val="bottom"/>
          </w:tcPr>
          <w:p>
            <w:pPr>
              <w:pStyle w:val="TableContents"/>
              <w:bidi w:val="0"/>
              <w:spacing w:before="0" w:after="0"/>
              <w:ind w:left="360" w:right="0" w:hanging="180"/>
              <w:jc w:val="left"/>
              <w:rPr>
                <w:color w:val="000000"/>
              </w:rPr>
            </w:pPr>
            <w:r>
              <w:rPr>
                <w:color w:val="000000"/>
              </w:rPr>
              <w:t>Interest rate swaps related to fixed rate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1,982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849" w:type="dxa"/>
            <w:tcBorders/>
            <w:vAlign w:val="bottom"/>
          </w:tcPr>
          <w:p>
            <w:pPr>
              <w:pStyle w:val="TableContents"/>
              <w:bidi w:val="0"/>
              <w:spacing w:before="0" w:after="0"/>
              <w:jc w:val="right"/>
              <w:rPr>
                <w:color w:val="000000"/>
              </w:rPr>
            </w:pPr>
            <w:r>
              <w:rPr>
                <w:color w:val="000000"/>
              </w:rPr>
              <w:t>2,030</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0"/>
              <w:jc w:val="left"/>
              <w:rPr>
                <w:color w:val="000000"/>
              </w:rPr>
            </w:pPr>
            <w:r>
              <w:rPr>
                <w:color w:val="000000"/>
              </w:rPr>
              <w:t>$</w:t>
            </w:r>
          </w:p>
        </w:tc>
        <w:tc>
          <w:tcPr>
            <w:tcW w:w="603" w:type="dxa"/>
            <w:tcBorders/>
            <w:vAlign w:val="bottom"/>
          </w:tcPr>
          <w:p>
            <w:pPr>
              <w:pStyle w:val="TableContents"/>
              <w:bidi w:val="0"/>
              <w:spacing w:before="0" w:after="0"/>
              <w:jc w:val="right"/>
              <w:rPr>
                <w:color w:val="000000"/>
              </w:rPr>
            </w:pPr>
            <w:r>
              <w:rPr>
                <w:color w:val="000000"/>
              </w:rPr>
              <w:t>24</w:t>
            </w:r>
          </w:p>
        </w:tc>
        <w:tc>
          <w:tcPr>
            <w:tcW w:w="135" w:type="dxa"/>
            <w:tcBorders/>
            <w:vAlign w:val="bottom"/>
          </w:tcPr>
          <w:p>
            <w:pPr>
              <w:pStyle w:val="TableContents"/>
              <w:bidi w:val="0"/>
              <w:spacing w:before="0" w:after="283"/>
              <w:jc w:val="left"/>
              <w:rPr/>
            </w:pPr>
            <w:r>
              <w:rPr/>
              <w:t> </w:t>
            </w:r>
          </w:p>
        </w:tc>
      </w:tr>
      <w:tr>
        <w:trPr/>
        <w:tc>
          <w:tcPr>
            <w:tcW w:w="5540" w:type="dxa"/>
            <w:tcBorders/>
            <w:shd w:fill="CCEEFF" w:val="clear"/>
            <w:vAlign w:val="bottom"/>
          </w:tcPr>
          <w:p>
            <w:pPr>
              <w:pStyle w:val="TableContents"/>
              <w:bidi w:val="0"/>
              <w:spacing w:before="0" w:after="0"/>
              <w:ind w:left="360" w:right="0" w:hanging="180"/>
              <w:jc w:val="left"/>
              <w:rPr>
                <w:color w:val="000000"/>
              </w:rPr>
            </w:pPr>
            <w:r>
              <w:rPr>
                <w:color w:val="000000"/>
              </w:rPr>
              <w:t>Interest rate swaps related to state and municipal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116,810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9,944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0"/>
              <w:jc w:val="right"/>
              <w:rPr>
                <w:color w:val="000000"/>
              </w:rPr>
            </w:pPr>
            <w:r>
              <w:rPr>
                <w:color w:val="000000"/>
              </w:rPr>
              <w:t>117,860</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0"/>
              <w:jc w:val="right"/>
              <w:rPr>
                <w:color w:val="000000"/>
              </w:rPr>
            </w:pPr>
            <w:r>
              <w:rPr>
                <w:color w:val="000000"/>
              </w:rPr>
              <w:t>9,730</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Mortgage banking derivatives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net gains (losses) relating to free standing derivative instruments used for risk management are summarized below for the periods indicated (dollars in thousands):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97" w:name="z2ba57b80d4b7479f9aabd2f4a7a168d6"/>
      <w:bookmarkStart w:id="98" w:name="z2ba57b80d4b7479f9aabd2f4a7a168d6"/>
      <w:bookmarkEnd w:id="98"/>
    </w:p>
    <w:tbl>
      <w:tblPr>
        <w:tblW w:w="9228" w:type="dxa"/>
        <w:jc w:val="left"/>
        <w:tblInd w:w="0" w:type="dxa"/>
        <w:tblLayout w:type="fixed"/>
        <w:tblCellMar>
          <w:top w:w="0" w:type="dxa"/>
          <w:left w:w="0" w:type="dxa"/>
          <w:bottom w:w="0" w:type="dxa"/>
          <w:right w:w="0" w:type="dxa"/>
        </w:tblCellMar>
      </w:tblPr>
      <w:tblGrid>
        <w:gridCol w:w="4250"/>
        <w:gridCol w:w="2480"/>
        <w:gridCol w:w="90"/>
        <w:gridCol w:w="271"/>
        <w:gridCol w:w="773"/>
        <w:gridCol w:w="199"/>
        <w:gridCol w:w="143"/>
        <w:gridCol w:w="271"/>
        <w:gridCol w:w="581"/>
        <w:gridCol w:w="170"/>
      </w:tblGrid>
      <w:tr>
        <w:trPr/>
        <w:tc>
          <w:tcPr>
            <w:tcW w:w="4250"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7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283"/>
              <w:jc w:val="left"/>
              <w:rPr/>
            </w:pPr>
            <w:r>
              <w:rPr/>
            </w:r>
          </w:p>
        </w:tc>
        <w:tc>
          <w:tcPr>
            <w:tcW w:w="248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Location</w:t>
            </w:r>
          </w:p>
        </w:tc>
        <w:tc>
          <w:tcPr>
            <w:tcW w:w="90" w:type="dxa"/>
            <w:tcBorders/>
            <w:vAlign w:val="bottom"/>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9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jc w:val="left"/>
              <w:rPr>
                <w:color w:val="000000"/>
              </w:rPr>
            </w:pPr>
            <w:r>
              <w:rPr>
                <w:color w:val="000000"/>
              </w:rPr>
              <w:t>Gain (loss) on mortgage banking derivatives</w:t>
            </w:r>
          </w:p>
        </w:tc>
        <w:tc>
          <w:tcPr>
            <w:tcW w:w="2480" w:type="dxa"/>
            <w:tcBorders/>
            <w:shd w:fill="CCEEFF" w:val="clear"/>
            <w:vAlign w:val="bottom"/>
          </w:tcPr>
          <w:p>
            <w:pPr>
              <w:pStyle w:val="TableContents"/>
              <w:bidi w:val="0"/>
              <w:spacing w:before="0" w:after="0"/>
              <w:jc w:val="left"/>
              <w:rPr>
                <w:color w:val="000000"/>
              </w:rPr>
            </w:pPr>
            <w:r>
              <w:rPr>
                <w:color w:val="000000"/>
              </w:rPr>
              <w:t>Net gain on sales of loans</w:t>
            </w:r>
          </w:p>
        </w:tc>
        <w:tc>
          <w:tcPr>
            <w:tcW w:w="9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0"/>
              <w:jc w:val="left"/>
              <w:rPr>
                <w:color w:val="000000"/>
              </w:rPr>
            </w:pPr>
            <w:r>
              <w:rPr>
                <w:color w:val="000000"/>
              </w:rPr>
              <w:t>$</w:t>
            </w:r>
          </w:p>
        </w:tc>
        <w:tc>
          <w:tcPr>
            <w:tcW w:w="773" w:type="dxa"/>
            <w:tcBorders/>
            <w:shd w:fill="CCEEFF" w:val="clear"/>
            <w:vAlign w:val="bottom"/>
          </w:tcPr>
          <w:p>
            <w:pPr>
              <w:pStyle w:val="TableContents"/>
              <w:bidi w:val="0"/>
              <w:spacing w:before="0" w:after="0"/>
              <w:jc w:val="right"/>
              <w:rPr>
                <w:color w:val="000000"/>
              </w:rPr>
            </w:pPr>
            <w:r>
              <w:rPr>
                <w:color w:val="000000"/>
              </w:rPr>
              <w:t>(101</w:t>
            </w:r>
          </w:p>
        </w:tc>
        <w:tc>
          <w:tcPr>
            <w:tcW w:w="199" w:type="dxa"/>
            <w:tcBorders/>
            <w:shd w:fill="CCEEFF" w:val="clear"/>
            <w:vAlign w:val="bottom"/>
          </w:tcPr>
          <w:p>
            <w:pPr>
              <w:pStyle w:val="TableContents"/>
              <w:bidi w:val="0"/>
              <w:spacing w:before="0" w:after="0"/>
              <w:jc w:val="left"/>
              <w:rPr>
                <w:color w:val="000000"/>
              </w:rPr>
            </w:pPr>
            <w:r>
              <w:rPr>
                <w:color w:val="000000"/>
              </w:rPr>
              <w:t>)</w:t>
            </w:r>
          </w:p>
        </w:tc>
        <w:tc>
          <w:tcPr>
            <w:tcW w:w="143"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0"/>
              <w:jc w:val="left"/>
              <w:rPr>
                <w:color w:val="000000"/>
              </w:rPr>
            </w:pPr>
            <w:r>
              <w:rPr>
                <w:color w:val="000000"/>
              </w:rPr>
              <w:t>$</w:t>
            </w:r>
          </w:p>
        </w:tc>
        <w:tc>
          <w:tcPr>
            <w:tcW w:w="581" w:type="dxa"/>
            <w:tcBorders/>
            <w:shd w:fill="CCEEFF" w:val="clear"/>
            <w:vAlign w:val="bottom"/>
          </w:tcPr>
          <w:p>
            <w:pPr>
              <w:pStyle w:val="TableContents"/>
              <w:bidi w:val="0"/>
              <w:spacing w:before="0" w:after="0"/>
              <w:jc w:val="right"/>
              <w:rPr>
                <w:color w:val="000000"/>
              </w:rPr>
            </w:pPr>
            <w:r>
              <w:rPr>
                <w:color w:val="000000"/>
              </w:rPr>
              <w:t>(46</w:t>
            </w:r>
          </w:p>
        </w:tc>
        <w:tc>
          <w:tcPr>
            <w:tcW w:w="17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99" w:name="zb01523b911ab46d1aa470d969b83f0c0"/>
      <w:bookmarkStart w:id="100" w:name="zb01523b911ab46d1aa470d969b83f0c0"/>
      <w:bookmarkEnd w:id="100"/>
    </w:p>
    <w:tbl>
      <w:tblPr>
        <w:tblW w:w="8891" w:type="dxa"/>
        <w:jc w:val="left"/>
        <w:tblInd w:w="0" w:type="dxa"/>
        <w:tblLayout w:type="fixed"/>
        <w:tblCellMar>
          <w:top w:w="0" w:type="dxa"/>
          <w:left w:w="0" w:type="dxa"/>
          <w:bottom w:w="0" w:type="dxa"/>
          <w:right w:w="0" w:type="dxa"/>
        </w:tblCellMar>
      </w:tblPr>
      <w:tblGrid>
        <w:gridCol w:w="4250"/>
        <w:gridCol w:w="2480"/>
        <w:gridCol w:w="90"/>
        <w:gridCol w:w="299"/>
        <w:gridCol w:w="511"/>
        <w:gridCol w:w="158"/>
        <w:gridCol w:w="158"/>
        <w:gridCol w:w="299"/>
        <w:gridCol w:w="511"/>
        <w:gridCol w:w="135"/>
      </w:tblGrid>
      <w:tr>
        <w:trPr/>
        <w:tc>
          <w:tcPr>
            <w:tcW w:w="4250"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3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35"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283"/>
              <w:jc w:val="left"/>
              <w:rPr/>
            </w:pPr>
            <w:r>
              <w:rPr/>
            </w:r>
          </w:p>
        </w:tc>
        <w:tc>
          <w:tcPr>
            <w:tcW w:w="248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Location</w:t>
            </w:r>
          </w:p>
        </w:tc>
        <w:tc>
          <w:tcPr>
            <w:tcW w:w="90" w:type="dxa"/>
            <w:tcBorders/>
            <w:vAlign w:val="bottom"/>
          </w:tcPr>
          <w:p>
            <w:pPr>
              <w:pStyle w:val="TableContents"/>
              <w:bidi w:val="0"/>
              <w:spacing w:before="0" w:after="283"/>
              <w:jc w:val="left"/>
              <w:rPr/>
            </w:pPr>
            <w:r>
              <w:rPr/>
              <w:t> </w:t>
            </w:r>
          </w:p>
        </w:tc>
        <w:tc>
          <w:tcPr>
            <w:tcW w:w="8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5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jc w:val="left"/>
              <w:rPr>
                <w:color w:val="000000"/>
              </w:rPr>
            </w:pPr>
            <w:r>
              <w:rPr>
                <w:color w:val="000000"/>
              </w:rPr>
              <w:t>Gain (loss) on mortgage banking derivatives</w:t>
            </w:r>
          </w:p>
        </w:tc>
        <w:tc>
          <w:tcPr>
            <w:tcW w:w="2480" w:type="dxa"/>
            <w:tcBorders/>
            <w:shd w:fill="CCEEFF" w:val="clear"/>
            <w:vAlign w:val="bottom"/>
          </w:tcPr>
          <w:p>
            <w:pPr>
              <w:pStyle w:val="TableContents"/>
              <w:bidi w:val="0"/>
              <w:spacing w:before="0" w:after="0"/>
              <w:jc w:val="left"/>
              <w:rPr>
                <w:color w:val="000000"/>
              </w:rPr>
            </w:pPr>
            <w:r>
              <w:rPr>
                <w:color w:val="000000"/>
              </w:rPr>
              <w:t>Net gain on sales of loans</w:t>
            </w:r>
          </w:p>
        </w:tc>
        <w:tc>
          <w:tcPr>
            <w:tcW w:w="9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0"/>
              <w:jc w:val="left"/>
              <w:rPr>
                <w:color w:val="000000"/>
              </w:rPr>
            </w:pPr>
            <w:r>
              <w:rPr>
                <w:color w:val="000000"/>
              </w:rPr>
              <w:t>$</w:t>
            </w:r>
          </w:p>
        </w:tc>
        <w:tc>
          <w:tcPr>
            <w:tcW w:w="511" w:type="dxa"/>
            <w:tcBorders/>
            <w:shd w:fill="CCEEFF" w:val="clear"/>
            <w:vAlign w:val="bottom"/>
          </w:tcPr>
          <w:p>
            <w:pPr>
              <w:pStyle w:val="TableContents"/>
              <w:bidi w:val="0"/>
              <w:spacing w:before="0" w:after="0"/>
              <w:jc w:val="right"/>
              <w:rPr>
                <w:color w:val="000000"/>
              </w:rPr>
            </w:pPr>
            <w:r>
              <w:rPr>
                <w:color w:val="000000"/>
              </w:rPr>
              <w:t>91</w:t>
            </w:r>
          </w:p>
        </w:tc>
        <w:tc>
          <w:tcPr>
            <w:tcW w:w="15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0"/>
              <w:jc w:val="left"/>
              <w:rPr>
                <w:color w:val="000000"/>
              </w:rPr>
            </w:pPr>
            <w:r>
              <w:rPr>
                <w:color w:val="000000"/>
              </w:rPr>
              <w:t>$</w:t>
            </w:r>
          </w:p>
        </w:tc>
        <w:tc>
          <w:tcPr>
            <w:tcW w:w="511" w:type="dxa"/>
            <w:tcBorders/>
            <w:shd w:fill="CCEEFF" w:val="clear"/>
            <w:vAlign w:val="bottom"/>
          </w:tcPr>
          <w:p>
            <w:pPr>
              <w:pStyle w:val="TableContents"/>
              <w:bidi w:val="0"/>
              <w:spacing w:before="0" w:after="0"/>
              <w:jc w:val="right"/>
              <w:rPr>
                <w:color w:val="000000"/>
              </w:rPr>
            </w:pPr>
            <w:r>
              <w:rPr>
                <w:color w:val="000000"/>
              </w:rPr>
              <w:t>37</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amount and fair value of mortgage banking derivatives in the consolidated balance sheets at the dates indicated (dollars in thousands):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01" w:name="zb29bec4d637e42d78bf697b4b3826327"/>
      <w:bookmarkStart w:id="102" w:name="zb29bec4d637e42d78bf697b4b3826327"/>
      <w:bookmarkEnd w:id="102"/>
    </w:p>
    <w:tbl>
      <w:tblPr>
        <w:tblW w:w="9556" w:type="dxa"/>
        <w:jc w:val="left"/>
        <w:tblInd w:w="0" w:type="dxa"/>
        <w:tblLayout w:type="fixed"/>
        <w:tblCellMar>
          <w:top w:w="0" w:type="dxa"/>
          <w:left w:w="0" w:type="dxa"/>
          <w:bottom w:w="0" w:type="dxa"/>
          <w:right w:w="0" w:type="dxa"/>
        </w:tblCellMar>
      </w:tblPr>
      <w:tblGrid>
        <w:gridCol w:w="5420"/>
        <w:gridCol w:w="90"/>
        <w:gridCol w:w="177"/>
        <w:gridCol w:w="743"/>
        <w:gridCol w:w="90"/>
        <w:gridCol w:w="90"/>
        <w:gridCol w:w="190"/>
        <w:gridCol w:w="460"/>
        <w:gridCol w:w="90"/>
        <w:gridCol w:w="90"/>
        <w:gridCol w:w="205"/>
        <w:gridCol w:w="859"/>
        <w:gridCol w:w="108"/>
        <w:gridCol w:w="108"/>
        <w:gridCol w:w="205"/>
        <w:gridCol w:w="496"/>
        <w:gridCol w:w="135"/>
      </w:tblGrid>
      <w:tr>
        <w:trPr/>
        <w:tc>
          <w:tcPr>
            <w:tcW w:w="54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135" w:type="dxa"/>
            <w:tcBorders/>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64"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108" w:type="dxa"/>
            <w:tcBorders/>
            <w:vAlign w:val="center"/>
          </w:tcPr>
          <w:p>
            <w:pPr>
              <w:pStyle w:val="TableContents"/>
              <w:bidi w:val="0"/>
              <w:spacing w:before="0" w:after="283"/>
              <w:jc w:val="center"/>
              <w:rPr/>
            </w:pPr>
            <w:r>
              <w:rPr/>
              <w:t> </w:t>
            </w:r>
          </w:p>
        </w:tc>
        <w:tc>
          <w:tcPr>
            <w:tcW w:w="108" w:type="dxa"/>
            <w:tcBorders/>
            <w:vAlign w:val="center"/>
          </w:tcPr>
          <w:p>
            <w:pPr>
              <w:pStyle w:val="TableContents"/>
              <w:bidi w:val="0"/>
              <w:spacing w:before="0" w:after="283"/>
              <w:jc w:val="center"/>
              <w:rPr/>
            </w:pPr>
            <w:r>
              <w:rPr/>
              <w:t> </w:t>
            </w:r>
          </w:p>
        </w:tc>
        <w:tc>
          <w:tcPr>
            <w:tcW w:w="701"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135" w:type="dxa"/>
            <w:tcBorders/>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0"/>
              <w:jc w:val="left"/>
              <w:rPr>
                <w:color w:val="000000"/>
              </w:rPr>
            </w:pPr>
            <w:r>
              <w:rPr>
                <w:color w:val="000000"/>
              </w:rPr>
              <w:t>Included in other assets:</w:t>
            </w:r>
          </w:p>
        </w:tc>
        <w:tc>
          <w:tcPr>
            <w:tcW w:w="9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4" w:type="dxa"/>
            <w:gridSpan w:val="2"/>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01"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5420" w:type="dxa"/>
            <w:tcBorders/>
            <w:shd w:fill="CCEEFF" w:val="clear"/>
            <w:vAlign w:val="bottom"/>
          </w:tcPr>
          <w:p>
            <w:pPr>
              <w:pStyle w:val="TableContents"/>
              <w:bidi w:val="0"/>
              <w:spacing w:before="0" w:after="0"/>
              <w:ind w:left="180" w:right="0" w:hanging="0"/>
              <w:jc w:val="left"/>
              <w:rPr>
                <w:color w:val="000000"/>
              </w:rPr>
            </w:pPr>
            <w:r>
              <w:rPr>
                <w:color w:val="000000"/>
              </w:rPr>
              <w:t>Forward contracts related to mortgage loans held for sale</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74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0"/>
              <w:jc w:val="left"/>
              <w:rPr>
                <w:color w:val="000000"/>
              </w:rPr>
            </w:pPr>
            <w:r>
              <w:rPr>
                <w:color w:val="000000"/>
              </w:rPr>
              <w:t>$</w:t>
            </w:r>
          </w:p>
        </w:tc>
        <w:tc>
          <w:tcPr>
            <w:tcW w:w="46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859" w:type="dxa"/>
            <w:tcBorders/>
            <w:shd w:fill="CCEEFF" w:val="clear"/>
            <w:vAlign w:val="bottom"/>
          </w:tcPr>
          <w:p>
            <w:pPr>
              <w:pStyle w:val="TableContents"/>
              <w:bidi w:val="0"/>
              <w:spacing w:before="0" w:after="0"/>
              <w:jc w:val="right"/>
              <w:rPr>
                <w:color w:val="000000"/>
              </w:rPr>
            </w:pPr>
            <w:r>
              <w:rPr>
                <w:color w:val="000000"/>
              </w:rPr>
              <w:t>-</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496"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0"/>
              <w:ind w:left="180" w:right="0" w:hanging="0"/>
              <w:jc w:val="left"/>
              <w:rPr>
                <w:color w:val="000000"/>
              </w:rPr>
            </w:pPr>
            <w:r>
              <w:rPr>
                <w:color w:val="000000"/>
              </w:rPr>
              <w:t>Interest rate lock commitments</w:t>
            </w:r>
          </w:p>
        </w:tc>
        <w:tc>
          <w:tcPr>
            <w:tcW w:w="9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color w:val="000000"/>
              </w:rPr>
            </w:pPr>
            <w:r>
              <w:rPr>
                <w:color w:val="000000"/>
              </w:rPr>
              <w:t>19,407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0"/>
              <w:jc w:val="right"/>
              <w:rPr>
                <w:color w:val="000000"/>
              </w:rPr>
            </w:pPr>
            <w:r>
              <w:rPr>
                <w:color w:val="000000"/>
              </w:rPr>
              <w:t>288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color w:val="000000"/>
              </w:rPr>
            </w:pPr>
            <w:r>
              <w:rPr>
                <w:color w:val="000000"/>
              </w:rPr>
              <w:t>16,127</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0"/>
              <w:jc w:val="right"/>
              <w:rPr>
                <w:color w:val="000000"/>
              </w:rPr>
            </w:pPr>
            <w:r>
              <w:rPr>
                <w:color w:val="000000"/>
              </w:rPr>
              <w:t>216</w:t>
            </w:r>
          </w:p>
        </w:tc>
        <w:tc>
          <w:tcPr>
            <w:tcW w:w="135" w:type="dxa"/>
            <w:tcBorders/>
            <w:vAlign w:val="bottom"/>
          </w:tcPr>
          <w:p>
            <w:pPr>
              <w:pStyle w:val="TableContents"/>
              <w:bidi w:val="0"/>
              <w:spacing w:before="0" w:after="283"/>
              <w:jc w:val="left"/>
              <w:rPr/>
            </w:pPr>
            <w:r>
              <w:rPr/>
              <w:t> </w:t>
            </w:r>
          </w:p>
        </w:tc>
      </w:tr>
      <w:tr>
        <w:trPr/>
        <w:tc>
          <w:tcPr>
            <w:tcW w:w="542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0"/>
              <w:jc w:val="left"/>
              <w:rPr>
                <w:color w:val="000000"/>
              </w:rPr>
            </w:pPr>
            <w:r>
              <w:rPr>
                <w:color w:val="000000"/>
              </w:rPr>
              <w:t>Included in other liabilities:</w:t>
            </w:r>
          </w:p>
        </w:tc>
        <w:tc>
          <w:tcPr>
            <w:tcW w:w="9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5420" w:type="dxa"/>
            <w:tcBorders/>
            <w:shd w:fill="CCEEFF" w:val="clear"/>
            <w:vAlign w:val="bottom"/>
          </w:tcPr>
          <w:p>
            <w:pPr>
              <w:pStyle w:val="TableContents"/>
              <w:bidi w:val="0"/>
              <w:spacing w:before="0" w:after="0"/>
              <w:ind w:left="180" w:right="0" w:hanging="0"/>
              <w:jc w:val="left"/>
              <w:rPr>
                <w:color w:val="000000"/>
              </w:rPr>
            </w:pPr>
            <w:r>
              <w:rPr>
                <w:color w:val="000000"/>
              </w:rPr>
              <w:t>Forward contracts related to mortgage loans held for sale</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743" w:type="dxa"/>
            <w:tcBorders/>
            <w:shd w:fill="CCEEFF" w:val="clear"/>
            <w:vAlign w:val="bottom"/>
          </w:tcPr>
          <w:p>
            <w:pPr>
              <w:pStyle w:val="TableContents"/>
              <w:bidi w:val="0"/>
              <w:spacing w:before="0" w:after="0"/>
              <w:jc w:val="right"/>
              <w:rPr>
                <w:color w:val="000000"/>
              </w:rPr>
            </w:pPr>
            <w:r>
              <w:rPr>
                <w:color w:val="000000"/>
              </w:rPr>
              <w:t>17,639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0"/>
              <w:jc w:val="left"/>
              <w:rPr>
                <w:color w:val="000000"/>
              </w:rPr>
            </w:pPr>
            <w:r>
              <w:rPr>
                <w:color w:val="000000"/>
              </w:rPr>
              <w:t>$</w:t>
            </w:r>
          </w:p>
        </w:tc>
        <w:tc>
          <w:tcPr>
            <w:tcW w:w="460" w:type="dxa"/>
            <w:tcBorders/>
            <w:shd w:fill="CCEEFF" w:val="clear"/>
            <w:vAlign w:val="bottom"/>
          </w:tcPr>
          <w:p>
            <w:pPr>
              <w:pStyle w:val="TableContents"/>
              <w:bidi w:val="0"/>
              <w:spacing w:before="0" w:after="0"/>
              <w:jc w:val="right"/>
              <w:rPr>
                <w:color w:val="000000"/>
              </w:rPr>
            </w:pPr>
            <w:r>
              <w:rPr>
                <w:color w:val="000000"/>
              </w:rPr>
              <w:t>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859" w:type="dxa"/>
            <w:tcBorders/>
            <w:shd w:fill="CCEEFF" w:val="clear"/>
            <w:vAlign w:val="bottom"/>
          </w:tcPr>
          <w:p>
            <w:pPr>
              <w:pStyle w:val="TableContents"/>
              <w:bidi w:val="0"/>
              <w:spacing w:before="0" w:after="0"/>
              <w:jc w:val="right"/>
              <w:rPr>
                <w:color w:val="000000"/>
              </w:rPr>
            </w:pPr>
            <w:r>
              <w:rPr>
                <w:color w:val="000000"/>
              </w:rPr>
              <w:t>15,746</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496" w:type="dxa"/>
            <w:tcBorders/>
            <w:shd w:fill="CCEEFF" w:val="clear"/>
            <w:vAlign w:val="bottom"/>
          </w:tcPr>
          <w:p>
            <w:pPr>
              <w:pStyle w:val="TableContents"/>
              <w:bidi w:val="0"/>
              <w:spacing w:before="0" w:after="0"/>
              <w:jc w:val="right"/>
              <w:rPr>
                <w:color w:val="000000"/>
              </w:rPr>
            </w:pPr>
            <w:r>
              <w:rPr>
                <w:color w:val="000000"/>
              </w:rPr>
              <w:t>65</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had received cash collateral of $9.3 million and $10.5 million to offset asset derivative positions on its interest rate swaps at June 30, 2026 and December 31, 2025, respectively. This amount is reported in other liabilities in the consolidated balance sheets. The Company had advanced $1.1 million to offset liability derivative positions on its interest rate swaps at June 30, 2026 and December 31, 2025. Additionally, the Company had advanced $270 thousand on its mortgage forward contracts at June 30, 2026 and December 31, 2025. The advanced cash collateral amounts are reported in cash and due from banks in the consolidated balance sheets.</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12.  EARNINGS PER SHARE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factors used in the earnings per share computation for the periods indicated follow (dollars in thousands, except per share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3" w:name="zf4804afeef8e4c8bb2c1fec7fb8d6a1e"/>
      <w:bookmarkStart w:id="104" w:name="zf4804afeef8e4c8bb2c1fec7fb8d6a1e"/>
      <w:bookmarkEnd w:id="104"/>
    </w:p>
    <w:tbl>
      <w:tblPr>
        <w:tblW w:w="10205" w:type="dxa"/>
        <w:jc w:val="left"/>
        <w:tblInd w:w="0" w:type="dxa"/>
        <w:tblLayout w:type="fixed"/>
        <w:tblCellMar>
          <w:top w:w="0" w:type="dxa"/>
          <w:left w:w="0" w:type="dxa"/>
          <w:bottom w:w="0" w:type="dxa"/>
          <w:right w:w="0" w:type="dxa"/>
        </w:tblCellMar>
      </w:tblPr>
      <w:tblGrid>
        <w:gridCol w:w="4240"/>
        <w:gridCol w:w="90"/>
        <w:gridCol w:w="170"/>
        <w:gridCol w:w="1130"/>
        <w:gridCol w:w="90"/>
        <w:gridCol w:w="90"/>
        <w:gridCol w:w="170"/>
        <w:gridCol w:w="1130"/>
        <w:gridCol w:w="90"/>
        <w:gridCol w:w="90"/>
        <w:gridCol w:w="170"/>
        <w:gridCol w:w="1130"/>
        <w:gridCol w:w="90"/>
        <w:gridCol w:w="90"/>
        <w:gridCol w:w="170"/>
        <w:gridCol w:w="1130"/>
        <w:gridCol w:w="135"/>
      </w:tblGrid>
      <w:tr>
        <w:trPr/>
        <w:tc>
          <w:tcPr>
            <w:tcW w:w="424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7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35" w:type="dxa"/>
            <w:tcBorders/>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pPr>
            <w:r>
              <w:rPr/>
              <w:t> </w:t>
            </w:r>
          </w:p>
        </w:tc>
      </w:tr>
      <w:tr>
        <w:trPr/>
        <w:tc>
          <w:tcPr>
            <w:tcW w:w="4240" w:type="dxa"/>
            <w:tcBorders/>
            <w:shd w:fill="CCEEFF" w:val="clear"/>
            <w:vAlign w:val="bottom"/>
          </w:tcPr>
          <w:p>
            <w:pPr>
              <w:pStyle w:val="TableContents"/>
              <w:bidi w:val="0"/>
              <w:spacing w:before="0" w:after="0"/>
              <w:ind w:left="180" w:right="0" w:hanging="180"/>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18,992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14,605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33,537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26,899</w:t>
            </w:r>
          </w:p>
        </w:tc>
        <w:tc>
          <w:tcPr>
            <w:tcW w:w="135" w:type="dxa"/>
            <w:tcBorders/>
            <w:shd w:fill="CCEEFF" w:val="clear"/>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4240" w:type="dxa"/>
            <w:tcBorders/>
            <w:shd w:fill="CCEEFF" w:val="clear"/>
            <w:vAlign w:val="bottom"/>
          </w:tcPr>
          <w:p>
            <w:pPr>
              <w:pStyle w:val="TableContents"/>
              <w:bidi w:val="0"/>
              <w:spacing w:before="0" w:after="0"/>
              <w:ind w:left="180" w:right="0" w:hanging="180"/>
              <w:jc w:val="left"/>
              <w:rPr>
                <w:color w:val="000000"/>
              </w:rPr>
            </w:pPr>
            <w:r>
              <w:rPr>
                <w:color w:val="000000"/>
              </w:rPr>
              <w:t>Weighted average common shares outstanding - basic</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19,100,893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16,231,627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17,686,489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16,323,236</w:t>
            </w:r>
          </w:p>
        </w:tc>
        <w:tc>
          <w:tcPr>
            <w:tcW w:w="135" w:type="dxa"/>
            <w:tcBorders/>
            <w:shd w:fill="CCEEFF" w:val="clear"/>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0"/>
              <w:ind w:left="180" w:right="0" w:hanging="180"/>
              <w:jc w:val="left"/>
              <w:rPr>
                <w:color w:val="000000"/>
              </w:rPr>
            </w:pPr>
            <w:r>
              <w:rPr>
                <w:color w:val="000000"/>
              </w:rPr>
              <w:t>Effect of dilutive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4240"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 awards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708,908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655,366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713,113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650,636</w:t>
            </w:r>
          </w:p>
        </w:tc>
        <w:tc>
          <w:tcPr>
            <w:tcW w:w="135" w:type="dxa"/>
            <w:tcBorders/>
            <w:shd w:fill="CCEEFF" w:val="clear"/>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0"/>
              <w:ind w:left="180" w:right="0" w:hanging="180"/>
              <w:jc w:val="left"/>
              <w:rPr>
                <w:color w:val="000000"/>
              </w:rPr>
            </w:pPr>
            <w:r>
              <w:rPr>
                <w:color w:val="000000"/>
              </w:rPr>
              <w:t>Weighted average common shares outstanding - diluted</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19,809,801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16,886,993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18,399,602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16,973,872</w:t>
            </w:r>
          </w:p>
        </w:tc>
        <w:tc>
          <w:tcPr>
            <w:tcW w:w="135" w:type="dxa"/>
            <w:tcBorders/>
            <w:vAlign w:val="bottom"/>
          </w:tcPr>
          <w:p>
            <w:pPr>
              <w:pStyle w:val="TableContents"/>
              <w:bidi w:val="0"/>
              <w:spacing w:before="0" w:after="283"/>
              <w:jc w:val="left"/>
              <w:rPr/>
            </w:pPr>
            <w:r>
              <w:rPr/>
              <w:t> </w:t>
            </w:r>
          </w:p>
        </w:tc>
      </w:tr>
      <w:tr>
        <w:trPr/>
        <w:tc>
          <w:tcPr>
            <w:tcW w:w="4240"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0"/>
              <w:ind w:left="180" w:right="0" w:hanging="180"/>
              <w:jc w:val="left"/>
              <w:rPr>
                <w:color w:val="000000"/>
              </w:rPr>
            </w:pPr>
            <w:r>
              <w:rPr>
                <w:color w:val="000000"/>
              </w:rPr>
              <w:t>Basic earnings per share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130" w:type="dxa"/>
            <w:tcBorders/>
            <w:vAlign w:val="bottom"/>
          </w:tcPr>
          <w:p>
            <w:pPr>
              <w:pStyle w:val="TableContents"/>
              <w:bidi w:val="0"/>
              <w:spacing w:before="0" w:after="0"/>
              <w:jc w:val="right"/>
              <w:rPr>
                <w:color w:val="000000"/>
              </w:rPr>
            </w:pPr>
            <w:r>
              <w:rPr>
                <w:color w:val="000000"/>
              </w:rPr>
              <w:t>0.99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130" w:type="dxa"/>
            <w:tcBorders/>
            <w:vAlign w:val="bottom"/>
          </w:tcPr>
          <w:p>
            <w:pPr>
              <w:pStyle w:val="TableContents"/>
              <w:bidi w:val="0"/>
              <w:spacing w:before="0" w:after="0"/>
              <w:jc w:val="right"/>
              <w:rPr>
                <w:color w:val="000000"/>
              </w:rPr>
            </w:pPr>
            <w:r>
              <w:rPr>
                <w:color w:val="000000"/>
              </w:rPr>
              <w:t>0.90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130" w:type="dxa"/>
            <w:tcBorders/>
            <w:vAlign w:val="bottom"/>
          </w:tcPr>
          <w:p>
            <w:pPr>
              <w:pStyle w:val="TableContents"/>
              <w:bidi w:val="0"/>
              <w:spacing w:before="0" w:after="0"/>
              <w:jc w:val="right"/>
              <w:rPr>
                <w:color w:val="000000"/>
              </w:rPr>
            </w:pPr>
            <w:r>
              <w:rPr>
                <w:color w:val="000000"/>
              </w:rPr>
              <w:t>1.90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130" w:type="dxa"/>
            <w:tcBorders/>
            <w:vAlign w:val="bottom"/>
          </w:tcPr>
          <w:p>
            <w:pPr>
              <w:pStyle w:val="TableContents"/>
              <w:bidi w:val="0"/>
              <w:spacing w:before="0" w:after="0"/>
              <w:jc w:val="right"/>
              <w:rPr>
                <w:color w:val="000000"/>
              </w:rPr>
            </w:pPr>
            <w:r>
              <w:rPr>
                <w:color w:val="000000"/>
              </w:rPr>
              <w:t>1.65</w:t>
            </w:r>
          </w:p>
        </w:tc>
        <w:tc>
          <w:tcPr>
            <w:tcW w:w="135" w:type="dxa"/>
            <w:tcBorders/>
            <w:vAlign w:val="bottom"/>
          </w:tcPr>
          <w:p>
            <w:pPr>
              <w:pStyle w:val="TableContents"/>
              <w:bidi w:val="0"/>
              <w:spacing w:before="0" w:after="283"/>
              <w:jc w:val="left"/>
              <w:rPr/>
            </w:pPr>
            <w:r>
              <w:rPr/>
              <w:t> </w:t>
            </w:r>
          </w:p>
        </w:tc>
      </w:tr>
      <w:tr>
        <w:trPr/>
        <w:tc>
          <w:tcPr>
            <w:tcW w:w="4240" w:type="dxa"/>
            <w:tcBorders/>
            <w:shd w:fill="CCEEFF" w:val="clear"/>
            <w:vAlign w:val="bottom"/>
          </w:tcPr>
          <w:p>
            <w:pPr>
              <w:pStyle w:val="TableContents"/>
              <w:bidi w:val="0"/>
              <w:spacing w:before="0" w:after="0"/>
              <w:jc w:val="left"/>
              <w:rPr>
                <w:color w:val="000000"/>
              </w:rPr>
            </w:pPr>
            <w:r>
              <w:rPr>
                <w:color w:val="000000"/>
              </w:rPr>
              <w:t>Diluted earnings per share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0.96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0.86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1.58</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13.  SEGMENT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Operating segments are components of a business about which separate financial information is available that is evaluated regularly by the chief operating decision-maker (“CODM”) in deciding how to allocate resources and in assessing performance.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reportable banking segment is determined by its President, who is the designated CODM. City Bank is the only significant subsidiary upon which the CODM makes decisions regarding how to allocate resources and assess performance. Individual bank branches offer a group of similar services, including commercial, real estate and consumer loans, time deposits, checking and savings accounts, all with similar operating and economic characteristics. While the CODM monitors the revenue streams of the various products, services, and branch locations, operations are managed and financial performance is evaluated on a Company-wide basis. Accordingly, all of the community banking services and branch locations are considered by management to be aggregated into one reportable operating segment, banking. Loans, investments, and deposits provide the significant revenues and interest expense, provision for credit losses and salaries and employee benefits comprise the significant expenses within the banking segment. All significant revenues and expenses mentioned above are shown individually on the Consolidated Statements of Comprehensive Income.</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14.  FAIR VALUE DISCLOSURES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pStyle w:val="TextBody"/>
        <w:bidi w:val="0"/>
        <w:spacing w:before="0" w:after="0"/>
        <w:jc w:val="both"/>
        <w:rPr>
          <w:color w:val="000000"/>
        </w:rPr>
      </w:pPr>
      <w:r>
        <w:rPr>
          <w:color w:val="000000"/>
        </w:rPr>
      </w:r>
    </w:p>
    <w:p>
      <w:pPr>
        <w:pStyle w:val="Normal"/>
        <w:bidi w:val="0"/>
        <w:spacing w:before="0" w:after="0"/>
        <w:jc w:val="left"/>
        <w:rPr>
          <w:sz w:val="4"/>
          <w:szCs w:val="4"/>
        </w:rPr>
      </w:pPr>
      <w:r>
        <w:rPr>
          <w:sz w:val="4"/>
          <w:szCs w:val="4"/>
        </w:rPr>
      </w:r>
      <w:bookmarkStart w:id="105" w:name="z7c14ead7fae74637854f049cb3acbe61"/>
      <w:bookmarkStart w:id="106" w:name="z7c14ead7fae74637854f049cb3acbe61"/>
      <w:bookmarkEnd w:id="106"/>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000000"/>
              </w:rPr>
            </w:pPr>
            <w:r>
              <w:rPr>
                <w:color w:val="000000"/>
              </w:rPr>
              <w:t>●</w:t>
            </w:r>
          </w:p>
        </w:tc>
        <w:tc>
          <w:tcPr>
            <w:tcW w:w="9900" w:type="dxa"/>
            <w:tcBorders/>
            <w:vAlign w:val="center"/>
          </w:tcPr>
          <w:p>
            <w:pPr>
              <w:pStyle w:val="TableContents"/>
              <w:bidi w:val="0"/>
              <w:spacing w:before="0" w:after="0"/>
              <w:jc w:val="left"/>
              <w:rPr>
                <w:color w:val="000000"/>
                <w:sz w:val="24"/>
              </w:rPr>
            </w:pPr>
            <w:r>
              <w:rPr>
                <w:i/>
                <w:color w:val="000000"/>
                <w:sz w:val="20"/>
              </w:rPr>
              <w:t>Level 1 Inputs</w:t>
            </w:r>
            <w:r>
              <w:rPr>
                <w:color w:val="000000"/>
                <w:sz w:val="24"/>
              </w:rPr>
              <w:t xml:space="preserve"> </w:t>
            </w:r>
            <w:r>
              <w:rPr>
                <w:color w:val="000000"/>
                <w:sz w:val="20"/>
              </w:rPr>
              <w:t>- Unadjusted quoted prices in active markets for identical assets or liabilities that the reporting entity has the ability to access at the measurement date.</w:t>
            </w:r>
          </w:p>
        </w:tc>
      </w:tr>
    </w:tbl>
    <w:p>
      <w:pPr>
        <w:pStyle w:val="Normal"/>
        <w:bidi w:val="0"/>
        <w:spacing w:before="0" w:after="0"/>
        <w:jc w:val="left"/>
        <w:rPr>
          <w:sz w:val="4"/>
          <w:szCs w:val="4"/>
        </w:rPr>
      </w:pPr>
      <w:r>
        <w:rPr>
          <w:sz w:val="4"/>
          <w:szCs w:val="4"/>
        </w:rPr>
      </w:r>
      <w:bookmarkStart w:id="107" w:name="z04f0d0514c6e4583b849ca7e0b0952f4"/>
      <w:bookmarkStart w:id="108" w:name="z04f0d0514c6e4583b849ca7e0b0952f4"/>
      <w:bookmarkEnd w:id="108"/>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5" w:right="0" w:hanging="0"/>
              <w:jc w:val="left"/>
              <w:rPr>
                <w:color w:val="000000"/>
              </w:rPr>
            </w:pPr>
            <w:r>
              <w:rPr>
                <w:color w:val="000000"/>
              </w:rPr>
              <w:t>●</w:t>
            </w:r>
          </w:p>
        </w:tc>
        <w:tc>
          <w:tcPr>
            <w:tcW w:w="9900" w:type="dxa"/>
            <w:tcBorders/>
            <w:vAlign w:val="center"/>
          </w:tcPr>
          <w:p>
            <w:pPr>
              <w:pStyle w:val="TableContents"/>
              <w:bidi w:val="0"/>
              <w:spacing w:before="0" w:after="0"/>
              <w:ind w:left="5" w:right="0" w:hanging="0"/>
              <w:jc w:val="left"/>
              <w:rPr>
                <w:color w:val="000000"/>
                <w:sz w:val="24"/>
              </w:rPr>
            </w:pPr>
            <w:r>
              <w:rPr>
                <w:i/>
                <w:color w:val="000000"/>
                <w:sz w:val="20"/>
              </w:rPr>
              <w:t>Level 2 Inputs</w:t>
            </w:r>
            <w:r>
              <w:rPr>
                <w:color w:val="000000"/>
                <w:sz w:val="24"/>
              </w:rPr>
              <w:t xml:space="preserve"> </w:t>
            </w:r>
            <w:r>
              <w:rPr>
                <w:color w:val="000000"/>
                <w:sz w:val="20"/>
              </w:rPr>
              <w:t>- 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tc>
      </w:tr>
    </w:tbl>
    <w:p>
      <w:pPr>
        <w:pStyle w:val="Normal"/>
        <w:bidi w:val="0"/>
        <w:spacing w:before="0" w:after="0"/>
        <w:jc w:val="left"/>
        <w:rPr>
          <w:sz w:val="4"/>
          <w:szCs w:val="4"/>
        </w:rPr>
      </w:pPr>
      <w:r>
        <w:rPr>
          <w:sz w:val="4"/>
          <w:szCs w:val="4"/>
        </w:rPr>
      </w:r>
      <w:bookmarkStart w:id="109" w:name="z5f00ae0a085a48968176e3fb3828063b"/>
      <w:bookmarkStart w:id="110" w:name="z5f00ae0a085a48968176e3fb3828063b"/>
      <w:bookmarkEnd w:id="110"/>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5" w:right="0" w:hanging="0"/>
              <w:jc w:val="left"/>
              <w:rPr>
                <w:color w:val="000000"/>
              </w:rPr>
            </w:pPr>
            <w:r>
              <w:rPr>
                <w:color w:val="000000"/>
              </w:rPr>
              <w:t>●</w:t>
            </w:r>
          </w:p>
        </w:tc>
        <w:tc>
          <w:tcPr>
            <w:tcW w:w="9900" w:type="dxa"/>
            <w:tcBorders/>
            <w:vAlign w:val="center"/>
          </w:tcPr>
          <w:p>
            <w:pPr>
              <w:pStyle w:val="TableContents"/>
              <w:bidi w:val="0"/>
              <w:spacing w:before="0" w:after="0"/>
              <w:ind w:left="5" w:right="0" w:hanging="0"/>
              <w:jc w:val="left"/>
              <w:rPr>
                <w:color w:val="000000"/>
                <w:sz w:val="24"/>
              </w:rPr>
            </w:pPr>
            <w:r>
              <w:rPr>
                <w:i/>
                <w:color w:val="000000"/>
                <w:sz w:val="20"/>
              </w:rPr>
              <w:t>Level 3 Inputs</w:t>
            </w:r>
            <w:r>
              <w:rPr>
                <w:color w:val="000000"/>
                <w:sz w:val="24"/>
              </w:rPr>
              <w:t xml:space="preserve"> </w:t>
            </w:r>
            <w:r>
              <w:rPr>
                <w:color w:val="000000"/>
                <w:sz w:val="20"/>
              </w:rPr>
              <w:t>- Significant unobservable inputs for determining the fair values of assets or liabilities that reflect an entity’s own assumptions about the assumptions that market participants would use in pricing the assets or liabilities.</w:t>
            </w:r>
          </w:p>
        </w:tc>
      </w:tr>
    </w:tbl>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fair value measurements as of the dates indicated below (dollars in thousands):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11" w:name="z0bb5db57dbe545d59b5fd6a965184793"/>
      <w:bookmarkStart w:id="112" w:name="z0bb5db57dbe545d59b5fd6a965184793"/>
      <w:bookmarkEnd w:id="112"/>
    </w:p>
    <w:tbl>
      <w:tblPr>
        <w:tblW w:w="10205" w:type="dxa"/>
        <w:jc w:val="left"/>
        <w:tblInd w:w="0" w:type="dxa"/>
        <w:tblLayout w:type="fixed"/>
        <w:tblCellMar>
          <w:top w:w="0" w:type="dxa"/>
          <w:left w:w="0" w:type="dxa"/>
          <w:bottom w:w="0" w:type="dxa"/>
          <w:right w:w="0" w:type="dxa"/>
        </w:tblCellMar>
      </w:tblPr>
      <w:tblGrid>
        <w:gridCol w:w="5710"/>
        <w:gridCol w:w="90"/>
        <w:gridCol w:w="448"/>
        <w:gridCol w:w="330"/>
        <w:gridCol w:w="90"/>
        <w:gridCol w:w="90"/>
        <w:gridCol w:w="170"/>
        <w:gridCol w:w="830"/>
        <w:gridCol w:w="125"/>
        <w:gridCol w:w="90"/>
        <w:gridCol w:w="170"/>
        <w:gridCol w:w="710"/>
        <w:gridCol w:w="90"/>
        <w:gridCol w:w="90"/>
        <w:gridCol w:w="170"/>
        <w:gridCol w:w="830"/>
        <w:gridCol w:w="172"/>
      </w:tblGrid>
      <w:tr>
        <w:trPr/>
        <w:tc>
          <w:tcPr>
            <w:tcW w:w="57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7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72" w:type="dxa"/>
            <w:tcBorders/>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jc w:val="left"/>
              <w:rPr>
                <w:color w:val="000000"/>
                <w:u w:val="single"/>
              </w:rPr>
            </w:pPr>
            <w:r>
              <w:rPr>
                <w:color w:val="000000"/>
                <w:u w:val="single"/>
              </w:rPr>
              <w:t>June 30, 2026</w:t>
            </w:r>
          </w:p>
        </w:tc>
        <w:tc>
          <w:tcPr>
            <w:tcW w:w="90" w:type="dxa"/>
            <w:tcBorders/>
            <w:vAlign w:val="bottom"/>
          </w:tcPr>
          <w:p>
            <w:pPr>
              <w:pStyle w:val="TableContents"/>
              <w:bidi w:val="0"/>
              <w:spacing w:before="0" w:after="283"/>
              <w:jc w:val="left"/>
              <w:rPr/>
            </w:pPr>
            <w:r>
              <w:rPr/>
              <w:t> </w:t>
            </w:r>
          </w:p>
        </w:tc>
        <w:tc>
          <w:tcPr>
            <w:tcW w:w="778"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jc w:val="left"/>
              <w:rPr>
                <w:color w:val="000000"/>
              </w:rPr>
            </w:pPr>
            <w:r>
              <w:rPr>
                <w:color w:val="000000"/>
              </w:rPr>
              <w:t>Assets (liabilities) measured at fair value on a recurring basis:</w:t>
            </w:r>
          </w:p>
        </w:tc>
        <w:tc>
          <w:tcPr>
            <w:tcW w:w="90" w:type="dxa"/>
            <w:tcBorders/>
            <w:vAlign w:val="bottom"/>
          </w:tcPr>
          <w:p>
            <w:pPr>
              <w:pStyle w:val="TableContents"/>
              <w:bidi w:val="0"/>
              <w:spacing w:before="0" w:after="283"/>
              <w:jc w:val="left"/>
              <w:rPr/>
            </w:pPr>
            <w:r>
              <w:rPr/>
              <w:t> </w:t>
            </w:r>
          </w:p>
        </w:tc>
        <w:tc>
          <w:tcPr>
            <w:tcW w:w="778"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jc w:val="left"/>
              <w:rPr>
                <w:color w:val="000000"/>
              </w:rPr>
            </w:pPr>
            <w:r>
              <w:rPr>
                <w:color w:val="000000"/>
              </w:rPr>
              <w:t>Securities available for sale:</w:t>
            </w:r>
          </w:p>
        </w:tc>
        <w:tc>
          <w:tcPr>
            <w:tcW w:w="90" w:type="dxa"/>
            <w:tcBorders/>
            <w:vAlign w:val="bottom"/>
          </w:tcPr>
          <w:p>
            <w:pPr>
              <w:pStyle w:val="TableContents"/>
              <w:bidi w:val="0"/>
              <w:spacing w:before="0" w:after="283"/>
              <w:jc w:val="left"/>
              <w:rPr/>
            </w:pPr>
            <w:r>
              <w:rPr/>
              <w:t> </w:t>
            </w:r>
          </w:p>
        </w:tc>
        <w:tc>
          <w:tcPr>
            <w:tcW w:w="778"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ind w:left="180" w:right="0" w:hanging="0"/>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0"/>
              <w:jc w:val="left"/>
              <w:rPr>
                <w:color w:val="000000"/>
              </w:rPr>
            </w:pPr>
            <w:r>
              <w:rPr>
                <w:color w:val="000000"/>
              </w:rPr>
              <w:t>$</w:t>
            </w:r>
          </w:p>
        </w:tc>
        <w:tc>
          <w:tcPr>
            <w:tcW w:w="3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177,786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177,786</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ind w:left="180" w:right="0" w:hanging="0"/>
              <w:jc w:val="left"/>
              <w:rPr>
                <w:color w:val="000000"/>
              </w:rPr>
            </w:pPr>
            <w:r>
              <w:rPr>
                <w:color w:val="000000"/>
              </w:rPr>
              <w:t>Residential mortgage-backed securities</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246,993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246,993</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ind w:left="180" w:right="0" w:hanging="0"/>
              <w:jc w:val="left"/>
              <w:rPr>
                <w:color w:val="000000"/>
              </w:rPr>
            </w:pPr>
            <w:r>
              <w:rPr>
                <w:color w:val="000000"/>
              </w:rPr>
              <w:t>Commercial mortgage-backed securities</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46,285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46,285</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ind w:left="180" w:right="0" w:hanging="0"/>
              <w:jc w:val="left"/>
              <w:rPr>
                <w:color w:val="000000"/>
              </w:rPr>
            </w:pPr>
            <w:r>
              <w:rPr>
                <w:color w:val="000000"/>
              </w:rPr>
              <w:t>Commercial collateralized mortgage obligations</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66,525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66,525</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ind w:left="180" w:right="0" w:hanging="0"/>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12,050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12,050</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ind w:left="180" w:right="0" w:hanging="0"/>
              <w:jc w:val="left"/>
              <w:rPr>
                <w:color w:val="000000"/>
              </w:rPr>
            </w:pPr>
            <w:r>
              <w:rPr>
                <w:color w:val="000000"/>
              </w:rPr>
              <w:t>Other securities</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5,788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5,788</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jc w:val="left"/>
              <w:rPr>
                <w:color w:val="000000"/>
              </w:rPr>
            </w:pPr>
            <w:r>
              <w:rPr>
                <w:color w:val="000000"/>
              </w:rPr>
              <w:t>Loans held for sale (mandatory)</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7,943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7,943</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jc w:val="left"/>
              <w:rPr>
                <w:color w:val="000000"/>
              </w:rPr>
            </w:pPr>
            <w:r>
              <w:rPr>
                <w:color w:val="000000"/>
              </w:rPr>
              <w:t>Mortgage servicing rights</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25,749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25,749</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jc w:val="left"/>
              <w:rPr>
                <w:color w:val="000000"/>
              </w:rPr>
            </w:pPr>
            <w:r>
              <w:rPr>
                <w:color w:val="000000"/>
              </w:rPr>
              <w:t>Asset derivatives</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10,261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10,261</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jc w:val="left"/>
              <w:rPr>
                <w:color w:val="000000"/>
              </w:rPr>
            </w:pPr>
            <w:r>
              <w:rPr>
                <w:color w:val="000000"/>
              </w:rPr>
              <w:t>Liability derivatives</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(46</w:t>
            </w:r>
          </w:p>
        </w:tc>
        <w:tc>
          <w:tcPr>
            <w:tcW w:w="172" w:type="dxa"/>
            <w:tcBorders/>
            <w:vAlign w:val="bottom"/>
          </w:tcPr>
          <w:p>
            <w:pPr>
              <w:pStyle w:val="TableContents"/>
              <w:bidi w:val="0"/>
              <w:spacing w:before="0" w:after="0"/>
              <w:jc w:val="left"/>
              <w:rPr>
                <w:color w:val="000000"/>
              </w:rPr>
            </w:pPr>
            <w:r>
              <w:rPr>
                <w:color w:val="000000"/>
              </w:rPr>
              <w:t>)</w:t>
            </w:r>
          </w:p>
        </w:tc>
      </w:tr>
      <w:tr>
        <w:trPr/>
        <w:tc>
          <w:tcPr>
            <w:tcW w:w="571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jc w:val="left"/>
              <w:rPr>
                <w:color w:val="000000"/>
              </w:rPr>
            </w:pPr>
            <w:r>
              <w:rPr>
                <w:color w:val="000000"/>
              </w:rPr>
              <w:t>Assets measured at fair value on a non-recurring basis:</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jc w:val="left"/>
              <w:rPr>
                <w:color w:val="000000"/>
              </w:rPr>
            </w:pPr>
            <w:r>
              <w:rPr>
                <w:color w:val="000000"/>
              </w:rPr>
              <w:t>Loans held for investment</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4,006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4,006</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jc w:val="left"/>
              <w:rPr>
                <w:color w:val="000000"/>
                <w:u w:val="single"/>
              </w:rPr>
            </w:pPr>
            <w:r>
              <w:rPr>
                <w:color w:val="000000"/>
                <w:u w:val="single"/>
              </w:rPr>
              <w:t>December 31, 2025</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jc w:val="left"/>
              <w:rPr>
                <w:color w:val="000000"/>
              </w:rPr>
            </w:pPr>
            <w:r>
              <w:rPr>
                <w:color w:val="000000"/>
              </w:rPr>
              <w:t>Assets (liabilities) measured at fair value on a recurring basis:</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jc w:val="left"/>
              <w:rPr>
                <w:color w:val="000000"/>
              </w:rPr>
            </w:pPr>
            <w:r>
              <w:rPr>
                <w:color w:val="000000"/>
              </w:rPr>
              <w:t>Securities available for sale:</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ind w:left="180" w:right="0" w:hanging="0"/>
              <w:jc w:val="left"/>
              <w:rPr>
                <w:color w:val="000000"/>
              </w:rPr>
            </w:pPr>
            <w:r>
              <w:rPr>
                <w:color w:val="000000"/>
              </w:rPr>
              <w:t>State and municipal</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0"/>
              <w:jc w:val="left"/>
              <w:rPr>
                <w:color w:val="000000"/>
              </w:rPr>
            </w:pPr>
            <w:r>
              <w:rPr>
                <w:color w:val="000000"/>
              </w:rPr>
              <w:t>$</w:t>
            </w:r>
          </w:p>
        </w:tc>
        <w:tc>
          <w:tcPr>
            <w:tcW w:w="3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176,305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176,305</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ind w:left="180" w:right="0" w:hanging="0"/>
              <w:jc w:val="left"/>
              <w:rPr>
                <w:color w:val="000000"/>
              </w:rPr>
            </w:pPr>
            <w:r>
              <w:rPr>
                <w:color w:val="000000"/>
              </w:rPr>
              <w:t>Residential mortgage-backed securities</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260,760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260,760</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ind w:left="180" w:right="0" w:hanging="0"/>
              <w:jc w:val="left"/>
              <w:rPr>
                <w:color w:val="000000"/>
              </w:rPr>
            </w:pPr>
            <w:r>
              <w:rPr>
                <w:color w:val="000000"/>
              </w:rPr>
              <w:t>Commercial mortgage-backed securities</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44,786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44,786</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ind w:left="180" w:right="0" w:hanging="0"/>
              <w:jc w:val="left"/>
              <w:rPr>
                <w:color w:val="000000"/>
              </w:rPr>
            </w:pPr>
            <w:r>
              <w:rPr>
                <w:color w:val="000000"/>
              </w:rPr>
              <w:t>Commercial collateralized mortgage obligations</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67,597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67,597</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ind w:left="180" w:right="0" w:hanging="0"/>
              <w:jc w:val="left"/>
              <w:rPr>
                <w:color w:val="000000"/>
              </w:rPr>
            </w:pPr>
            <w:r>
              <w:rPr>
                <w:color w:val="000000"/>
              </w:rPr>
              <w:t>Asset-backed and other amortizing securities</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13,132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13,132</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ind w:left="180" w:right="0" w:hanging="0"/>
              <w:jc w:val="left"/>
              <w:rPr>
                <w:color w:val="000000"/>
              </w:rPr>
            </w:pPr>
            <w:r>
              <w:rPr>
                <w:color w:val="000000"/>
              </w:rPr>
              <w:t>Other securities</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4,960</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jc w:val="left"/>
              <w:rPr>
                <w:color w:val="000000"/>
              </w:rPr>
            </w:pPr>
            <w:r>
              <w:rPr>
                <w:color w:val="000000"/>
              </w:rPr>
              <w:t>Loans held for sale (mandatory)</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7,796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7,796</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jc w:val="left"/>
              <w:rPr>
                <w:color w:val="000000"/>
              </w:rPr>
            </w:pPr>
            <w:r>
              <w:rPr>
                <w:color w:val="000000"/>
              </w:rPr>
              <w:t>Mortgage servicing rights</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24,041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24,041</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jc w:val="left"/>
              <w:rPr>
                <w:color w:val="000000"/>
              </w:rPr>
            </w:pPr>
            <w:r>
              <w:rPr>
                <w:color w:val="000000"/>
              </w:rPr>
              <w:t>Asset derivatives</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9,970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9,970</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jc w:val="left"/>
              <w:rPr>
                <w:color w:val="000000"/>
              </w:rPr>
            </w:pPr>
            <w:r>
              <w:rPr>
                <w:color w:val="000000"/>
              </w:rPr>
              <w:t>Liability derivatives</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(65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(65</w:t>
            </w:r>
          </w:p>
        </w:tc>
        <w:tc>
          <w:tcPr>
            <w:tcW w:w="172" w:type="dxa"/>
            <w:tcBorders/>
            <w:shd w:fill="CCEEFF" w:val="clear"/>
            <w:vAlign w:val="bottom"/>
          </w:tcPr>
          <w:p>
            <w:pPr>
              <w:pStyle w:val="TableContents"/>
              <w:bidi w:val="0"/>
              <w:spacing w:before="0" w:after="0"/>
              <w:jc w:val="left"/>
              <w:rPr>
                <w:color w:val="000000"/>
              </w:rPr>
            </w:pPr>
            <w:r>
              <w:rPr>
                <w:color w:val="000000"/>
              </w:rPr>
              <w:t>)</w:t>
            </w:r>
          </w:p>
        </w:tc>
      </w:tr>
      <w:tr>
        <w:trPr/>
        <w:tc>
          <w:tcPr>
            <w:tcW w:w="57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r>
      <w:tr>
        <w:trPr/>
        <w:tc>
          <w:tcPr>
            <w:tcW w:w="5710" w:type="dxa"/>
            <w:tcBorders/>
            <w:shd w:fill="CCEEFF" w:val="clear"/>
            <w:vAlign w:val="bottom"/>
          </w:tcPr>
          <w:p>
            <w:pPr>
              <w:pStyle w:val="TableContents"/>
              <w:bidi w:val="0"/>
              <w:spacing w:before="0" w:after="0"/>
              <w:jc w:val="left"/>
              <w:rPr>
                <w:color w:val="000000"/>
              </w:rPr>
            </w:pPr>
            <w:r>
              <w:rPr>
                <w:color w:val="000000"/>
              </w:rPr>
              <w:t>Assets measured at fair value on a non-recurring basis:</w:t>
            </w:r>
          </w:p>
        </w:tc>
        <w:tc>
          <w:tcPr>
            <w:tcW w:w="9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5710" w:type="dxa"/>
            <w:tcBorders/>
            <w:vAlign w:val="bottom"/>
          </w:tcPr>
          <w:p>
            <w:pPr>
              <w:pStyle w:val="TableContents"/>
              <w:bidi w:val="0"/>
              <w:spacing w:before="0" w:after="0"/>
              <w:jc w:val="left"/>
              <w:rPr>
                <w:color w:val="000000"/>
              </w:rPr>
            </w:pPr>
            <w:r>
              <w:rPr>
                <w:color w:val="000000"/>
              </w:rPr>
              <w:t>Loans held for investment</w:t>
            </w:r>
          </w:p>
        </w:tc>
        <w:tc>
          <w:tcPr>
            <w:tcW w:w="9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5,515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5,515</w:t>
            </w:r>
          </w:p>
        </w:tc>
        <w:tc>
          <w:tcPr>
            <w:tcW w:w="172"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Securities</w:t>
      </w:r>
      <w:r>
        <w:rPr>
          <w:rFonts w:ascii="Times New Roman" w:hAnsi="Times New Roman"/>
          <w:color w:val="000000"/>
          <w:sz w:val="20"/>
          <w:shd w:fill="FFFFFF" w:val="clear"/>
        </w:rPr>
        <w:t xml:space="preserve"> – Fair value is calculated based on market prices of similar securities using matrix pricing. Matrix pricing is a mathematical technique commonly used to price debt securities that are not actively traded.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Mortgage servicing rights</w:t>
      </w:r>
      <w:r>
        <w:rPr>
          <w:rFonts w:ascii="Times New Roman" w:hAnsi="Times New Roman"/>
          <w:color w:val="000000"/>
          <w:sz w:val="20"/>
          <w:shd w:fill="FFFFFF" w:val="clear"/>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6 for the Level 3 change activity for each of the three and six months June 30, 2026 and 2025.</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Derivatives</w:t>
      </w:r>
      <w:r>
        <w:rPr>
          <w:rFonts w:ascii="Times New Roman" w:hAnsi="Times New Roman"/>
          <w:color w:val="000000"/>
          <w:sz w:val="20"/>
          <w:shd w:fill="FFFFFF" w:val="clear"/>
        </w:rPr>
        <w:t xml:space="preserve"> – Fair value of derivatives is based on valuation models using observable market data as of the measurement date.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Loans held for investment</w:t>
      </w:r>
      <w:r>
        <w:rPr>
          <w:rFonts w:ascii="Times New Roman" w:hAnsi="Times New Roman"/>
          <w:color w:val="000000"/>
          <w:sz w:val="20"/>
          <w:shd w:fill="FFFFFF" w:val="clear"/>
        </w:rPr>
        <w:t xml:space="preserve"> – Includes certain collateral-dependent loans which are reported at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pStyle w:val="TextBody"/>
        <w:bidi w:val="0"/>
        <w:spacing w:before="0" w:after="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Fair Values of Assets Recorded on a Recurring Basis for which the Fair Value Option has been Elected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Loans held for sale (mandatory)</w:t>
      </w:r>
      <w:r>
        <w:rPr>
          <w:rFonts w:ascii="Times New Roman" w:hAnsi="Times New Roman"/>
          <w:color w:val="000000"/>
          <w:sz w:val="20"/>
          <w:shd w:fill="FFFFFF" w:val="clear"/>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w:t>
      </w:r>
      <w:r>
        <w:rPr>
          <w:rFonts w:ascii="Times New Roman" w:hAnsi="Times New Roman"/>
          <w:i/>
          <w:color w:val="000000"/>
          <w:sz w:val="20"/>
          <w:shd w:fill="FFFFFF" w:val="clear"/>
        </w:rPr>
        <w:t>Derivatives and Hedging.</w:t>
      </w:r>
      <w:r>
        <w:rPr>
          <w:rFonts w:ascii="Times New Roman" w:hAnsi="Times New Roman"/>
          <w:color w:val="000000"/>
          <w:sz w:val="20"/>
          <w:shd w:fill="FFFFFF" w:val="clear"/>
        </w:rPr>
        <w:t xml:space="preserve"> For assets for which the fair value option has been elected, the earned current contractual interest payment is recognized in interest income, loan origination costs and fees on fair value option loans are recognized in earnings as incurred and not deferred. At June 30, 2026, and December 31, 2025, there were no gains or losses recorded attributable to changes in instrument-specific credit risk. Fair value is determined using quoted prices for similar assets, adjusted for specific attributes of that loan. At June 30, 2026 and December 31, 2025, the aggregate fair value of loans held for sale for mandatory delivery was $7.9 million and $7.8 million, respectively. The aggregate unpaid principal balance as of the same dates was $7.8 million and $7.6 million, respectively, representing differences between fair value and unpaid principal balance of $184 thousand and $152 thousand, respectively. The Company had no loans held for sale for mandatory delivery designated as nonaccrual or 90 days or more past due at each of June 30, 2026 and December 31, 2025.</w:t>
      </w:r>
    </w:p>
    <w:p>
      <w:pPr>
        <w:pStyle w:val="TextBody"/>
        <w:bidi w:val="0"/>
        <w:spacing w:before="0" w:after="0"/>
        <w:jc w:val="both"/>
        <w:rPr>
          <w:color w:val="000000"/>
        </w:rPr>
      </w:pPr>
      <w:r>
        <w:rPr>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total fair value option impact on noninterest income for loans held for sale for mandatory delivery is included in Net gain on sales of loans in the consolidated statements of comprehensive income. For each of the three months ended June 30, 2026 and 2025, the net (gain) loss amount totaled $110 thousand and $(75) thousand, respectively. For each of the six months ended June 30, 2026 and 2025, the net (gain) loss amount totaled $(123) thousand and $(163) thousand, respectively.</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quantitative information about recurring and non-recurring Level 3 fair value measurements at the dates indicated (dollars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3" w:name="z3950d17538b545eab3de0e24cc02b7cd"/>
      <w:bookmarkStart w:id="114" w:name="z3950d17538b545eab3de0e24cc02b7cd"/>
      <w:bookmarkEnd w:id="114"/>
    </w:p>
    <w:tbl>
      <w:tblPr>
        <w:tblW w:w="10205" w:type="dxa"/>
        <w:jc w:val="left"/>
        <w:tblInd w:w="0" w:type="dxa"/>
        <w:tblLayout w:type="fixed"/>
        <w:tblCellMar>
          <w:top w:w="0" w:type="dxa"/>
          <w:left w:w="0" w:type="dxa"/>
          <w:bottom w:w="0" w:type="dxa"/>
          <w:right w:w="0" w:type="dxa"/>
        </w:tblCellMar>
      </w:tblPr>
      <w:tblGrid>
        <w:gridCol w:w="2117"/>
        <w:gridCol w:w="90"/>
        <w:gridCol w:w="170"/>
        <w:gridCol w:w="710"/>
        <w:gridCol w:w="90"/>
        <w:gridCol w:w="2643"/>
        <w:gridCol w:w="90"/>
        <w:gridCol w:w="2760"/>
        <w:gridCol w:w="90"/>
        <w:gridCol w:w="184"/>
        <w:gridCol w:w="968"/>
        <w:gridCol w:w="293"/>
      </w:tblGrid>
      <w:tr>
        <w:trPr/>
        <w:tc>
          <w:tcPr>
            <w:tcW w:w="211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vAlign w:val="bottom"/>
          </w:tcPr>
          <w:p>
            <w:pPr>
              <w:pStyle w:val="TableContents"/>
              <w:bidi w:val="0"/>
              <w:spacing w:before="0" w:after="283"/>
              <w:jc w:val="left"/>
              <w:rPr/>
            </w:pPr>
            <w:r>
              <w:rPr/>
              <w:t> </w:t>
            </w:r>
          </w:p>
        </w:tc>
        <w:tc>
          <w:tcPr>
            <w:tcW w:w="2643"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Valuation</w:t>
            </w:r>
          </w:p>
          <w:p>
            <w:pPr>
              <w:pStyle w:val="TableContents"/>
              <w:bidi w:val="0"/>
              <w:spacing w:before="0" w:after="0"/>
              <w:jc w:val="center"/>
              <w:rPr>
                <w:b/>
                <w:color w:val="000000"/>
              </w:rPr>
            </w:pPr>
            <w:r>
              <w:rPr>
                <w:b/>
                <w:color w:val="000000"/>
              </w:rPr>
              <w:t>Techniques</w:t>
            </w:r>
          </w:p>
        </w:tc>
        <w:tc>
          <w:tcPr>
            <w:tcW w:w="90" w:type="dxa"/>
            <w:tcBorders/>
            <w:vAlign w:val="bottom"/>
          </w:tcPr>
          <w:p>
            <w:pPr>
              <w:pStyle w:val="TableContents"/>
              <w:bidi w:val="0"/>
              <w:spacing w:before="0" w:after="283"/>
              <w:jc w:val="left"/>
              <w:rPr/>
            </w:pPr>
            <w:r>
              <w:rPr/>
              <w:t> </w:t>
            </w:r>
          </w:p>
        </w:tc>
        <w:tc>
          <w:tcPr>
            <w:tcW w:w="276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Unobservable</w:t>
            </w:r>
          </w:p>
          <w:p>
            <w:pPr>
              <w:pStyle w:val="TableContents"/>
              <w:bidi w:val="0"/>
              <w:spacing w:before="0" w:after="0"/>
              <w:jc w:val="center"/>
              <w:rPr>
                <w:b/>
                <w:color w:val="000000"/>
              </w:rPr>
            </w:pPr>
            <w:r>
              <w:rPr>
                <w:b/>
                <w:color w:val="000000"/>
              </w:rPr>
              <w:t>Inputs</w:t>
            </w:r>
          </w:p>
        </w:tc>
        <w:tc>
          <w:tcPr>
            <w:tcW w:w="90" w:type="dxa"/>
            <w:tcBorders/>
            <w:vAlign w:val="bottom"/>
          </w:tcPr>
          <w:p>
            <w:pPr>
              <w:pStyle w:val="TableContents"/>
              <w:bidi w:val="0"/>
              <w:spacing w:before="0" w:after="283"/>
              <w:jc w:val="left"/>
              <w:rPr/>
            </w:pPr>
            <w:r>
              <w:rPr/>
              <w:t> </w:t>
            </w:r>
          </w:p>
        </w:tc>
        <w:tc>
          <w:tcPr>
            <w:tcW w:w="11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Range of</w:t>
            </w:r>
          </w:p>
          <w:p>
            <w:pPr>
              <w:pStyle w:val="TableContents"/>
              <w:bidi w:val="0"/>
              <w:spacing w:before="0" w:after="0"/>
              <w:jc w:val="center"/>
              <w:rPr>
                <w:b/>
                <w:color w:val="000000"/>
              </w:rPr>
            </w:pPr>
            <w:r>
              <w:rPr>
                <w:b/>
                <w:color w:val="000000"/>
              </w:rPr>
              <w:t>Discounts</w:t>
            </w:r>
          </w:p>
        </w:tc>
        <w:tc>
          <w:tcPr>
            <w:tcW w:w="293" w:type="dxa"/>
            <w:tcBorders/>
            <w:vAlign w:val="bottom"/>
          </w:tcPr>
          <w:p>
            <w:pPr>
              <w:pStyle w:val="TableContents"/>
              <w:bidi w:val="0"/>
              <w:spacing w:before="0" w:after="283"/>
              <w:jc w:val="left"/>
              <w:rPr/>
            </w:pPr>
            <w:r>
              <w:rPr/>
              <w:t> </w:t>
            </w:r>
          </w:p>
        </w:tc>
      </w:tr>
      <w:tr>
        <w:trPr/>
        <w:tc>
          <w:tcPr>
            <w:tcW w:w="2117" w:type="dxa"/>
            <w:tcBorders/>
            <w:vAlign w:val="bottom"/>
          </w:tcPr>
          <w:p>
            <w:pPr>
              <w:pStyle w:val="TableContents"/>
              <w:bidi w:val="0"/>
              <w:spacing w:before="0" w:after="0"/>
              <w:jc w:val="left"/>
              <w:rPr>
                <w:color w:val="000000"/>
                <w:u w:val="single"/>
              </w:rPr>
            </w:pPr>
            <w:r>
              <w:rPr>
                <w:color w:val="000000"/>
                <w:u w:val="single"/>
              </w:rPr>
              <w:t>June 30, 2026</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52" w:type="dxa"/>
            <w:gridSpan w:val="2"/>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r>
      <w:tr>
        <w:trPr/>
        <w:tc>
          <w:tcPr>
            <w:tcW w:w="2117" w:type="dxa"/>
            <w:tcBorders/>
            <w:vAlign w:val="bottom"/>
          </w:tcPr>
          <w:p>
            <w:pPr>
              <w:pStyle w:val="TableContents"/>
              <w:bidi w:val="0"/>
              <w:spacing w:before="0" w:after="0"/>
              <w:jc w:val="left"/>
              <w:rPr>
                <w:color w:val="000000"/>
              </w:rPr>
            </w:pPr>
            <w:r>
              <w:rPr>
                <w:color w:val="000000"/>
              </w:rPr>
              <w:t>Non-recurring:</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52" w:type="dxa"/>
            <w:gridSpan w:val="2"/>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r>
      <w:tr>
        <w:trPr/>
        <w:tc>
          <w:tcPr>
            <w:tcW w:w="2117" w:type="dxa"/>
            <w:tcBorders/>
            <w:shd w:fill="CCEEFF" w:val="clear"/>
            <w:vAlign w:val="bottom"/>
          </w:tcPr>
          <w:p>
            <w:pPr>
              <w:pStyle w:val="TableContents"/>
              <w:bidi w:val="0"/>
              <w:spacing w:before="0" w:after="0"/>
              <w:jc w:val="left"/>
              <w:rPr>
                <w:color w:val="000000"/>
              </w:rPr>
            </w:pPr>
            <w:r>
              <w:rPr>
                <w:color w:val="000000"/>
              </w:rPr>
              <w:t>Loans held for investment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4,006</w:t>
            </w:r>
          </w:p>
        </w:tc>
        <w:tc>
          <w:tcPr>
            <w:tcW w:w="90" w:type="dxa"/>
            <w:tcBorders/>
            <w:shd w:fill="CCEEFF" w:val="clear"/>
            <w:vAlign w:val="bottom"/>
          </w:tcPr>
          <w:p>
            <w:pPr>
              <w:pStyle w:val="TableContents"/>
              <w:bidi w:val="0"/>
              <w:spacing w:before="0" w:after="283"/>
              <w:jc w:val="left"/>
              <w:rPr/>
            </w:pPr>
            <w:r>
              <w:rPr/>
              <w:t> </w:t>
            </w:r>
          </w:p>
        </w:tc>
        <w:tc>
          <w:tcPr>
            <w:tcW w:w="2643" w:type="dxa"/>
            <w:tcBorders/>
            <w:shd w:fill="CCEEFF" w:val="clear"/>
            <w:vAlign w:val="bottom"/>
          </w:tcPr>
          <w:p>
            <w:pPr>
              <w:pStyle w:val="TableContents"/>
              <w:bidi w:val="0"/>
              <w:spacing w:before="0" w:after="0"/>
              <w:jc w:val="left"/>
              <w:rPr>
                <w:color w:val="000000"/>
              </w:rPr>
            </w:pPr>
            <w:r>
              <w:rPr>
                <w:color w:val="000000"/>
              </w:rPr>
              <w:t>Third party appraisals or inspections</w:t>
            </w:r>
          </w:p>
        </w:tc>
        <w:tc>
          <w:tcPr>
            <w:tcW w:w="90" w:type="dxa"/>
            <w:tcBorders/>
            <w:shd w:fill="CCEEFF" w:val="clear"/>
            <w:vAlign w:val="bottom"/>
          </w:tcPr>
          <w:p>
            <w:pPr>
              <w:pStyle w:val="TableContents"/>
              <w:bidi w:val="0"/>
              <w:spacing w:before="0" w:after="283"/>
              <w:jc w:val="left"/>
              <w:rPr/>
            </w:pPr>
            <w:r>
              <w:rPr/>
              <w:t> </w:t>
            </w:r>
          </w:p>
        </w:tc>
        <w:tc>
          <w:tcPr>
            <w:tcW w:w="2760" w:type="dxa"/>
            <w:tcBorders/>
            <w:shd w:fill="CCEEFF" w:val="clear"/>
            <w:vAlign w:val="bottom"/>
          </w:tcPr>
          <w:p>
            <w:pPr>
              <w:pStyle w:val="TableContents"/>
              <w:bidi w:val="0"/>
              <w:spacing w:before="0" w:after="0"/>
              <w:jc w:val="left"/>
              <w:rPr>
                <w:color w:val="000000"/>
              </w:rPr>
            </w:pPr>
            <w:r>
              <w:rPr>
                <w:color w:val="000000"/>
              </w:rPr>
              <w:t>Collateral discounts and selling costs</w:t>
            </w:r>
          </w:p>
        </w:tc>
        <w:tc>
          <w:tcPr>
            <w:tcW w:w="90" w:type="dxa"/>
            <w:tcBorders/>
            <w:shd w:fill="CCEEFF" w:val="clear"/>
            <w:vAlign w:val="bottom"/>
          </w:tcPr>
          <w:p>
            <w:pPr>
              <w:pStyle w:val="TableContents"/>
              <w:bidi w:val="0"/>
              <w:spacing w:before="0" w:after="283"/>
              <w:jc w:val="left"/>
              <w:rPr/>
            </w:pPr>
            <w:r>
              <w:rPr/>
              <w:t> </w:t>
            </w:r>
          </w:p>
        </w:tc>
        <w:tc>
          <w:tcPr>
            <w:tcW w:w="1152" w:type="dxa"/>
            <w:gridSpan w:val="2"/>
            <w:tcBorders/>
            <w:shd w:fill="CCEEFF" w:val="clear"/>
            <w:vAlign w:val="bottom"/>
          </w:tcPr>
          <w:p>
            <w:pPr>
              <w:pStyle w:val="TableContents"/>
              <w:bidi w:val="0"/>
              <w:spacing w:before="0" w:after="0"/>
              <w:jc w:val="right"/>
              <w:rPr>
                <w:color w:val="000000"/>
              </w:rPr>
            </w:pPr>
            <w:r>
              <w:rPr>
                <w:color w:val="000000"/>
              </w:rPr>
              <w:t>20% to 40%</w:t>
            </w:r>
          </w:p>
        </w:tc>
        <w:tc>
          <w:tcPr>
            <w:tcW w:w="293" w:type="dxa"/>
            <w:tcBorders/>
            <w:shd w:fill="CCEEFF" w:val="clear"/>
            <w:vAlign w:val="bottom"/>
          </w:tcPr>
          <w:p>
            <w:pPr>
              <w:pStyle w:val="TableContents"/>
              <w:bidi w:val="0"/>
              <w:spacing w:before="0" w:after="283"/>
              <w:jc w:val="left"/>
              <w:rPr/>
            </w:pPr>
            <w:r>
              <w:rPr/>
              <w:t> </w:t>
            </w:r>
          </w:p>
        </w:tc>
      </w:tr>
      <w:tr>
        <w:trPr/>
        <w:tc>
          <w:tcPr>
            <w:tcW w:w="2117" w:type="dxa"/>
            <w:tcBorders/>
            <w:vAlign w:val="bottom"/>
          </w:tcPr>
          <w:p>
            <w:pPr>
              <w:pStyle w:val="TableContents"/>
              <w:bidi w:val="0"/>
              <w:spacing w:before="0" w:after="0"/>
              <w:jc w:val="left"/>
              <w:rPr>
                <w:color w:val="000000"/>
              </w:rPr>
            </w:pPr>
            <w:r>
              <w:rPr>
                <w:color w:val="000000"/>
              </w:rPr>
              <w:t>Recurring:</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26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52" w:type="dxa"/>
            <w:gridSpan w:val="2"/>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r>
      <w:tr>
        <w:trPr/>
        <w:tc>
          <w:tcPr>
            <w:tcW w:w="2117" w:type="dxa"/>
            <w:tcBorders/>
            <w:shd w:fill="CCEEFF" w:val="clear"/>
            <w:vAlign w:val="bottom"/>
          </w:tcPr>
          <w:p>
            <w:pPr>
              <w:pStyle w:val="TableContents"/>
              <w:bidi w:val="0"/>
              <w:spacing w:before="0" w:after="0"/>
              <w:jc w:val="left"/>
              <w:rPr>
                <w:color w:val="000000"/>
              </w:rPr>
            </w:pPr>
            <w:r>
              <w:rPr>
                <w:color w:val="000000"/>
              </w:rPr>
              <w:t>Mortgage servicing rights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25,749</w:t>
            </w:r>
          </w:p>
        </w:tc>
        <w:tc>
          <w:tcPr>
            <w:tcW w:w="90" w:type="dxa"/>
            <w:tcBorders/>
            <w:shd w:fill="CCEEFF" w:val="clear"/>
            <w:vAlign w:val="bottom"/>
          </w:tcPr>
          <w:p>
            <w:pPr>
              <w:pStyle w:val="TableContents"/>
              <w:bidi w:val="0"/>
              <w:spacing w:before="0" w:after="283"/>
              <w:jc w:val="left"/>
              <w:rPr/>
            </w:pPr>
            <w:r>
              <w:rPr/>
              <w:t> </w:t>
            </w:r>
          </w:p>
        </w:tc>
        <w:tc>
          <w:tcPr>
            <w:tcW w:w="2643" w:type="dxa"/>
            <w:tcBorders/>
            <w:shd w:fill="CCEEFF" w:val="clear"/>
            <w:vAlign w:val="bottom"/>
          </w:tcPr>
          <w:p>
            <w:pPr>
              <w:pStyle w:val="TableContents"/>
              <w:bidi w:val="0"/>
              <w:spacing w:before="0" w:after="0"/>
              <w:jc w:val="left"/>
              <w:rPr>
                <w:color w:val="000000"/>
              </w:rPr>
            </w:pPr>
            <w:r>
              <w:rPr>
                <w:color w:val="000000"/>
              </w:rPr>
              <w:t>Discounted cash flows</w:t>
            </w:r>
          </w:p>
        </w:tc>
        <w:tc>
          <w:tcPr>
            <w:tcW w:w="90" w:type="dxa"/>
            <w:tcBorders/>
            <w:shd w:fill="CCEEFF" w:val="clear"/>
            <w:vAlign w:val="bottom"/>
          </w:tcPr>
          <w:p>
            <w:pPr>
              <w:pStyle w:val="TableContents"/>
              <w:bidi w:val="0"/>
              <w:spacing w:before="0" w:after="283"/>
              <w:jc w:val="left"/>
              <w:rPr/>
            </w:pPr>
            <w:r>
              <w:rPr/>
              <w:t> </w:t>
            </w:r>
          </w:p>
        </w:tc>
        <w:tc>
          <w:tcPr>
            <w:tcW w:w="2760" w:type="dxa"/>
            <w:tcBorders/>
            <w:shd w:fill="CCEEFF" w:val="clear"/>
            <w:vAlign w:val="bottom"/>
          </w:tcPr>
          <w:p>
            <w:pPr>
              <w:pStyle w:val="TableContents"/>
              <w:bidi w:val="0"/>
              <w:spacing w:before="0" w:after="0"/>
              <w:jc w:val="left"/>
              <w:rPr>
                <w:color w:val="000000"/>
              </w:rPr>
            </w:pPr>
            <w:r>
              <w:rPr>
                <w:color w:val="000000"/>
              </w:rPr>
              <w:t>Constant prepayment rate</w:t>
            </w:r>
          </w:p>
        </w:tc>
        <w:tc>
          <w:tcPr>
            <w:tcW w:w="9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0"/>
              <w:jc w:val="right"/>
              <w:rPr>
                <w:color w:val="000000"/>
              </w:rPr>
            </w:pPr>
            <w:r>
              <w:rPr>
                <w:color w:val="000000"/>
              </w:rPr>
              <w:t>7.08</w:t>
            </w:r>
          </w:p>
        </w:tc>
        <w:tc>
          <w:tcPr>
            <w:tcW w:w="293" w:type="dxa"/>
            <w:tcBorders/>
            <w:shd w:fill="CCEEFF" w:val="clear"/>
            <w:vAlign w:val="bottom"/>
          </w:tcPr>
          <w:p>
            <w:pPr>
              <w:pStyle w:val="TableContents"/>
              <w:bidi w:val="0"/>
              <w:spacing w:before="0" w:after="0"/>
              <w:jc w:val="left"/>
              <w:rPr>
                <w:color w:val="000000"/>
              </w:rPr>
            </w:pPr>
            <w:r>
              <w:rPr>
                <w:color w:val="000000"/>
              </w:rPr>
              <w:t>%</w:t>
            </w:r>
          </w:p>
        </w:tc>
      </w:tr>
      <w:tr>
        <w:trPr/>
        <w:tc>
          <w:tcPr>
            <w:tcW w:w="211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26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0" w:type="dxa"/>
            <w:tcBorders/>
            <w:vAlign w:val="bottom"/>
          </w:tcPr>
          <w:p>
            <w:pPr>
              <w:pStyle w:val="TableContents"/>
              <w:bidi w:val="0"/>
              <w:spacing w:before="0" w:after="0"/>
              <w:jc w:val="left"/>
              <w:rPr>
                <w:color w:val="000000"/>
              </w:rPr>
            </w:pPr>
            <w:r>
              <w:rPr>
                <w:color w:val="000000"/>
              </w:rPr>
              <w:t>Discount rate</w:t>
            </w:r>
          </w:p>
        </w:tc>
        <w:tc>
          <w:tcPr>
            <w:tcW w:w="9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0"/>
              <w:jc w:val="right"/>
              <w:rPr>
                <w:color w:val="000000"/>
              </w:rPr>
            </w:pPr>
            <w:r>
              <w:rPr>
                <w:color w:val="000000"/>
              </w:rPr>
              <w:t>9.72</w:t>
            </w:r>
          </w:p>
        </w:tc>
        <w:tc>
          <w:tcPr>
            <w:tcW w:w="293" w:type="dxa"/>
            <w:tcBorders/>
            <w:vAlign w:val="bottom"/>
          </w:tcPr>
          <w:p>
            <w:pPr>
              <w:pStyle w:val="TableContents"/>
              <w:bidi w:val="0"/>
              <w:spacing w:before="0" w:after="0"/>
              <w:jc w:val="left"/>
              <w:rPr>
                <w:color w:val="000000"/>
              </w:rPr>
            </w:pPr>
            <w:r>
              <w:rPr>
                <w:color w:val="000000"/>
              </w:rPr>
              <w:t>%</w:t>
            </w:r>
          </w:p>
        </w:tc>
      </w:tr>
      <w:tr>
        <w:trPr/>
        <w:tc>
          <w:tcPr>
            <w:tcW w:w="211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264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 </w:t>
            </w:r>
          </w:p>
        </w:tc>
        <w:tc>
          <w:tcPr>
            <w:tcW w:w="293" w:type="dxa"/>
            <w:tcBorders/>
            <w:shd w:fill="CCEEFF" w:val="clear"/>
            <w:vAlign w:val="bottom"/>
          </w:tcPr>
          <w:p>
            <w:pPr>
              <w:pStyle w:val="TableContents"/>
              <w:bidi w:val="0"/>
              <w:spacing w:before="0" w:after="283"/>
              <w:jc w:val="left"/>
              <w:rPr/>
            </w:pPr>
            <w:r>
              <w:rPr/>
              <w:t> </w:t>
            </w:r>
          </w:p>
        </w:tc>
      </w:tr>
      <w:tr>
        <w:trPr/>
        <w:tc>
          <w:tcPr>
            <w:tcW w:w="2117" w:type="dxa"/>
            <w:tcBorders/>
            <w:vAlign w:val="bottom"/>
          </w:tcPr>
          <w:p>
            <w:pPr>
              <w:pStyle w:val="TableContents"/>
              <w:bidi w:val="0"/>
              <w:spacing w:before="0" w:after="0"/>
              <w:jc w:val="left"/>
              <w:rPr>
                <w:color w:val="000000"/>
                <w:u w:val="single"/>
              </w:rPr>
            </w:pPr>
            <w:r>
              <w:rPr>
                <w:color w:val="000000"/>
                <w:u w:val="single"/>
              </w:rPr>
              <w:t>December 31, 2025</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264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 </w:t>
            </w:r>
          </w:p>
        </w:tc>
        <w:tc>
          <w:tcPr>
            <w:tcW w:w="293" w:type="dxa"/>
            <w:tcBorders/>
            <w:vAlign w:val="bottom"/>
          </w:tcPr>
          <w:p>
            <w:pPr>
              <w:pStyle w:val="TableContents"/>
              <w:bidi w:val="0"/>
              <w:spacing w:before="0" w:after="283"/>
              <w:jc w:val="left"/>
              <w:rPr/>
            </w:pPr>
            <w:r>
              <w:rPr/>
              <w:t> </w:t>
            </w:r>
          </w:p>
        </w:tc>
      </w:tr>
      <w:tr>
        <w:trPr/>
        <w:tc>
          <w:tcPr>
            <w:tcW w:w="2117" w:type="dxa"/>
            <w:tcBorders/>
            <w:shd w:fill="CCEEFF" w:val="clear"/>
            <w:vAlign w:val="bottom"/>
          </w:tcPr>
          <w:p>
            <w:pPr>
              <w:pStyle w:val="TableContents"/>
              <w:bidi w:val="0"/>
              <w:spacing w:before="0" w:after="0"/>
              <w:jc w:val="left"/>
              <w:rPr>
                <w:color w:val="000000"/>
              </w:rPr>
            </w:pPr>
            <w:r>
              <w:rPr>
                <w:color w:val="000000"/>
              </w:rPr>
              <w:t>Non-recurring:</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264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 </w:t>
            </w:r>
          </w:p>
        </w:tc>
        <w:tc>
          <w:tcPr>
            <w:tcW w:w="293" w:type="dxa"/>
            <w:tcBorders/>
            <w:shd w:fill="CCEEFF" w:val="clear"/>
            <w:vAlign w:val="bottom"/>
          </w:tcPr>
          <w:p>
            <w:pPr>
              <w:pStyle w:val="TableContents"/>
              <w:bidi w:val="0"/>
              <w:spacing w:before="0" w:after="283"/>
              <w:jc w:val="left"/>
              <w:rPr/>
            </w:pPr>
            <w:r>
              <w:rPr/>
              <w:t> </w:t>
            </w:r>
          </w:p>
        </w:tc>
      </w:tr>
      <w:tr>
        <w:trPr/>
        <w:tc>
          <w:tcPr>
            <w:tcW w:w="2117" w:type="dxa"/>
            <w:tcBorders/>
            <w:vAlign w:val="bottom"/>
          </w:tcPr>
          <w:p>
            <w:pPr>
              <w:pStyle w:val="TableContents"/>
              <w:bidi w:val="0"/>
              <w:spacing w:before="0" w:after="0"/>
              <w:jc w:val="left"/>
              <w:rPr>
                <w:color w:val="000000"/>
              </w:rPr>
            </w:pPr>
            <w:r>
              <w:rPr>
                <w:color w:val="000000"/>
              </w:rPr>
              <w:t>Loans held for investment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5,515</w:t>
            </w:r>
          </w:p>
        </w:tc>
        <w:tc>
          <w:tcPr>
            <w:tcW w:w="90" w:type="dxa"/>
            <w:tcBorders/>
            <w:vAlign w:val="bottom"/>
          </w:tcPr>
          <w:p>
            <w:pPr>
              <w:pStyle w:val="TableContents"/>
              <w:bidi w:val="0"/>
              <w:spacing w:before="0" w:after="283"/>
              <w:jc w:val="left"/>
              <w:rPr/>
            </w:pPr>
            <w:r>
              <w:rPr/>
              <w:t> </w:t>
            </w:r>
          </w:p>
        </w:tc>
        <w:tc>
          <w:tcPr>
            <w:tcW w:w="2643" w:type="dxa"/>
            <w:tcBorders/>
            <w:vAlign w:val="bottom"/>
          </w:tcPr>
          <w:p>
            <w:pPr>
              <w:pStyle w:val="TableContents"/>
              <w:bidi w:val="0"/>
              <w:spacing w:before="0" w:after="0"/>
              <w:jc w:val="left"/>
              <w:rPr>
                <w:color w:val="000000"/>
              </w:rPr>
            </w:pPr>
            <w:r>
              <w:rPr>
                <w:color w:val="000000"/>
              </w:rPr>
              <w:t>Third party appraisals or inspections</w:t>
            </w:r>
          </w:p>
        </w:tc>
        <w:tc>
          <w:tcPr>
            <w:tcW w:w="90" w:type="dxa"/>
            <w:tcBorders/>
            <w:vAlign w:val="bottom"/>
          </w:tcPr>
          <w:p>
            <w:pPr>
              <w:pStyle w:val="TableContents"/>
              <w:bidi w:val="0"/>
              <w:spacing w:before="0" w:after="283"/>
              <w:jc w:val="left"/>
              <w:rPr/>
            </w:pPr>
            <w:r>
              <w:rPr/>
              <w:t> </w:t>
            </w:r>
          </w:p>
        </w:tc>
        <w:tc>
          <w:tcPr>
            <w:tcW w:w="2760" w:type="dxa"/>
            <w:tcBorders/>
            <w:vAlign w:val="bottom"/>
          </w:tcPr>
          <w:p>
            <w:pPr>
              <w:pStyle w:val="TableContents"/>
              <w:bidi w:val="0"/>
              <w:spacing w:before="0" w:after="0"/>
              <w:jc w:val="left"/>
              <w:rPr>
                <w:color w:val="000000"/>
              </w:rPr>
            </w:pPr>
            <w:r>
              <w:rPr>
                <w:color w:val="000000"/>
              </w:rPr>
              <w:t>Collateral discounts and selling costs</w:t>
            </w:r>
          </w:p>
        </w:tc>
        <w:tc>
          <w:tcPr>
            <w:tcW w:w="90" w:type="dxa"/>
            <w:tcBorders/>
            <w:vAlign w:val="bottom"/>
          </w:tcPr>
          <w:p>
            <w:pPr>
              <w:pStyle w:val="TableContents"/>
              <w:bidi w:val="0"/>
              <w:spacing w:before="0" w:after="283"/>
              <w:jc w:val="left"/>
              <w:rPr/>
            </w:pPr>
            <w:r>
              <w:rPr/>
              <w:t> </w:t>
            </w:r>
          </w:p>
        </w:tc>
        <w:tc>
          <w:tcPr>
            <w:tcW w:w="1152" w:type="dxa"/>
            <w:gridSpan w:val="2"/>
            <w:tcBorders/>
            <w:vAlign w:val="bottom"/>
          </w:tcPr>
          <w:p>
            <w:pPr>
              <w:pStyle w:val="TableContents"/>
              <w:bidi w:val="0"/>
              <w:spacing w:before="0" w:after="0"/>
              <w:jc w:val="right"/>
              <w:rPr>
                <w:color w:val="000000"/>
              </w:rPr>
            </w:pPr>
            <w:r>
              <w:rPr>
                <w:color w:val="000000"/>
              </w:rPr>
              <w:t>20% to 60%</w:t>
            </w:r>
          </w:p>
        </w:tc>
        <w:tc>
          <w:tcPr>
            <w:tcW w:w="293" w:type="dxa"/>
            <w:tcBorders/>
            <w:vAlign w:val="bottom"/>
          </w:tcPr>
          <w:p>
            <w:pPr>
              <w:pStyle w:val="TableContents"/>
              <w:bidi w:val="0"/>
              <w:spacing w:before="0" w:after="283"/>
              <w:jc w:val="left"/>
              <w:rPr/>
            </w:pPr>
            <w:r>
              <w:rPr/>
              <w:t> </w:t>
            </w:r>
          </w:p>
        </w:tc>
      </w:tr>
      <w:tr>
        <w:trPr/>
        <w:tc>
          <w:tcPr>
            <w:tcW w:w="2117" w:type="dxa"/>
            <w:tcBorders/>
            <w:shd w:fill="CCEEFF" w:val="clear"/>
            <w:vAlign w:val="bottom"/>
          </w:tcPr>
          <w:p>
            <w:pPr>
              <w:pStyle w:val="TableContents"/>
              <w:bidi w:val="0"/>
              <w:spacing w:before="0" w:after="0"/>
              <w:jc w:val="left"/>
              <w:rPr>
                <w:color w:val="000000"/>
              </w:rPr>
            </w:pPr>
            <w:r>
              <w:rPr>
                <w:color w:val="000000"/>
              </w:rPr>
              <w:t>Recurring:</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264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 </w:t>
            </w:r>
          </w:p>
        </w:tc>
        <w:tc>
          <w:tcPr>
            <w:tcW w:w="293" w:type="dxa"/>
            <w:tcBorders/>
            <w:shd w:fill="CCEEFF" w:val="clear"/>
            <w:vAlign w:val="bottom"/>
          </w:tcPr>
          <w:p>
            <w:pPr>
              <w:pStyle w:val="TableContents"/>
              <w:bidi w:val="0"/>
              <w:spacing w:before="0" w:after="283"/>
              <w:jc w:val="left"/>
              <w:rPr/>
            </w:pPr>
            <w:r>
              <w:rPr/>
              <w:t> </w:t>
            </w:r>
          </w:p>
        </w:tc>
      </w:tr>
      <w:tr>
        <w:trPr/>
        <w:tc>
          <w:tcPr>
            <w:tcW w:w="2117" w:type="dxa"/>
            <w:tcBorders/>
            <w:vAlign w:val="bottom"/>
          </w:tcPr>
          <w:p>
            <w:pPr>
              <w:pStyle w:val="TableContents"/>
              <w:bidi w:val="0"/>
              <w:spacing w:before="0" w:after="0"/>
              <w:jc w:val="left"/>
              <w:rPr>
                <w:color w:val="000000"/>
              </w:rPr>
            </w:pPr>
            <w:r>
              <w:rPr>
                <w:color w:val="000000"/>
              </w:rPr>
              <w:t>Mortgage servicing rights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24,041</w:t>
            </w:r>
          </w:p>
        </w:tc>
        <w:tc>
          <w:tcPr>
            <w:tcW w:w="90" w:type="dxa"/>
            <w:tcBorders/>
            <w:vAlign w:val="bottom"/>
          </w:tcPr>
          <w:p>
            <w:pPr>
              <w:pStyle w:val="TableContents"/>
              <w:bidi w:val="0"/>
              <w:spacing w:before="0" w:after="283"/>
              <w:jc w:val="left"/>
              <w:rPr/>
            </w:pPr>
            <w:r>
              <w:rPr/>
              <w:t> </w:t>
            </w:r>
          </w:p>
        </w:tc>
        <w:tc>
          <w:tcPr>
            <w:tcW w:w="2643" w:type="dxa"/>
            <w:tcBorders/>
            <w:vAlign w:val="bottom"/>
          </w:tcPr>
          <w:p>
            <w:pPr>
              <w:pStyle w:val="TableContents"/>
              <w:bidi w:val="0"/>
              <w:spacing w:before="0" w:after="0"/>
              <w:jc w:val="left"/>
              <w:rPr>
                <w:color w:val="000000"/>
              </w:rPr>
            </w:pPr>
            <w:r>
              <w:rPr>
                <w:color w:val="000000"/>
              </w:rPr>
              <w:t>Discounted cash flows</w:t>
            </w:r>
          </w:p>
        </w:tc>
        <w:tc>
          <w:tcPr>
            <w:tcW w:w="90" w:type="dxa"/>
            <w:tcBorders/>
            <w:vAlign w:val="bottom"/>
          </w:tcPr>
          <w:p>
            <w:pPr>
              <w:pStyle w:val="TableContents"/>
              <w:bidi w:val="0"/>
              <w:spacing w:before="0" w:after="283"/>
              <w:jc w:val="left"/>
              <w:rPr/>
            </w:pPr>
            <w:r>
              <w:rPr/>
              <w:t> </w:t>
            </w:r>
          </w:p>
        </w:tc>
        <w:tc>
          <w:tcPr>
            <w:tcW w:w="2760" w:type="dxa"/>
            <w:tcBorders/>
            <w:vAlign w:val="bottom"/>
          </w:tcPr>
          <w:p>
            <w:pPr>
              <w:pStyle w:val="TableContents"/>
              <w:bidi w:val="0"/>
              <w:spacing w:before="0" w:after="0"/>
              <w:jc w:val="left"/>
              <w:rPr>
                <w:color w:val="000000"/>
              </w:rPr>
            </w:pPr>
            <w:r>
              <w:rPr>
                <w:color w:val="000000"/>
              </w:rPr>
              <w:t>Constant prepayment rate</w:t>
            </w:r>
          </w:p>
        </w:tc>
        <w:tc>
          <w:tcPr>
            <w:tcW w:w="9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0"/>
              <w:jc w:val="right"/>
              <w:rPr>
                <w:color w:val="000000"/>
              </w:rPr>
            </w:pPr>
            <w:r>
              <w:rPr>
                <w:color w:val="000000"/>
              </w:rPr>
              <w:t>8.81</w:t>
            </w:r>
          </w:p>
        </w:tc>
        <w:tc>
          <w:tcPr>
            <w:tcW w:w="293" w:type="dxa"/>
            <w:tcBorders/>
            <w:vAlign w:val="bottom"/>
          </w:tcPr>
          <w:p>
            <w:pPr>
              <w:pStyle w:val="TableContents"/>
              <w:bidi w:val="0"/>
              <w:spacing w:before="0" w:after="0"/>
              <w:jc w:val="left"/>
              <w:rPr>
                <w:color w:val="000000"/>
              </w:rPr>
            </w:pPr>
            <w:r>
              <w:rPr>
                <w:color w:val="000000"/>
              </w:rPr>
              <w:t>%</w:t>
            </w:r>
          </w:p>
        </w:tc>
      </w:tr>
      <w:tr>
        <w:trPr/>
        <w:tc>
          <w:tcPr>
            <w:tcW w:w="211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264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60" w:type="dxa"/>
            <w:tcBorders/>
            <w:shd w:fill="CCEEFF" w:val="clear"/>
            <w:vAlign w:val="bottom"/>
          </w:tcPr>
          <w:p>
            <w:pPr>
              <w:pStyle w:val="TableContents"/>
              <w:bidi w:val="0"/>
              <w:spacing w:before="0" w:after="0"/>
              <w:jc w:val="left"/>
              <w:rPr>
                <w:color w:val="000000"/>
              </w:rPr>
            </w:pPr>
            <w:r>
              <w:rPr>
                <w:color w:val="000000"/>
              </w:rPr>
              <w:t>Discount rate</w:t>
            </w:r>
          </w:p>
        </w:tc>
        <w:tc>
          <w:tcPr>
            <w:tcW w:w="9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0"/>
              <w:jc w:val="right"/>
              <w:rPr>
                <w:color w:val="000000"/>
              </w:rPr>
            </w:pPr>
            <w:r>
              <w:rPr>
                <w:color w:val="000000"/>
              </w:rPr>
              <w:t>9.70</w:t>
            </w:r>
          </w:p>
        </w:tc>
        <w:tc>
          <w:tcPr>
            <w:tcW w:w="293"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estimated fair values, and related carrying amounts, of the Company’s financial instruments that are not previously disclosed in the recurring fair values section are as follows (dollars in thousands):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15" w:name="zcac0f0d69cdb4f5fb116367fa2a87063"/>
      <w:bookmarkStart w:id="116" w:name="zcac0f0d69cdb4f5fb116367fa2a87063"/>
      <w:bookmarkEnd w:id="116"/>
    </w:p>
    <w:tbl>
      <w:tblPr>
        <w:tblW w:w="10205" w:type="dxa"/>
        <w:jc w:val="left"/>
        <w:tblInd w:w="0" w:type="dxa"/>
        <w:tblLayout w:type="fixed"/>
        <w:tblCellMar>
          <w:top w:w="0" w:type="dxa"/>
          <w:left w:w="0" w:type="dxa"/>
          <w:bottom w:w="0" w:type="dxa"/>
          <w:right w:w="0" w:type="dxa"/>
        </w:tblCellMar>
      </w:tblPr>
      <w:tblGrid>
        <w:gridCol w:w="3540"/>
        <w:gridCol w:w="90"/>
        <w:gridCol w:w="170"/>
        <w:gridCol w:w="1010"/>
        <w:gridCol w:w="90"/>
        <w:gridCol w:w="90"/>
        <w:gridCol w:w="170"/>
        <w:gridCol w:w="830"/>
        <w:gridCol w:w="90"/>
        <w:gridCol w:w="90"/>
        <w:gridCol w:w="170"/>
        <w:gridCol w:w="1010"/>
        <w:gridCol w:w="90"/>
        <w:gridCol w:w="90"/>
        <w:gridCol w:w="170"/>
        <w:gridCol w:w="1010"/>
        <w:gridCol w:w="90"/>
        <w:gridCol w:w="90"/>
        <w:gridCol w:w="170"/>
        <w:gridCol w:w="1010"/>
        <w:gridCol w:w="135"/>
      </w:tblGrid>
      <w:tr>
        <w:trPr/>
        <w:tc>
          <w:tcPr>
            <w:tcW w:w="3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Carrying</w:t>
            </w:r>
          </w:p>
          <w:p>
            <w:pPr>
              <w:pStyle w:val="TableContents"/>
              <w:bidi w:val="0"/>
              <w:spacing w:before="0" w:after="0"/>
              <w:jc w:val="center"/>
              <w:rPr>
                <w:b/>
                <w:color w:val="000000"/>
              </w:rPr>
            </w:pPr>
            <w:r>
              <w:rPr>
                <w:b/>
                <w:color w:val="000000"/>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Level 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Level 2</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Level 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Fair Value</w:t>
            </w:r>
          </w:p>
        </w:tc>
        <w:tc>
          <w:tcPr>
            <w:tcW w:w="135" w:type="dxa"/>
            <w:tcBorders/>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jc w:val="left"/>
              <w:rPr>
                <w:color w:val="000000"/>
                <w:u w:val="single"/>
              </w:rPr>
            </w:pPr>
            <w:r>
              <w:rPr>
                <w:color w:val="000000"/>
                <w:u w:val="single"/>
              </w:rPr>
              <w:t>June 30, 2026</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jc w:val="left"/>
              <w:rPr>
                <w:color w:val="000000"/>
              </w:rPr>
            </w:pPr>
            <w:r>
              <w:rPr>
                <w:color w:val="000000"/>
              </w:rPr>
              <w:t>Financial assets:</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180" w:right="0" w:hanging="0"/>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787,757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787,757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787,757</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180" w:right="0" w:hanging="0"/>
              <w:jc w:val="left"/>
              <w:rPr>
                <w:color w:val="000000"/>
              </w:rPr>
            </w:pPr>
            <w:r>
              <w:rPr>
                <w:color w:val="000000"/>
              </w:rPr>
              <w:t>Loans held for investment,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3,718,358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3,708,299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3,708,299</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180" w:right="0" w:hanging="0"/>
              <w:jc w:val="left"/>
              <w:rPr>
                <w:color w:val="000000"/>
              </w:rPr>
            </w:pPr>
            <w:r>
              <w:rPr>
                <w:color w:val="000000"/>
              </w:rPr>
              <w:t>Loans held for sale (best efforts)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3,679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3,733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3,733</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180" w:right="0" w:hanging="0"/>
              <w:jc w:val="left"/>
              <w:rPr>
                <w:color w:val="000000"/>
              </w:rPr>
            </w:pPr>
            <w:r>
              <w:rPr>
                <w:color w:val="000000"/>
              </w:rPr>
              <w:t>Accrued interest receivable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20,306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20,306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20,306</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jc w:val="left"/>
              <w:rPr>
                <w:color w:val="000000"/>
              </w:rPr>
            </w:pPr>
            <w:r>
              <w:rPr>
                <w:color w:val="000000"/>
              </w:rPr>
              <w:t>Financial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180" w:right="0" w:hanging="0"/>
              <w:jc w:val="left"/>
              <w:rPr>
                <w:color w:val="000000"/>
              </w:rPr>
            </w:pPr>
            <w:r>
              <w:rPr>
                <w:color w:val="000000"/>
              </w:rPr>
              <w:t>Deposits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4,640,626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4,640,512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4,640,512</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180" w:right="0" w:hanging="0"/>
              <w:jc w:val="left"/>
              <w:rPr>
                <w:color w:val="000000"/>
              </w:rPr>
            </w:pPr>
            <w:r>
              <w:rPr>
                <w:color w:val="000000"/>
              </w:rPr>
              <w:t>Accrued interest payable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5,716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5,716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5,716</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180" w:right="0" w:hanging="0"/>
              <w:jc w:val="left"/>
              <w:rPr>
                <w:color w:val="000000"/>
              </w:rPr>
            </w:pPr>
            <w:r>
              <w:rPr>
                <w:color w:val="000000"/>
              </w:rPr>
              <w:t>Junior subordinated deferrable interest debentures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46,393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35,844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35,844</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180" w:right="0" w:hanging="0"/>
              <w:jc w:val="left"/>
              <w:rPr>
                <w:color w:val="000000"/>
              </w:rPr>
            </w:pPr>
            <w:r>
              <w:rPr>
                <w:color w:val="000000"/>
              </w:rPr>
              <w:t>Subordinated debt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14,100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13,260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13,260</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jc w:val="left"/>
              <w:rPr>
                <w:color w:val="000000"/>
                <w:u w:val="single"/>
              </w:rPr>
            </w:pPr>
            <w:r>
              <w:rPr>
                <w:color w:val="000000"/>
                <w:u w:val="single"/>
              </w:rPr>
              <w:t>December 31, 2025</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jc w:val="left"/>
              <w:rPr>
                <w:color w:val="000000"/>
              </w:rPr>
            </w:pPr>
            <w:r>
              <w:rPr>
                <w:color w:val="000000"/>
              </w:rPr>
              <w:t>Financial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180" w:right="0" w:hanging="0"/>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552,439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552,439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552,439</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180" w:right="0" w:hanging="0"/>
              <w:jc w:val="left"/>
              <w:rPr>
                <w:color w:val="000000"/>
              </w:rPr>
            </w:pPr>
            <w:r>
              <w:rPr>
                <w:color w:val="000000"/>
              </w:rPr>
              <w:t>Loans held for investment,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3,099,371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3,082,072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3,082,072</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180" w:right="0" w:hanging="0"/>
              <w:jc w:val="left"/>
              <w:rPr>
                <w:color w:val="000000"/>
              </w:rPr>
            </w:pPr>
            <w:r>
              <w:rPr>
                <w:color w:val="000000"/>
              </w:rPr>
              <w:t>Loans held for sale (best efforts)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2,197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2,237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2,237</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180" w:right="0" w:hanging="0"/>
              <w:jc w:val="left"/>
              <w:rPr>
                <w:color w:val="000000"/>
              </w:rPr>
            </w:pPr>
            <w:r>
              <w:rPr>
                <w:color w:val="000000"/>
              </w:rPr>
              <w:t>Accrued interest receivable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20,931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20,931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20,931</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jc w:val="left"/>
              <w:rPr>
                <w:color w:val="000000"/>
              </w:rPr>
            </w:pPr>
            <w:r>
              <w:rPr>
                <w:color w:val="000000"/>
              </w:rPr>
              <w:t>Financial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180" w:right="0" w:hanging="0"/>
              <w:jc w:val="left"/>
              <w:rPr>
                <w:color w:val="000000"/>
              </w:rPr>
            </w:pPr>
            <w:r>
              <w:rPr>
                <w:color w:val="000000"/>
              </w:rPr>
              <w:t>Deposits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3,874,077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3,873,806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3,873,806</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180" w:right="0" w:hanging="0"/>
              <w:jc w:val="left"/>
              <w:rPr>
                <w:color w:val="000000"/>
              </w:rPr>
            </w:pPr>
            <w:r>
              <w:rPr>
                <w:color w:val="000000"/>
              </w:rPr>
              <w:t>Accrued interest payable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5,014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5,014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5,014</w:t>
            </w:r>
          </w:p>
        </w:tc>
        <w:tc>
          <w:tcPr>
            <w:tcW w:w="135" w:type="dxa"/>
            <w:tcBorders/>
            <w:shd w:fill="CCEEFF" w:val="clear"/>
            <w:vAlign w:val="bottom"/>
          </w:tcPr>
          <w:p>
            <w:pPr>
              <w:pStyle w:val="TableContents"/>
              <w:bidi w:val="0"/>
              <w:spacing w:before="0" w:after="283"/>
              <w:jc w:val="left"/>
              <w:rPr/>
            </w:pPr>
            <w:r>
              <w:rPr/>
              <w:t> </w:t>
            </w:r>
          </w:p>
        </w:tc>
      </w:tr>
      <w:tr>
        <w:trPr/>
        <w:tc>
          <w:tcPr>
            <w:tcW w:w="3540" w:type="dxa"/>
            <w:tcBorders/>
            <w:vAlign w:val="bottom"/>
          </w:tcPr>
          <w:p>
            <w:pPr>
              <w:pStyle w:val="TableContents"/>
              <w:bidi w:val="0"/>
              <w:spacing w:before="0" w:after="0"/>
              <w:ind w:left="180" w:right="0" w:hanging="0"/>
              <w:jc w:val="left"/>
              <w:rPr>
                <w:color w:val="000000"/>
              </w:rPr>
            </w:pPr>
            <w:r>
              <w:rPr>
                <w:color w:val="000000"/>
              </w:rPr>
              <w:t>Junior subordinated deferrable interest debentures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46,393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35,213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35,213</w:t>
            </w:r>
          </w:p>
        </w:tc>
        <w:tc>
          <w:tcPr>
            <w:tcW w:w="135" w:type="dxa"/>
            <w:tcBorders/>
            <w:vAlign w:val="bottom"/>
          </w:tcPr>
          <w:p>
            <w:pPr>
              <w:pStyle w:val="TableContents"/>
              <w:bidi w:val="0"/>
              <w:spacing w:before="0" w:after="283"/>
              <w:jc w:val="left"/>
              <w:rPr/>
            </w:pPr>
            <w:r>
              <w:rPr/>
              <w:t> </w:t>
            </w:r>
          </w:p>
        </w:tc>
      </w:tr>
      <w:tr>
        <w:trPr/>
        <w:tc>
          <w:tcPr>
            <w:tcW w:w="3540" w:type="dxa"/>
            <w:tcBorders/>
            <w:shd w:fill="CCEEFF" w:val="clear"/>
            <w:vAlign w:val="bottom"/>
          </w:tcPr>
          <w:p>
            <w:pPr>
              <w:pStyle w:val="TableContents"/>
              <w:bidi w:val="0"/>
              <w:spacing w:before="0" w:after="0"/>
              <w:ind w:left="180" w:right="0" w:hanging="0"/>
              <w:jc w:val="left"/>
              <w:rPr>
                <w:color w:val="000000"/>
              </w:rPr>
            </w:pPr>
            <w:r>
              <w:rPr>
                <w:color w:val="000000"/>
              </w:rPr>
              <w:t>Subordinated debt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14,100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13,907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13,907</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15.  SUBSEQUENT EVENTS</w:t>
      </w:r>
    </w:p>
    <w:p>
      <w:pPr>
        <w:pStyle w:val="TextBody"/>
        <w:bidi w:val="0"/>
        <w:spacing w:before="0" w:after="0"/>
        <w:jc w:val="both"/>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Dividend Declaration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15, 2026, the Company declared a cash dividend of $0.18 per share of common stock to be paid on August 10, 2026 to all shareholders of record as of the close of business on July 27,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Normal"/>
        <w:bidi w:val="0"/>
        <w:spacing w:before="0" w:after="0"/>
        <w:jc w:val="left"/>
        <w:rPr>
          <w:sz w:val="4"/>
          <w:szCs w:val="4"/>
        </w:rPr>
      </w:pPr>
      <w:r>
        <w:rPr>
          <w:sz w:val="4"/>
          <w:szCs w:val="4"/>
        </w:rPr>
      </w:r>
      <w:bookmarkStart w:id="117" w:name="z5eb2f97900624adc95226190f50499c2"/>
      <w:bookmarkStart w:id="118" w:name="ManagementsDiscussionandA"/>
      <w:bookmarkStart w:id="119" w:name="z5eb2f97900624adc95226190f50499c2"/>
      <w:bookmarkStart w:id="120" w:name="ManagementsDiscussionandA"/>
      <w:bookmarkEnd w:id="119"/>
      <w:bookmarkEnd w:id="120"/>
    </w:p>
    <w:tbl>
      <w:tblPr>
        <w:tblW w:w="9880" w:type="dxa"/>
        <w:jc w:val="left"/>
        <w:tblInd w:w="0" w:type="dxa"/>
        <w:tblLayout w:type="fixed"/>
        <w:tblCellMar>
          <w:top w:w="0" w:type="dxa"/>
          <w:left w:w="0" w:type="dxa"/>
          <w:bottom w:w="0" w:type="dxa"/>
          <w:right w:w="0" w:type="dxa"/>
        </w:tblCellMar>
      </w:tblPr>
      <w:tblGrid>
        <w:gridCol w:w="770"/>
        <w:gridCol w:w="9110"/>
      </w:tblGrid>
      <w:tr>
        <w:trPr/>
        <w:tc>
          <w:tcPr>
            <w:tcW w:w="770" w:type="dxa"/>
            <w:tcBorders/>
            <w:vAlign w:val="center"/>
          </w:tcPr>
          <w:p>
            <w:pPr>
              <w:pStyle w:val="TableContents"/>
              <w:bidi w:val="0"/>
              <w:spacing w:before="0" w:after="283"/>
              <w:jc w:val="left"/>
              <w:rPr>
                <w:b/>
                <w:color w:val="000000"/>
              </w:rPr>
            </w:pPr>
            <w:r>
              <w:rPr>
                <w:b/>
                <w:color w:val="000000"/>
              </w:rPr>
              <w:t>Item 2.</w:t>
            </w:r>
          </w:p>
        </w:tc>
        <w:tc>
          <w:tcPr>
            <w:tcW w:w="9110" w:type="dxa"/>
            <w:tcBorders/>
            <w:vAlign w:val="center"/>
          </w:tcPr>
          <w:p>
            <w:pPr>
              <w:pStyle w:val="TableContents"/>
              <w:bidi w:val="0"/>
              <w:spacing w:before="0" w:after="0"/>
              <w:jc w:val="left"/>
              <w:rPr>
                <w:b/>
                <w:color w:val="000000"/>
              </w:rPr>
            </w:pPr>
            <w:r>
              <w:rPr>
                <w:b/>
                <w:color w:val="000000"/>
              </w:rPr>
              <w:t>Management’s Discussion and Analysis of Financial Condition and Results of Operations</w:t>
            </w:r>
          </w:p>
        </w:tc>
      </w:tr>
    </w:tbl>
    <w:p>
      <w:pPr>
        <w:pStyle w:val="TextBody"/>
        <w:bidi w:val="0"/>
        <w:spacing w:before="0" w:after="0"/>
        <w:jc w:val="both"/>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The following discussion and analysis of our financial condition and results of operations for the periods covered by this Quarterly Report on Form 10-Q (this “Form 10-Q”) and should be read in conjunction with our consolidated financial statements and the accompanying notes thereto included in this Form 10-Q and in our Annual Report on Form 10-K for the year ended December 31, 2025 (the “2025 Annual Report on Form 10-K”) filed with the U.S. Securities and Exchange Commission (the “SEC”) pursuant to Rule 424(b) of the Securities Act of 1933, as amended (the “Securities Act”), on March 5, 2026.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Cautionary Notice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There are or will be important factors that could cause our actual results to differ materially from those indicated in these forward-looking statements, including, but not limited to,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1" w:name="zde8eae6534af47e1846e99f1020b1181"/>
      <w:bookmarkStart w:id="122" w:name="zde8eae6534af47e1846e99f1020b1181"/>
      <w:bookmarkEnd w:id="122"/>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left"/>
              <w:rPr/>
            </w:pPr>
            <w:r>
              <w:rPr/>
              <w:t xml:space="preserve">risks relating to the acquisition of BOH Holdings, Inc. (“BOH”) and acquisitions generally including disruption to current plans and operations and our ability to recognize the expected benefits and synergies of completed acquisitions;    </w:t>
            </w:r>
          </w:p>
        </w:tc>
      </w:tr>
    </w:tbl>
    <w:p>
      <w:pPr>
        <w:pStyle w:val="TextBody"/>
        <w:bidi w:val="0"/>
        <w:spacing w:before="0" w:after="0"/>
        <w:ind w:left="360" w:right="0" w:hanging="0"/>
        <w:jc w:val="both"/>
        <w:rPr/>
      </w:pPr>
      <w:r>
        <w:rPr/>
      </w:r>
    </w:p>
    <w:p>
      <w:pPr>
        <w:pStyle w:val="Normal"/>
        <w:bidi w:val="0"/>
        <w:spacing w:before="0" w:after="0"/>
        <w:jc w:val="left"/>
        <w:rPr>
          <w:sz w:val="4"/>
          <w:szCs w:val="4"/>
        </w:rPr>
      </w:pPr>
      <w:r>
        <w:rPr>
          <w:sz w:val="4"/>
          <w:szCs w:val="4"/>
        </w:rPr>
      </w:r>
      <w:bookmarkStart w:id="123" w:name="z30dcf8b5262b4e20a78707e84337e7af"/>
      <w:bookmarkStart w:id="124" w:name="z30dcf8b5262b4e20a78707e84337e7af"/>
      <w:bookmarkEnd w:id="124"/>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risks related to the integration of any other acquired businesses, including exposure to potential asset quality and credit quality risks and unknown or contingent liabilities, risks related to entering a new geographic market, the time and costs associated with integrating systems, technology platforms, procedures and personnel, the ability to retain key employees and maintain relationships with significant customers, the need for additional capital to finance such transactions, and possible failures in realizing the anticipated benefits from acquisitions;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25" w:name="z6ba09729e1514dca8814c3abc7b3c339"/>
      <w:bookmarkStart w:id="126" w:name="z6ba09729e1514dca8814c3abc7b3c339"/>
      <w:bookmarkEnd w:id="126"/>
    </w:p>
    <w:tbl>
      <w:tblPr>
        <w:tblW w:w="6130" w:type="dxa"/>
        <w:jc w:val="left"/>
        <w:tblInd w:w="0" w:type="dxa"/>
        <w:tblLayout w:type="fixed"/>
        <w:tblCellMar>
          <w:top w:w="0" w:type="dxa"/>
          <w:left w:w="0" w:type="dxa"/>
          <w:bottom w:w="0" w:type="dxa"/>
          <w:right w:w="0" w:type="dxa"/>
        </w:tblCellMar>
      </w:tblPr>
      <w:tblGrid>
        <w:gridCol w:w="105"/>
        <w:gridCol w:w="200"/>
        <w:gridCol w:w="58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5825" w:type="dxa"/>
            <w:tcBorders/>
            <w:vAlign w:val="center"/>
          </w:tcPr>
          <w:p>
            <w:pPr>
              <w:pStyle w:val="TableContents"/>
              <w:bidi w:val="0"/>
              <w:spacing w:before="0" w:after="0"/>
              <w:jc w:val="both"/>
              <w:rPr/>
            </w:pPr>
            <w:r>
              <w:rPr/>
              <w:t>potential recession in the United States and our market areas;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27" w:name="z1c5023c495a043e48afe8509974d6c99"/>
      <w:bookmarkStart w:id="128" w:name="z1c5023c495a043e48afe8509974d6c99"/>
      <w:bookmarkEnd w:id="128"/>
    </w:p>
    <w:tbl>
      <w:tblPr>
        <w:tblW w:w="7015" w:type="dxa"/>
        <w:jc w:val="left"/>
        <w:tblInd w:w="0" w:type="dxa"/>
        <w:tblLayout w:type="fixed"/>
        <w:tblCellMar>
          <w:top w:w="0" w:type="dxa"/>
          <w:left w:w="0" w:type="dxa"/>
          <w:bottom w:w="0" w:type="dxa"/>
          <w:right w:w="0" w:type="dxa"/>
        </w:tblCellMar>
      </w:tblPr>
      <w:tblGrid>
        <w:gridCol w:w="105"/>
        <w:gridCol w:w="200"/>
        <w:gridCol w:w="67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6710" w:type="dxa"/>
            <w:tcBorders/>
            <w:vAlign w:val="center"/>
          </w:tcPr>
          <w:p>
            <w:pPr>
              <w:pStyle w:val="TableContents"/>
              <w:bidi w:val="0"/>
              <w:spacing w:before="0" w:after="0"/>
              <w:jc w:val="both"/>
              <w:rPr/>
            </w:pPr>
            <w:r>
              <w:rPr/>
              <w:t>uncertainty or perceived instability in the banking industry as a whole;</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29" w:name="ze5f15d3a08714574bfd443095467fc2d"/>
      <w:bookmarkStart w:id="130" w:name="ze5f15d3a08714574bfd443095467fc2d"/>
      <w:bookmarkEnd w:id="130"/>
    </w:p>
    <w:tbl>
      <w:tblPr>
        <w:tblW w:w="8365" w:type="dxa"/>
        <w:jc w:val="left"/>
        <w:tblInd w:w="0" w:type="dxa"/>
        <w:tblLayout w:type="fixed"/>
        <w:tblCellMar>
          <w:top w:w="0" w:type="dxa"/>
          <w:left w:w="0" w:type="dxa"/>
          <w:bottom w:w="0" w:type="dxa"/>
          <w:right w:w="0" w:type="dxa"/>
        </w:tblCellMar>
      </w:tblPr>
      <w:tblGrid>
        <w:gridCol w:w="105"/>
        <w:gridCol w:w="200"/>
        <w:gridCol w:w="80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8060" w:type="dxa"/>
            <w:tcBorders/>
            <w:vAlign w:val="center"/>
          </w:tcPr>
          <w:p>
            <w:pPr>
              <w:pStyle w:val="TableContents"/>
              <w:bidi w:val="0"/>
              <w:spacing w:before="0" w:after="0"/>
              <w:jc w:val="both"/>
              <w:rPr/>
            </w:pPr>
            <w:r>
              <w:rPr/>
              <w:t>increased competition for deposits and related changes in deposit customer behavior;</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31" w:name="zd20773e08ede411a887afdb530e51cff"/>
      <w:bookmarkStart w:id="132" w:name="zd20773e08ede411a887afdb530e51cff"/>
      <w:bookmarkEnd w:id="132"/>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the lingering inflationary pressures, and the risk of the resurgence of elevated levels of inflation, in the United States and our market areas, and its impact on market interest rates, the economy and credit quality;</w:t>
            </w:r>
          </w:p>
        </w:tc>
      </w:tr>
    </w:tbl>
    <w:p>
      <w:pPr>
        <w:pStyle w:val="TextBody"/>
        <w:bidi w:val="0"/>
        <w:spacing w:before="0" w:after="0"/>
        <w:jc w:val="both"/>
        <w:rPr/>
      </w:pPr>
      <w:r>
        <w:rPr/>
      </w:r>
    </w:p>
    <w:tbl>
      <w:tblPr>
        <w:tblW w:w="2365" w:type="dxa"/>
        <w:jc w:val="left"/>
        <w:tblInd w:w="0" w:type="dxa"/>
        <w:tblLayout w:type="fixed"/>
        <w:tblCellMar>
          <w:top w:w="0" w:type="dxa"/>
          <w:left w:w="0" w:type="dxa"/>
          <w:bottom w:w="0" w:type="dxa"/>
          <w:right w:w="0" w:type="dxa"/>
        </w:tblCellMar>
      </w:tblPr>
      <w:tblGrid>
        <w:gridCol w:w="105"/>
        <w:gridCol w:w="200"/>
        <w:gridCol w:w="20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2060" w:type="dxa"/>
            <w:tcBorders/>
            <w:vAlign w:val="center"/>
          </w:tcPr>
          <w:p>
            <w:pPr>
              <w:pStyle w:val="TableContents"/>
              <w:bidi w:val="0"/>
              <w:spacing w:before="0" w:after="0"/>
              <w:jc w:val="left"/>
              <w:rPr/>
            </w:pPr>
            <w:r>
              <w:rPr/>
              <w:t>elevated asset prices;</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133" w:name="z93d65cbe54a34000afb678454cb668a1"/>
      <w:bookmarkStart w:id="134" w:name="z93d65cbe54a34000afb678454cb668a1"/>
      <w:bookmarkEnd w:id="134"/>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business and economic conditions, particularly those affecting our market areas, as well as the concentration of our business in such market areas;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35" w:name="z9d394d76f6c34e8bb865715f032df40f"/>
      <w:bookmarkStart w:id="136" w:name="z9d394d76f6c34e8bb865715f032df40f"/>
      <w:bookmarkEnd w:id="136"/>
    </w:p>
    <w:tbl>
      <w:tblPr>
        <w:tblW w:w="6955" w:type="dxa"/>
        <w:jc w:val="left"/>
        <w:tblInd w:w="0" w:type="dxa"/>
        <w:tblLayout w:type="fixed"/>
        <w:tblCellMar>
          <w:top w:w="0" w:type="dxa"/>
          <w:left w:w="0" w:type="dxa"/>
          <w:bottom w:w="0" w:type="dxa"/>
          <w:right w:w="0" w:type="dxa"/>
        </w:tblCellMar>
      </w:tblPr>
      <w:tblGrid>
        <w:gridCol w:w="105"/>
        <w:gridCol w:w="200"/>
        <w:gridCol w:w="66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6650" w:type="dxa"/>
            <w:tcBorders/>
            <w:vAlign w:val="center"/>
          </w:tcPr>
          <w:p>
            <w:pPr>
              <w:pStyle w:val="TableContents"/>
              <w:bidi w:val="0"/>
              <w:spacing w:before="0" w:after="0"/>
              <w:jc w:val="both"/>
              <w:rPr/>
            </w:pPr>
            <w:r>
              <w:rPr/>
              <w:t>the impact of pandemics, epidemics, or any other health-related crisis;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37" w:name="zcfb61912fd4643dc83d95226d3f3dddd"/>
      <w:bookmarkStart w:id="138" w:name="zcfb61912fd4643dc83d95226d3f3dddd"/>
      <w:bookmarkEnd w:id="138"/>
    </w:p>
    <w:tbl>
      <w:tblPr>
        <w:tblW w:w="7780" w:type="dxa"/>
        <w:jc w:val="left"/>
        <w:tblInd w:w="0" w:type="dxa"/>
        <w:tblLayout w:type="fixed"/>
        <w:tblCellMar>
          <w:top w:w="0" w:type="dxa"/>
          <w:left w:w="0" w:type="dxa"/>
          <w:bottom w:w="0" w:type="dxa"/>
          <w:right w:w="0" w:type="dxa"/>
        </w:tblCellMar>
      </w:tblPr>
      <w:tblGrid>
        <w:gridCol w:w="105"/>
        <w:gridCol w:w="200"/>
        <w:gridCol w:w="74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7475" w:type="dxa"/>
            <w:tcBorders/>
            <w:vAlign w:val="center"/>
          </w:tcPr>
          <w:p>
            <w:pPr>
              <w:pStyle w:val="TableContents"/>
              <w:bidi w:val="0"/>
              <w:spacing w:before="0" w:after="0"/>
              <w:jc w:val="both"/>
              <w:rPr/>
            </w:pPr>
            <w:r>
              <w:rPr/>
              <w:t>high concentrations of loans secured by real estate located in our market areas;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39" w:name="z3df0bcadd5244488a3b7049e83e61439"/>
      <w:bookmarkStart w:id="140" w:name="z3df0bcadd5244488a3b7049e83e61439"/>
      <w:bookmarkEnd w:id="140"/>
    </w:p>
    <w:tbl>
      <w:tblPr>
        <w:tblW w:w="7450" w:type="dxa"/>
        <w:jc w:val="left"/>
        <w:tblInd w:w="0" w:type="dxa"/>
        <w:tblLayout w:type="fixed"/>
        <w:tblCellMar>
          <w:top w:w="0" w:type="dxa"/>
          <w:left w:w="0" w:type="dxa"/>
          <w:bottom w:w="0" w:type="dxa"/>
          <w:right w:w="0" w:type="dxa"/>
        </w:tblCellMar>
      </w:tblPr>
      <w:tblGrid>
        <w:gridCol w:w="105"/>
        <w:gridCol w:w="200"/>
        <w:gridCol w:w="71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7145" w:type="dxa"/>
            <w:tcBorders/>
            <w:vAlign w:val="center"/>
          </w:tcPr>
          <w:p>
            <w:pPr>
              <w:pStyle w:val="TableContents"/>
              <w:bidi w:val="0"/>
              <w:spacing w:before="0" w:after="0"/>
              <w:jc w:val="both"/>
              <w:rPr/>
            </w:pPr>
            <w:r>
              <w:rPr/>
              <w:t>increases in unemployment rates in the United States and our market areas;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41" w:name="z0644c34c0e84460888707f5ced9a868c"/>
      <w:bookmarkStart w:id="142" w:name="z0644c34c0e84460888707f5ced9a868c"/>
      <w:bookmarkEnd w:id="142"/>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risks associated with our commercial loan portfolio, including the risk for deterioration in value of the general business assets that secure such loans;</w:t>
            </w:r>
          </w:p>
        </w:tc>
      </w:tr>
    </w:tbl>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Normal"/>
        <w:bidi w:val="0"/>
        <w:spacing w:before="0" w:after="0"/>
        <w:jc w:val="left"/>
        <w:rPr>
          <w:sz w:val="4"/>
          <w:szCs w:val="4"/>
        </w:rPr>
      </w:pPr>
      <w:r>
        <w:rPr>
          <w:sz w:val="4"/>
          <w:szCs w:val="4"/>
        </w:rPr>
      </w:r>
      <w:bookmarkStart w:id="143" w:name="z8df7663398dd496c81796476cb4198a5"/>
      <w:bookmarkStart w:id="144" w:name="z8df7663398dd496c81796476cb4198a5"/>
      <w:bookmarkEnd w:id="144"/>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potential changes in the prices, values and sales volumes of commercial and residential real estate securing our real estate loans;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45" w:name="z618878fc8c2a42b886217e9366244a62"/>
      <w:bookmarkStart w:id="146" w:name="z618878fc8c2a42b886217e9366244a62"/>
      <w:bookmarkEnd w:id="146"/>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risks associated with our agricultural loan portfolio, including the heightened sensitivity to weather conditions, commodity prices, and other factors generally outside the borrowers and our control;</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47" w:name="zca8bf53e98404efc91592fd03a1ff359"/>
      <w:bookmarkStart w:id="148" w:name="zca8bf53e98404efc91592fd03a1ff359"/>
      <w:bookmarkEnd w:id="148"/>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risks related to the significant amount of credit that we have extended to a limited number of borrowers and in a limited geographic area;</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49" w:name="z1856699a47d94f55891fcabc3567f758"/>
      <w:bookmarkStart w:id="150" w:name="z1856699a47d94f55891fcabc3567f758"/>
      <w:bookmarkEnd w:id="150"/>
    </w:p>
    <w:tbl>
      <w:tblPr>
        <w:tblW w:w="7675" w:type="dxa"/>
        <w:jc w:val="left"/>
        <w:tblInd w:w="0" w:type="dxa"/>
        <w:tblLayout w:type="fixed"/>
        <w:tblCellMar>
          <w:top w:w="0" w:type="dxa"/>
          <w:left w:w="0" w:type="dxa"/>
          <w:bottom w:w="0" w:type="dxa"/>
          <w:right w:w="0" w:type="dxa"/>
        </w:tblCellMar>
      </w:tblPr>
      <w:tblGrid>
        <w:gridCol w:w="105"/>
        <w:gridCol w:w="200"/>
        <w:gridCol w:w="73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7370" w:type="dxa"/>
            <w:tcBorders/>
            <w:vAlign w:val="center"/>
          </w:tcPr>
          <w:p>
            <w:pPr>
              <w:pStyle w:val="TableContents"/>
              <w:bidi w:val="0"/>
              <w:spacing w:before="0" w:after="0"/>
              <w:jc w:val="both"/>
              <w:rPr/>
            </w:pPr>
            <w:r>
              <w:rPr/>
              <w:t>public funds deposits comprising a relatively high percentage of our deposits;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51" w:name="ze1d613622ab84d12beb6a877d898979e"/>
      <w:bookmarkStart w:id="152" w:name="ze1d613622ab84d12beb6a877d898979e"/>
      <w:bookmarkEnd w:id="152"/>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potential impairment on the goodwill we have recorded or may record in connection with business acquisitions;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53" w:name="z98f2d5332f9847d5b99026cfa361fe15"/>
      <w:bookmarkStart w:id="154" w:name="z98f2d5332f9847d5b99026cfa361fe15"/>
      <w:bookmarkEnd w:id="154"/>
    </w:p>
    <w:tbl>
      <w:tblPr>
        <w:tblW w:w="3910" w:type="dxa"/>
        <w:jc w:val="left"/>
        <w:tblInd w:w="0" w:type="dxa"/>
        <w:tblLayout w:type="fixed"/>
        <w:tblCellMar>
          <w:top w:w="0" w:type="dxa"/>
          <w:left w:w="0" w:type="dxa"/>
          <w:bottom w:w="0" w:type="dxa"/>
          <w:right w:w="0" w:type="dxa"/>
        </w:tblCellMar>
      </w:tblPr>
      <w:tblGrid>
        <w:gridCol w:w="105"/>
        <w:gridCol w:w="200"/>
        <w:gridCol w:w="36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3605" w:type="dxa"/>
            <w:tcBorders/>
            <w:vAlign w:val="center"/>
          </w:tcPr>
          <w:p>
            <w:pPr>
              <w:pStyle w:val="TableContents"/>
              <w:bidi w:val="0"/>
              <w:spacing w:before="0" w:after="0"/>
              <w:jc w:val="both"/>
              <w:rPr/>
            </w:pPr>
            <w:r>
              <w:rPr/>
              <w:t>our ability to maintain our reputation;</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55" w:name="z5e02bde5c8c94992adef5539510c26a2"/>
      <w:bookmarkStart w:id="156" w:name="z5e02bde5c8c94992adef5539510c26a2"/>
      <w:bookmarkEnd w:id="156"/>
    </w:p>
    <w:tbl>
      <w:tblPr>
        <w:tblW w:w="10045" w:type="dxa"/>
        <w:jc w:val="left"/>
        <w:tblInd w:w="0" w:type="dxa"/>
        <w:tblLayout w:type="fixed"/>
        <w:tblCellMar>
          <w:top w:w="0" w:type="dxa"/>
          <w:left w:w="0" w:type="dxa"/>
          <w:bottom w:w="0" w:type="dxa"/>
          <w:right w:w="0" w:type="dxa"/>
        </w:tblCellMar>
      </w:tblPr>
      <w:tblGrid>
        <w:gridCol w:w="105"/>
        <w:gridCol w:w="200"/>
        <w:gridCol w:w="97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740" w:type="dxa"/>
            <w:tcBorders/>
            <w:vAlign w:val="center"/>
          </w:tcPr>
          <w:p>
            <w:pPr>
              <w:pStyle w:val="TableContents"/>
              <w:bidi w:val="0"/>
              <w:spacing w:before="0" w:after="0"/>
              <w:jc w:val="both"/>
              <w:rPr/>
            </w:pPr>
            <w:r>
              <w:rPr/>
              <w:t>our ability to successfully manage our credit risk and the sufficiency of our allowance for credit losses;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57" w:name="z7ec3721125be47299f3f5e26961be13d"/>
      <w:bookmarkStart w:id="158" w:name="z7ec3721125be47299f3f5e26961be13d"/>
      <w:bookmarkEnd w:id="158"/>
    </w:p>
    <w:tbl>
      <w:tblPr>
        <w:tblW w:w="6880" w:type="dxa"/>
        <w:jc w:val="left"/>
        <w:tblInd w:w="0" w:type="dxa"/>
        <w:tblLayout w:type="fixed"/>
        <w:tblCellMar>
          <w:top w:w="0" w:type="dxa"/>
          <w:left w:w="0" w:type="dxa"/>
          <w:bottom w:w="0" w:type="dxa"/>
          <w:right w:w="0" w:type="dxa"/>
        </w:tblCellMar>
      </w:tblPr>
      <w:tblGrid>
        <w:gridCol w:w="105"/>
        <w:gridCol w:w="200"/>
        <w:gridCol w:w="65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6575" w:type="dxa"/>
            <w:tcBorders/>
            <w:vAlign w:val="center"/>
          </w:tcPr>
          <w:p>
            <w:pPr>
              <w:pStyle w:val="TableContents"/>
              <w:bidi w:val="0"/>
              <w:spacing w:before="0" w:after="0"/>
              <w:jc w:val="both"/>
              <w:rPr/>
            </w:pPr>
            <w:r>
              <w:rPr/>
              <w:t>our ability to attract, hire and retain qualified management personnel;</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59" w:name="z667ba2273c69444883f0a1a10d364d43"/>
      <w:bookmarkStart w:id="160" w:name="z667ba2273c69444883f0a1a10d364d43"/>
      <w:bookmarkEnd w:id="160"/>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our dependence on our management team, including our ability to retain executive officers and key employees and their customer and community relationships;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61" w:name="z51dc983d21134b78b6c541ce5d0e7b5d"/>
      <w:bookmarkStart w:id="162" w:name="z51dc983d21134b78b6c541ce5d0e7b5d"/>
      <w:bookmarkEnd w:id="162"/>
    </w:p>
    <w:tbl>
      <w:tblPr>
        <w:tblW w:w="7975" w:type="dxa"/>
        <w:jc w:val="left"/>
        <w:tblInd w:w="0" w:type="dxa"/>
        <w:tblLayout w:type="fixed"/>
        <w:tblCellMar>
          <w:top w:w="0" w:type="dxa"/>
          <w:left w:w="0" w:type="dxa"/>
          <w:bottom w:w="0" w:type="dxa"/>
          <w:right w:w="0" w:type="dxa"/>
        </w:tblCellMar>
      </w:tblPr>
      <w:tblGrid>
        <w:gridCol w:w="105"/>
        <w:gridCol w:w="200"/>
        <w:gridCol w:w="76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7670" w:type="dxa"/>
            <w:tcBorders/>
            <w:vAlign w:val="center"/>
          </w:tcPr>
          <w:p>
            <w:pPr>
              <w:pStyle w:val="TableContents"/>
              <w:bidi w:val="0"/>
              <w:spacing w:before="0" w:after="0"/>
              <w:jc w:val="both"/>
              <w:rPr/>
            </w:pPr>
            <w:r>
              <w:rPr/>
              <w:t>interest rate fluctuations, which could have an adverse effect on our profitability;</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63" w:name="z22e17e3c71d34420916d3830cf630834"/>
      <w:bookmarkStart w:id="164" w:name="z22e17e3c71d34420916d3830cf630834"/>
      <w:bookmarkEnd w:id="164"/>
    </w:p>
    <w:tbl>
      <w:tblPr>
        <w:tblW w:w="7600" w:type="dxa"/>
        <w:jc w:val="left"/>
        <w:tblInd w:w="0" w:type="dxa"/>
        <w:tblLayout w:type="fixed"/>
        <w:tblCellMar>
          <w:top w:w="0" w:type="dxa"/>
          <w:left w:w="0" w:type="dxa"/>
          <w:bottom w:w="0" w:type="dxa"/>
          <w:right w:w="0" w:type="dxa"/>
        </w:tblCellMar>
      </w:tblPr>
      <w:tblGrid>
        <w:gridCol w:w="105"/>
        <w:gridCol w:w="200"/>
        <w:gridCol w:w="72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7295" w:type="dxa"/>
            <w:tcBorders/>
            <w:vAlign w:val="center"/>
          </w:tcPr>
          <w:p>
            <w:pPr>
              <w:pStyle w:val="TableContents"/>
              <w:bidi w:val="0"/>
              <w:spacing w:before="0" w:after="0"/>
              <w:jc w:val="both"/>
              <w:rPr/>
            </w:pPr>
            <w:r>
              <w:rPr/>
              <w:t>competition from banks, credit unions and other financial services providers;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65" w:name="z28c7ab098c4a4395b3594d06c6c6af8e"/>
      <w:bookmarkStart w:id="166" w:name="z28c7ab098c4a4395b3594d06c6c6af8e"/>
      <w:bookmarkEnd w:id="166"/>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our ability to keep pace with technological change or difficulties we may experience when implementing new technologies;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67" w:name="z3340aa50abb54dec8942fc541d128912"/>
      <w:bookmarkStart w:id="168" w:name="z3340aa50abb54dec8942fc541d128912"/>
      <w:bookmarkEnd w:id="168"/>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cybersecurity risk, including cyber incidents or other failures, disruptions or breaches of our operational or security systems or infrastructure, or those of our third-party vendors or other service providers, including as a result of a cyber attack, could impact the Company’s reputation, increase regulatory oversight, and impact the financial results of the Company;</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69" w:name="z97aef4c478034ed094200da8150f7fbb"/>
      <w:bookmarkStart w:id="170" w:name="z97aef4c478034ed094200da8150f7fbb"/>
      <w:bookmarkEnd w:id="170"/>
    </w:p>
    <w:tbl>
      <w:tblPr>
        <w:tblW w:w="7150" w:type="dxa"/>
        <w:jc w:val="left"/>
        <w:tblInd w:w="0" w:type="dxa"/>
        <w:tblLayout w:type="fixed"/>
        <w:tblCellMar>
          <w:top w:w="0" w:type="dxa"/>
          <w:left w:w="0" w:type="dxa"/>
          <w:bottom w:w="0" w:type="dxa"/>
          <w:right w:w="0" w:type="dxa"/>
        </w:tblCellMar>
      </w:tblPr>
      <w:tblGrid>
        <w:gridCol w:w="105"/>
        <w:gridCol w:w="200"/>
        <w:gridCol w:w="68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6845" w:type="dxa"/>
            <w:tcBorders/>
            <w:vAlign w:val="center"/>
          </w:tcPr>
          <w:p>
            <w:pPr>
              <w:pStyle w:val="TableContents"/>
              <w:bidi w:val="0"/>
              <w:spacing w:before="0" w:after="0"/>
              <w:jc w:val="both"/>
              <w:rPr/>
            </w:pPr>
            <w:r>
              <w:rPr/>
              <w:t>our ability to maintain effective internal control over financial reporting;</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71" w:name="z13f3fbd7244e4fae90e77e17e57d4385"/>
      <w:bookmarkStart w:id="172" w:name="z13f3fbd7244e4fae90e77e17e57d4385"/>
      <w:bookmarkEnd w:id="172"/>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employee error, fraudulent activity by employees or customers and inaccurate or incomplete information about our customers and counterparties;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73" w:name="zbfba08be65124f338df34f14becf1c30"/>
      <w:bookmarkStart w:id="174" w:name="zbfba08be65124f338df34f14becf1c30"/>
      <w:bookmarkEnd w:id="174"/>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increased capital requirements imposed by banking regulators, which may require us to raise capital at a time when capital is not available on favorable terms or at all;</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75" w:name="zff0078d585ac4dcdb51304ce7bc241f7"/>
      <w:bookmarkStart w:id="176" w:name="zff0078d585ac4dcdb51304ce7bc241f7"/>
      <w:bookmarkEnd w:id="176"/>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our ability to maintain adequate liquidity and to raise necessary capital to fund our acquisition strategy and operations or to meet increased minimum regulatory capital levels;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77" w:name="zbb165a30586a4475b0326be99ff32db1"/>
      <w:bookmarkStart w:id="178" w:name="zbb165a30586a4475b0326be99ff32db1"/>
      <w:bookmarkEnd w:id="178"/>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costs and effects of litigation, investigations or similar matters to which we may be subject, including any effect on our reputation;</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79" w:name="z2992ccb953f546d98b7aafb9e1598ed7"/>
      <w:bookmarkStart w:id="180" w:name="z2992ccb953f546d98b7aafb9e1598ed7"/>
      <w:bookmarkEnd w:id="180"/>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severe weather, natural disasters, military conflicts (including the conflicts in the Middle East, the possible expansion of such conflicts and potential geopolitical and economic consequences), acts of terrorism, geopolitical instability, domestic civil unrest or other external events, including as a result of the impact of the policies of the current U.S. presidential administration or Congress;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81" w:name="z114e50aed24945b5a499c9ddd6d8c535"/>
      <w:bookmarkStart w:id="182" w:name="z114e50aed24945b5a499c9ddd6d8c535"/>
      <w:bookmarkEnd w:id="182"/>
    </w:p>
    <w:tbl>
      <w:tblPr>
        <w:tblW w:w="7360" w:type="dxa"/>
        <w:jc w:val="left"/>
        <w:tblInd w:w="0" w:type="dxa"/>
        <w:tblLayout w:type="fixed"/>
        <w:tblCellMar>
          <w:top w:w="0" w:type="dxa"/>
          <w:left w:w="0" w:type="dxa"/>
          <w:bottom w:w="0" w:type="dxa"/>
          <w:right w:w="0" w:type="dxa"/>
        </w:tblCellMar>
      </w:tblPr>
      <w:tblGrid>
        <w:gridCol w:w="105"/>
        <w:gridCol w:w="200"/>
        <w:gridCol w:w="70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7055" w:type="dxa"/>
            <w:tcBorders/>
            <w:vAlign w:val="center"/>
          </w:tcPr>
          <w:p>
            <w:pPr>
              <w:pStyle w:val="TableContents"/>
              <w:bidi w:val="0"/>
              <w:spacing w:before="0" w:after="0"/>
              <w:jc w:val="both"/>
              <w:rPr/>
            </w:pPr>
            <w:r>
              <w:rPr/>
              <w:t>uncertainty regarding United States fiscal debt, deficit and budget matters;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83" w:name="z106e765019a04303a284d72ce411db98"/>
      <w:bookmarkStart w:id="184" w:name="z106e765019a04303a284d72ce411db98"/>
      <w:bookmarkEnd w:id="184"/>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the impacts of tariffs, sanctions, and other trade policies of the United States and its global trading counterparts and the resulting impact on the Company and its customers;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85" w:name="zc0dbc7cb797b42b781921b0d912eb9c7"/>
      <w:bookmarkStart w:id="186" w:name="zc0dbc7cb797b42b781921b0d912eb9c7"/>
      <w:bookmarkEnd w:id="186"/>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the risks related to the development, implementation use and management of emerging technologies, including artificial intelligence and machine learning;</w:t>
            </w:r>
          </w:p>
        </w:tc>
      </w:tr>
    </w:tbl>
    <w:p>
      <w:pPr>
        <w:pStyle w:val="TextBody"/>
        <w:bidi w:val="0"/>
        <w:spacing w:before="0" w:after="0"/>
        <w:ind w:left="720" w:right="0" w:hanging="36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Normal"/>
        <w:bidi w:val="0"/>
        <w:spacing w:before="0" w:after="0"/>
        <w:jc w:val="left"/>
        <w:rPr>
          <w:sz w:val="4"/>
          <w:szCs w:val="4"/>
        </w:rPr>
      </w:pPr>
      <w:r>
        <w:rPr>
          <w:sz w:val="4"/>
          <w:szCs w:val="4"/>
        </w:rPr>
      </w:r>
      <w:bookmarkStart w:id="187" w:name="z5520e551821b4c8291a0a359cb29a491"/>
      <w:bookmarkStart w:id="188" w:name="z5520e551821b4c8291a0a359cb29a491"/>
      <w:bookmarkEnd w:id="188"/>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89" w:name="z7bd66d3587ec4f3097feeace7e28a8b8"/>
      <w:bookmarkStart w:id="190" w:name="z7bd66d3587ec4f3097feeace7e28a8b8"/>
      <w:bookmarkEnd w:id="190"/>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changes in accounting principles and standards, including those related to loan loss recognition under the current expected credit loss, or CECL, methodology;</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91" w:name="zdfcd9bded00e4e439699f3e8c66bfdb7"/>
      <w:bookmarkStart w:id="192" w:name="zdfcd9bded00e4e439699f3e8c66bfdb7"/>
      <w:bookmarkEnd w:id="192"/>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changes in the laws, rules, regulations, interpretations or policies that apply to the Company’s business and operations, and any additional regulations, or repeals that may be forthcoming as a result thereof, which could cause the Company to incur additional costs and adversely affect the Company’s business environment, operations and financial results; and</w:t>
            </w:r>
          </w:p>
        </w:tc>
      </w:tr>
    </w:tbl>
    <w:p>
      <w:pPr>
        <w:pStyle w:val="TextBody"/>
        <w:bidi w:val="0"/>
        <w:spacing w:before="0" w:after="0"/>
        <w:ind w:left="720" w:right="0" w:hanging="360"/>
        <w:jc w:val="both"/>
        <w:rPr/>
      </w:pPr>
      <w:r>
        <w:rPr/>
      </w:r>
    </w:p>
    <w:p>
      <w:pPr>
        <w:pStyle w:val="Normal"/>
        <w:bidi w:val="0"/>
        <w:spacing w:before="0" w:after="0"/>
        <w:jc w:val="left"/>
        <w:rPr>
          <w:sz w:val="4"/>
          <w:szCs w:val="4"/>
        </w:rPr>
      </w:pPr>
      <w:r>
        <w:rPr>
          <w:sz w:val="4"/>
          <w:szCs w:val="4"/>
        </w:rPr>
      </w:r>
      <w:bookmarkStart w:id="193" w:name="z4c44af60ed4f49e4877fe57a8a9cfd8f"/>
      <w:bookmarkStart w:id="194" w:name="z4c44af60ed4f49e4877fe57a8a9cfd8f"/>
      <w:bookmarkEnd w:id="194"/>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both"/>
              <w:rPr/>
            </w:pPr>
            <w:r>
              <w:rPr/>
              <w:t>●</w:t>
            </w:r>
          </w:p>
        </w:tc>
        <w:tc>
          <w:tcPr>
            <w:tcW w:w="9900" w:type="dxa"/>
            <w:tcBorders/>
            <w:vAlign w:val="center"/>
          </w:tcPr>
          <w:p>
            <w:pPr>
              <w:pStyle w:val="TableContents"/>
              <w:bidi w:val="0"/>
              <w:spacing w:before="0" w:after="0"/>
              <w:jc w:val="both"/>
              <w:rPr/>
            </w:pPr>
            <w:r>
              <w:rPr/>
              <w:t>our ability to navigate the uncertain impacts of current and future governmental monetary and fiscal policies, including the current and future policies of the Board of Governors of the Federal Reserve System (“Federal Reserve”) and as a result of initiatives of the Trump administration.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factors should not be construed as exhaustive and should be read together with the other cautionary statements included in this Form 10-Q and the risk factors set forth in our 2025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applicable law.</w:t>
      </w:r>
    </w:p>
    <w:p>
      <w:pPr>
        <w:pStyle w:val="TextBody"/>
        <w:bidi w:val="0"/>
        <w:spacing w:before="0" w:after="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Available Information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maintains an Internet web site at </w:t>
      </w:r>
      <w:r>
        <w:rPr>
          <w:rFonts w:ascii="Times New Roman" w:hAnsi="Times New Roman"/>
          <w:i/>
          <w:color w:val="000000"/>
          <w:sz w:val="20"/>
          <w:u w:val="single"/>
          <w:shd w:fill="FFFFFF" w:val="clear"/>
        </w:rPr>
        <w:t>www.spfi.bank</w:t>
      </w:r>
      <w:r>
        <w:rPr>
          <w:rFonts w:ascii="Times New Roman" w:hAnsi="Times New Roman"/>
          <w:color w:val="000000"/>
          <w:sz w:val="20"/>
          <w:shd w:fill="FFFFFF" w:val="clear"/>
        </w:rPr>
        <w:t xml:space="preserve">. The Company makes available, free of charge, on its web site (under </w:t>
      </w:r>
      <w:r>
        <w:rPr>
          <w:rFonts w:ascii="Times New Roman" w:hAnsi="Times New Roman"/>
          <w:i/>
          <w:color w:val="000000"/>
          <w:sz w:val="20"/>
          <w:u w:val="single"/>
          <w:shd w:fill="FFFFFF" w:val="clear"/>
        </w:rPr>
        <w:t>www.spfi.bank/financials-filings/sec-filings</w:t>
      </w:r>
      <w:r>
        <w:rPr>
          <w:rFonts w:ascii="Times New Roman" w:hAnsi="Times New Roman"/>
          <w:color w:val="000000"/>
          <w:sz w:val="20"/>
          <w:shd w:fill="FFFFFF" w:val="clear"/>
        </w:rPr>
        <w:t xml:space="preserve"> )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 w:hAnsi="Times New Roman"/>
          <w:i/>
          <w:color w:val="000000"/>
          <w:sz w:val="20"/>
          <w:u w:val="single"/>
          <w:shd w:fill="FFFFFF" w:val="clear"/>
        </w:rPr>
        <w:t>www.spfi.bank/corporate-governance/documents-charters</w:t>
      </w:r>
      <w:r>
        <w:rPr>
          <w:rFonts w:ascii="Times New Roman" w:hAnsi="Times New Roman"/>
          <w:color w:val="000000"/>
          <w:sz w:val="20"/>
          <w:shd w:fill="FFFFFF" w:val="clear"/>
        </w:rPr>
        <w:t xml:space="preserve"> ) links to the Company’s Code of Conduct and the charters for its board committees. In addition, the SEC maintains an Internet site (at </w:t>
      </w:r>
      <w:r>
        <w:rPr>
          <w:rFonts w:ascii="Times New Roman" w:hAnsi="Times New Roman"/>
          <w:i/>
          <w:color w:val="000000"/>
          <w:sz w:val="20"/>
          <w:u w:val="single"/>
          <w:shd w:fill="FFFFFF" w:val="clear"/>
        </w:rPr>
        <w:t>www.sec.gov</w:t>
      </w:r>
      <w:r>
        <w:rPr>
          <w:rFonts w:ascii="Times New Roman" w:hAnsi="Times New Roman"/>
          <w:color w:val="000000"/>
          <w:sz w:val="20"/>
          <w:shd w:fill="FFFFFF" w:val="clear"/>
        </w:rPr>
        <w:t xml:space="preserve"> ) that contains reports, proxy and information statements, and other information regarding issuers that file electronically with the SEC.</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routinely posts important information for investors on its web site (under </w:t>
      </w:r>
      <w:r>
        <w:rPr>
          <w:rFonts w:ascii="Times New Roman" w:hAnsi="Times New Roman"/>
          <w:i/>
          <w:color w:val="000000"/>
          <w:sz w:val="20"/>
          <w:u w:val="single"/>
          <w:shd w:fill="FFFFFF" w:val="clear"/>
        </w:rPr>
        <w:t>www.spfi.bank</w:t>
      </w:r>
      <w:r>
        <w:rPr>
          <w:rFonts w:ascii="Times New Roman" w:hAnsi="Times New Roman"/>
          <w:color w:val="000000"/>
          <w:sz w:val="20"/>
          <w:shd w:fill="FFFFFF" w:val="clear"/>
        </w:rPr>
        <w:t xml:space="preserve"> and, more specifically, under the News &amp; Events tab at </w:t>
      </w:r>
      <w:r>
        <w:rPr>
          <w:rFonts w:ascii="Times New Roman" w:hAnsi="Times New Roman"/>
          <w:i/>
          <w:color w:val="000000"/>
          <w:sz w:val="20"/>
          <w:u w:val="single"/>
          <w:shd w:fill="FFFFFF" w:val="clear"/>
        </w:rPr>
        <w:t>www.spfi.bank/news-events/press-releases</w:t>
      </w:r>
      <w:r>
        <w:rPr>
          <w:rFonts w:ascii="Times New Roman" w:hAnsi="Times New Roman"/>
          <w:color w:val="000000"/>
          <w:sz w:val="20"/>
          <w:shd w:fill="FFFFFF" w:val="clear"/>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contained on, or that may be accessed through, the Company’s web site is not incorporated by reference into, and is not a part of, this Form 10-Q.</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Recent Developments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Mergers and Acquisitions</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1, 2026, SPFI acquired BOH Holdings, Inc., a Texas corporation (“BOH”) in an all-stock transaction through the merger of BOH with and into SPFI, with SPFI surviving the merger (the “Merger”). Immediately after the Merger, Bank of Houston, a Texas state banking association and wholly-owned subsidiary of BOH, merged with and into City Bank, with City Bank surviving the merger. At March 31, 2026, BOH had approximately $685.0 million in assets, $631.9 million in total gross loans, and $595.6 million in deposits. The total aggregate consideration delivered to holders of BOH common stock was approximately 2.8 million shares of SPFI common stock.</w:t>
      </w:r>
    </w:p>
    <w:p>
      <w:pPr>
        <w:pStyle w:val="TextBody"/>
        <w:bidi w:val="0"/>
        <w:spacing w:before="0" w:after="0"/>
        <w:jc w:val="both"/>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further information regarding the acquisition of BOH, see Note 2 in the Notes to the Consolidated Financial Statements included in Item 1 of this Report.</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had net income of $19.0 million, or $0.96 per diluted common share, for the three months ended June 30, 2026, compared to net income of $14.6 million, or $0.86 per diluted common share for the three months ended June 30, 2025. Return on average equity (annualized) was 12.17% and return on average assets (annualized) was 1.44% for the three months ended June 30, 2026, compared to 13.05% and 1.34%, respectively, for the three months ended June 30, 2025. Details of the changes in the various components are further discussed below.</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had net income of $33.5 million, or $1.82 per diluted common share for the six months ended June 30, 2026, compared to net income of $26.9 million, or $1.58 per diluted common share for the six months ended June 30, 2025. Return on average equity (annualized) was 12.02% and return on average assets (annualized) was 1.38% for the six months ended June 30, 2026, compared to 12.19% and 1.25%, respectively, for the six months ended June 30, 2025. Details of the changes in the various components are further discussed below.</w:t>
      </w:r>
    </w:p>
    <w:p>
      <w:pPr>
        <w:pStyle w:val="TextBody"/>
        <w:bidi w:val="0"/>
        <w:spacing w:before="0" w:after="0"/>
        <w:jc w:val="both"/>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Federal Home Loan Bank of Dallas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5" w:name="z2b5d1b687d33449b938b2cf167bde3f4"/>
      <w:bookmarkStart w:id="196" w:name="z2b5d1b687d33449b938b2cf167bde3f4"/>
      <w:bookmarkEnd w:id="196"/>
    </w:p>
    <w:tbl>
      <w:tblPr>
        <w:tblW w:w="10205" w:type="dxa"/>
        <w:jc w:val="left"/>
        <w:tblInd w:w="0" w:type="dxa"/>
        <w:tblLayout w:type="fixed"/>
        <w:tblCellMar>
          <w:top w:w="0" w:type="dxa"/>
          <w:left w:w="0" w:type="dxa"/>
          <w:bottom w:w="0" w:type="dxa"/>
          <w:right w:w="0" w:type="dxa"/>
        </w:tblCellMar>
      </w:tblPr>
      <w:tblGrid>
        <w:gridCol w:w="2684"/>
        <w:gridCol w:w="90"/>
        <w:gridCol w:w="196"/>
        <w:gridCol w:w="1167"/>
        <w:gridCol w:w="90"/>
        <w:gridCol w:w="90"/>
        <w:gridCol w:w="170"/>
        <w:gridCol w:w="710"/>
        <w:gridCol w:w="90"/>
        <w:gridCol w:w="90"/>
        <w:gridCol w:w="127"/>
        <w:gridCol w:w="670"/>
        <w:gridCol w:w="245"/>
        <w:gridCol w:w="90"/>
        <w:gridCol w:w="196"/>
        <w:gridCol w:w="1167"/>
        <w:gridCol w:w="90"/>
        <w:gridCol w:w="90"/>
        <w:gridCol w:w="170"/>
        <w:gridCol w:w="710"/>
        <w:gridCol w:w="90"/>
        <w:gridCol w:w="90"/>
        <w:gridCol w:w="127"/>
        <w:gridCol w:w="670"/>
        <w:gridCol w:w="296"/>
      </w:tblGrid>
      <w:tr>
        <w:trPr/>
        <w:tc>
          <w:tcPr>
            <w:tcW w:w="2684"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7135"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296" w:type="dxa"/>
            <w:tcBorders/>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340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0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96" w:type="dxa"/>
            <w:tcBorders/>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0"/>
              <w:jc w:val="center"/>
              <w:rPr>
                <w:b/>
                <w:color w:val="000000"/>
              </w:rPr>
            </w:pPr>
            <w:r>
              <w:rPr>
                <w:b/>
                <w:color w:val="000000"/>
              </w:rPr>
              <w:t>Average 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0"/>
              <w:jc w:val="center"/>
              <w:rPr>
                <w:b/>
                <w:color w:val="000000"/>
              </w:rPr>
            </w:pPr>
            <w:r>
              <w:rPr>
                <w:b/>
                <w:color w:val="000000"/>
              </w:rPr>
              <w:t>Interest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0"/>
              <w:jc w:val="center"/>
              <w:rPr>
                <w:b/>
                <w:color w:val="000000"/>
              </w:rPr>
            </w:pPr>
            <w:r>
              <w:rPr>
                <w:b/>
                <w:color w:val="000000"/>
              </w:rPr>
              <w:t>Yield/Rate</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0"/>
              <w:jc w:val="center"/>
              <w:rPr>
                <w:b/>
                <w:color w:val="000000"/>
              </w:rPr>
            </w:pPr>
            <w:r>
              <w:rPr>
                <w:b/>
                <w:color w:val="000000"/>
              </w:rPr>
              <w:t>Average 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0"/>
              <w:jc w:val="center"/>
              <w:rPr>
                <w:b/>
                <w:color w:val="000000"/>
              </w:rPr>
            </w:pPr>
            <w:r>
              <w:rPr>
                <w:b/>
                <w:color w:val="000000"/>
              </w:rPr>
              <w:t>Interest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0"/>
              <w:jc w:val="center"/>
              <w:rPr>
                <w:b/>
                <w:color w:val="000000"/>
              </w:rPr>
            </w:pPr>
            <w:r>
              <w:rPr>
                <w:b/>
                <w:color w:val="000000"/>
              </w:rPr>
              <w:t>Yield/Rate</w:t>
            </w:r>
          </w:p>
        </w:tc>
        <w:tc>
          <w:tcPr>
            <w:tcW w:w="296" w:type="dxa"/>
            <w:tcBorders/>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7135" w:type="dxa"/>
            <w:gridSpan w:val="22"/>
            <w:tcBorders/>
            <w:vAlign w:val="bottom"/>
          </w:tcPr>
          <w:p>
            <w:pPr>
              <w:pStyle w:val="TableContents"/>
              <w:bidi w:val="0"/>
              <w:spacing w:before="0" w:after="0"/>
              <w:jc w:val="center"/>
              <w:rPr>
                <w:b/>
                <w:color w:val="000000"/>
              </w:rPr>
            </w:pPr>
            <w:r>
              <w:rPr>
                <w:b/>
                <w:color w:val="000000"/>
              </w:rPr>
              <w:t>(Dollars in thousands)</w:t>
            </w:r>
          </w:p>
        </w:tc>
        <w:tc>
          <w:tcPr>
            <w:tcW w:w="296" w:type="dxa"/>
            <w:tcBorders/>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ind w:left="180" w:right="0" w:hanging="180"/>
              <w:jc w:val="left"/>
              <w:rPr>
                <w:b/>
                <w:color w:val="000000"/>
              </w:rPr>
            </w:pPr>
            <w:r>
              <w:rPr>
                <w:b/>
                <w:color w:val="000000"/>
              </w:rPr>
              <w:t>Assets:</w:t>
            </w:r>
          </w:p>
        </w:tc>
        <w:tc>
          <w:tcPr>
            <w:tcW w:w="90"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ind w:left="180" w:right="0" w:hanging="180"/>
              <w:jc w:val="left"/>
              <w:rPr>
                <w:color w:val="000000"/>
              </w:rPr>
            </w:pPr>
            <w:r>
              <w:rPr>
                <w:color w:val="000000"/>
              </w:rPr>
              <w:t>Interest-earning assets:</w:t>
            </w:r>
          </w:p>
        </w:tc>
        <w:tc>
          <w:tcPr>
            <w:tcW w:w="90"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r>
      <w:tr>
        <w:trPr/>
        <w:tc>
          <w:tcPr>
            <w:tcW w:w="2684" w:type="dxa"/>
            <w:tcBorders/>
            <w:shd w:fill="CCEEFF" w:val="clear"/>
            <w:vAlign w:val="bottom"/>
          </w:tcPr>
          <w:p>
            <w:pPr>
              <w:pStyle w:val="TableContents"/>
              <w:bidi w:val="0"/>
              <w:spacing w:lineRule="auto" w:line="240" w:before="0" w:after="0"/>
              <w:ind w:left="360" w:right="0" w:hanging="180"/>
              <w:jc w:val="left"/>
              <w:rPr>
                <w:color w:val="000000"/>
              </w:rPr>
            </w:pPr>
            <w:r>
              <w:rPr>
                <w:color w:val="000000"/>
              </w:rPr>
              <w:t>Loans(1)</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1167" w:type="dxa"/>
            <w:tcBorders/>
            <w:shd w:fill="CCEEFF" w:val="clear"/>
            <w:vAlign w:val="bottom"/>
          </w:tcPr>
          <w:p>
            <w:pPr>
              <w:pStyle w:val="TableContents"/>
              <w:bidi w:val="0"/>
              <w:spacing w:before="0" w:after="0"/>
              <w:jc w:val="right"/>
              <w:rPr>
                <w:color w:val="000000"/>
              </w:rPr>
            </w:pPr>
            <w:r>
              <w:rPr>
                <w:color w:val="000000"/>
              </w:rPr>
              <w:t>3,777,590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64,113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0"/>
              <w:jc w:val="right"/>
              <w:rPr>
                <w:color w:val="000000"/>
              </w:rPr>
            </w:pPr>
            <w:r>
              <w:rPr>
                <w:color w:val="000000"/>
              </w:rPr>
              <w:t>6.81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1167" w:type="dxa"/>
            <w:tcBorders/>
            <w:shd w:fill="CCEEFF" w:val="clear"/>
            <w:vAlign w:val="bottom"/>
          </w:tcPr>
          <w:p>
            <w:pPr>
              <w:pStyle w:val="TableContents"/>
              <w:bidi w:val="0"/>
              <w:spacing w:before="0" w:after="0"/>
              <w:jc w:val="right"/>
              <w:rPr>
                <w:color w:val="000000"/>
              </w:rPr>
            </w:pPr>
            <w:r>
              <w:rPr>
                <w:color w:val="000000"/>
              </w:rPr>
              <w:t>3,094,558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53,894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0"/>
              <w:jc w:val="right"/>
              <w:rPr>
                <w:color w:val="000000"/>
              </w:rPr>
            </w:pPr>
            <w:r>
              <w:rPr>
                <w:color w:val="000000"/>
              </w:rPr>
              <w:t>6.99</w:t>
            </w:r>
          </w:p>
        </w:tc>
        <w:tc>
          <w:tcPr>
            <w:tcW w:w="296" w:type="dxa"/>
            <w:tcBorders/>
            <w:shd w:fill="CCEEFF" w:val="clear"/>
            <w:vAlign w:val="bottom"/>
          </w:tcPr>
          <w:p>
            <w:pPr>
              <w:pStyle w:val="TableContents"/>
              <w:bidi w:val="0"/>
              <w:spacing w:before="0" w:after="0"/>
              <w:jc w:val="left"/>
              <w:rPr>
                <w:color w:val="000000"/>
              </w:rPr>
            </w:pPr>
            <w:r>
              <w:rPr>
                <w:color w:val="000000"/>
              </w:rPr>
              <w:t>%</w:t>
            </w:r>
          </w:p>
        </w:tc>
      </w:tr>
      <w:tr>
        <w:trPr/>
        <w:tc>
          <w:tcPr>
            <w:tcW w:w="2684" w:type="dxa"/>
            <w:tcBorders/>
            <w:vAlign w:val="bottom"/>
          </w:tcPr>
          <w:p>
            <w:pPr>
              <w:pStyle w:val="TableContents"/>
              <w:bidi w:val="0"/>
              <w:spacing w:before="0" w:after="0"/>
              <w:ind w:left="360" w:right="0" w:hanging="180"/>
              <w:jc w:val="left"/>
              <w:rPr>
                <w:color w:val="000000"/>
              </w:rPr>
            </w:pPr>
            <w:r>
              <w:rPr>
                <w:color w:val="000000"/>
              </w:rPr>
              <w:t>Investment securities – taxable</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0"/>
              <w:jc w:val="right"/>
              <w:rPr>
                <w:color w:val="000000"/>
              </w:rPr>
            </w:pPr>
            <w:r>
              <w:rPr>
                <w:color w:val="000000"/>
              </w:rPr>
              <w:t>482,264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4,238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0"/>
              <w:jc w:val="right"/>
              <w:rPr>
                <w:color w:val="000000"/>
              </w:rPr>
            </w:pPr>
            <w:r>
              <w:rPr>
                <w:color w:val="000000"/>
              </w:rPr>
              <w:t>3.52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0"/>
              <w:jc w:val="right"/>
              <w:rPr>
                <w:color w:val="000000"/>
              </w:rPr>
            </w:pPr>
            <w:r>
              <w:rPr>
                <w:color w:val="000000"/>
              </w:rPr>
              <w:t>508,508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4,700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0"/>
              <w:jc w:val="right"/>
              <w:rPr>
                <w:color w:val="000000"/>
              </w:rPr>
            </w:pPr>
            <w:r>
              <w:rPr>
                <w:color w:val="000000"/>
              </w:rPr>
              <w:t>3.71</w:t>
            </w:r>
          </w:p>
        </w:tc>
        <w:tc>
          <w:tcPr>
            <w:tcW w:w="296" w:type="dxa"/>
            <w:tcBorders/>
            <w:vAlign w:val="bottom"/>
          </w:tcPr>
          <w:p>
            <w:pPr>
              <w:pStyle w:val="TableContents"/>
              <w:bidi w:val="0"/>
              <w:spacing w:before="0" w:after="0"/>
              <w:jc w:val="left"/>
              <w:rPr>
                <w:color w:val="000000"/>
              </w:rPr>
            </w:pPr>
            <w:r>
              <w:rPr>
                <w:color w:val="000000"/>
              </w:rPr>
              <w:t>%</w:t>
            </w:r>
          </w:p>
        </w:tc>
      </w:tr>
      <w:tr>
        <w:trPr/>
        <w:tc>
          <w:tcPr>
            <w:tcW w:w="2684" w:type="dxa"/>
            <w:tcBorders/>
            <w:shd w:fill="CCEEFF" w:val="clear"/>
            <w:vAlign w:val="bottom"/>
          </w:tcPr>
          <w:p>
            <w:pPr>
              <w:pStyle w:val="TableContents"/>
              <w:bidi w:val="0"/>
              <w:spacing w:before="0" w:after="0"/>
              <w:ind w:left="360" w:right="0" w:hanging="180"/>
              <w:jc w:val="left"/>
              <w:rPr>
                <w:color w:val="000000"/>
              </w:rPr>
            </w:pPr>
            <w:r>
              <w:rPr>
                <w:color w:val="000000"/>
              </w:rPr>
              <w:t>Investment securities – non-taxable</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0"/>
              <w:jc w:val="right"/>
              <w:rPr>
                <w:color w:val="000000"/>
              </w:rPr>
            </w:pPr>
            <w:r>
              <w:rPr>
                <w:color w:val="000000"/>
              </w:rPr>
              <w:t>152,399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1,077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0"/>
              <w:jc w:val="right"/>
              <w:rPr>
                <w:color w:val="000000"/>
              </w:rPr>
            </w:pPr>
            <w:r>
              <w:rPr>
                <w:color w:val="000000"/>
              </w:rPr>
              <w:t>2.83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0"/>
              <w:jc w:val="right"/>
              <w:rPr>
                <w:color w:val="000000"/>
              </w:rPr>
            </w:pPr>
            <w:r>
              <w:rPr>
                <w:color w:val="000000"/>
              </w:rPr>
              <w:t>152,202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1,015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0"/>
              <w:jc w:val="right"/>
              <w:rPr>
                <w:color w:val="000000"/>
              </w:rPr>
            </w:pPr>
            <w:r>
              <w:rPr>
                <w:color w:val="000000"/>
              </w:rPr>
              <w:t>2.67</w:t>
            </w:r>
          </w:p>
        </w:tc>
        <w:tc>
          <w:tcPr>
            <w:tcW w:w="296" w:type="dxa"/>
            <w:tcBorders/>
            <w:shd w:fill="CCEEFF" w:val="clear"/>
            <w:vAlign w:val="bottom"/>
          </w:tcPr>
          <w:p>
            <w:pPr>
              <w:pStyle w:val="TableContents"/>
              <w:bidi w:val="0"/>
              <w:spacing w:before="0" w:after="0"/>
              <w:jc w:val="left"/>
              <w:rPr>
                <w:color w:val="000000"/>
              </w:rPr>
            </w:pPr>
            <w:r>
              <w:rPr>
                <w:color w:val="000000"/>
              </w:rPr>
              <w:t>%</w:t>
            </w:r>
          </w:p>
        </w:tc>
      </w:tr>
      <w:tr>
        <w:trPr/>
        <w:tc>
          <w:tcPr>
            <w:tcW w:w="2684" w:type="dxa"/>
            <w:tcBorders/>
            <w:vAlign w:val="bottom"/>
          </w:tcPr>
          <w:p>
            <w:pPr>
              <w:pStyle w:val="TableContents"/>
              <w:bidi w:val="0"/>
              <w:spacing w:lineRule="auto" w:line="240" w:before="0" w:after="0"/>
              <w:ind w:left="360" w:right="0" w:hanging="180"/>
              <w:jc w:val="left"/>
              <w:rPr>
                <w:color w:val="000000"/>
              </w:rPr>
            </w:pPr>
            <w:r>
              <w:rPr>
                <w:color w:val="000000"/>
              </w:rPr>
              <w:t>Other interest-earning assets(2)</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660,395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5,808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0"/>
              <w:jc w:val="right"/>
              <w:rPr>
                <w:color w:val="000000"/>
              </w:rPr>
            </w:pPr>
            <w:r>
              <w:rPr>
                <w:color w:val="000000"/>
              </w:rPr>
              <w:t>3.53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456,818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0"/>
              <w:jc w:val="right"/>
              <w:rPr>
                <w:color w:val="000000"/>
              </w:rPr>
            </w:pPr>
            <w:r>
              <w:rPr>
                <w:color w:val="000000"/>
              </w:rPr>
              <w:t>4.17</w:t>
            </w:r>
          </w:p>
        </w:tc>
        <w:tc>
          <w:tcPr>
            <w:tcW w:w="296" w:type="dxa"/>
            <w:tcBorders/>
            <w:vAlign w:val="bottom"/>
          </w:tcPr>
          <w:p>
            <w:pPr>
              <w:pStyle w:val="TableContents"/>
              <w:bidi w:val="0"/>
              <w:spacing w:before="0" w:after="0"/>
              <w:jc w:val="left"/>
              <w:rPr>
                <w:color w:val="000000"/>
              </w:rPr>
            </w:pPr>
            <w:r>
              <w:rPr>
                <w:color w:val="000000"/>
              </w:rPr>
              <w:t>%</w:t>
            </w:r>
          </w:p>
        </w:tc>
      </w:tr>
      <w:tr>
        <w:trPr/>
        <w:tc>
          <w:tcPr>
            <w:tcW w:w="2684" w:type="dxa"/>
            <w:tcBorders/>
            <w:shd w:fill="CCEEFF" w:val="clear"/>
            <w:vAlign w:val="bottom"/>
          </w:tcPr>
          <w:p>
            <w:pPr>
              <w:pStyle w:val="TableContents"/>
              <w:bidi w:val="0"/>
              <w:spacing w:before="0" w:after="0"/>
              <w:ind w:left="360" w:right="0" w:hanging="180"/>
              <w:jc w:val="left"/>
              <w:rPr>
                <w:color w:val="000000"/>
              </w:rPr>
            </w:pPr>
            <w:r>
              <w:rPr>
                <w:color w:val="000000"/>
              </w:rPr>
              <w:t>Total interest-earning assets</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0"/>
              <w:jc w:val="right"/>
              <w:rPr>
                <w:color w:val="000000"/>
              </w:rPr>
            </w:pPr>
            <w:r>
              <w:rPr>
                <w:color w:val="000000"/>
              </w:rPr>
              <w:t>5,072,648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75,236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0"/>
              <w:jc w:val="right"/>
              <w:rPr>
                <w:color w:val="000000"/>
              </w:rPr>
            </w:pPr>
            <w:r>
              <w:rPr>
                <w:color w:val="000000"/>
              </w:rPr>
              <w:t>5.95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0"/>
              <w:jc w:val="right"/>
              <w:rPr>
                <w:color w:val="000000"/>
              </w:rPr>
            </w:pPr>
            <w:r>
              <w:rPr>
                <w:color w:val="000000"/>
              </w:rPr>
              <w:t>4,212,086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64,356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0"/>
              <w:jc w:val="right"/>
              <w:rPr>
                <w:color w:val="000000"/>
              </w:rPr>
            </w:pPr>
            <w:r>
              <w:rPr>
                <w:color w:val="000000"/>
              </w:rPr>
              <w:t>6.13</w:t>
            </w:r>
          </w:p>
        </w:tc>
        <w:tc>
          <w:tcPr>
            <w:tcW w:w="296" w:type="dxa"/>
            <w:tcBorders/>
            <w:shd w:fill="CCEEFF" w:val="clear"/>
            <w:vAlign w:val="bottom"/>
          </w:tcPr>
          <w:p>
            <w:pPr>
              <w:pStyle w:val="TableContents"/>
              <w:bidi w:val="0"/>
              <w:spacing w:before="0" w:after="0"/>
              <w:jc w:val="left"/>
              <w:rPr>
                <w:color w:val="000000"/>
              </w:rPr>
            </w:pPr>
            <w:r>
              <w:rPr>
                <w:color w:val="000000"/>
              </w:rPr>
              <w:t>%</w:t>
            </w:r>
          </w:p>
        </w:tc>
      </w:tr>
      <w:tr>
        <w:trPr/>
        <w:tc>
          <w:tcPr>
            <w:tcW w:w="2684" w:type="dxa"/>
            <w:tcBorders/>
            <w:vAlign w:val="bottom"/>
          </w:tcPr>
          <w:p>
            <w:pPr>
              <w:pStyle w:val="TableContents"/>
              <w:bidi w:val="0"/>
              <w:spacing w:before="0" w:after="0"/>
              <w:ind w:left="180" w:right="0" w:hanging="180"/>
              <w:jc w:val="left"/>
              <w:rPr>
                <w:color w:val="000000"/>
              </w:rPr>
            </w:pPr>
            <w:r>
              <w:rPr>
                <w:color w:val="000000"/>
              </w:rPr>
              <w:t>Noninterest-earning assets</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231,192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166,763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96" w:type="dxa"/>
            <w:tcBorders/>
            <w:vAlign w:val="bottom"/>
          </w:tcPr>
          <w:p>
            <w:pPr>
              <w:pStyle w:val="TableContents"/>
              <w:bidi w:val="0"/>
              <w:spacing w:before="0" w:after="283"/>
              <w:jc w:val="left"/>
              <w:rPr/>
            </w:pPr>
            <w:r>
              <w:rPr/>
              <w:t> </w:t>
            </w:r>
          </w:p>
        </w:tc>
      </w:tr>
      <w:tr>
        <w:trPr/>
        <w:tc>
          <w:tcPr>
            <w:tcW w:w="2684" w:type="dxa"/>
            <w:tcBorders/>
            <w:shd w:fill="CCEEFF" w:val="clear"/>
            <w:vAlign w:val="bottom"/>
          </w:tcPr>
          <w:p>
            <w:pPr>
              <w:pStyle w:val="TableContents"/>
              <w:bidi w:val="0"/>
              <w:spacing w:before="0" w:after="0"/>
              <w:ind w:left="540" w:right="0" w:hanging="180"/>
              <w:jc w:val="left"/>
              <w:rPr>
                <w:color w:val="000000"/>
              </w:rPr>
            </w:pPr>
            <w:r>
              <w:rPr>
                <w:color w:val="000000"/>
              </w:rPr>
              <w:t>Total assets</w:t>
            </w:r>
          </w:p>
        </w:tc>
        <w:tc>
          <w:tcPr>
            <w:tcW w:w="90" w:type="dxa"/>
            <w:tcBorders/>
            <w:shd w:fill="CCEEFF" w:val="clear"/>
            <w:vAlign w:val="bottom"/>
          </w:tcPr>
          <w:p>
            <w:pPr>
              <w:pStyle w:val="TableContents"/>
              <w:bidi w:val="0"/>
              <w:spacing w:before="0" w:after="283"/>
              <w:jc w:val="left"/>
              <w:rPr/>
            </w:pPr>
            <w:r>
              <w:rPr/>
              <w:t> </w:t>
            </w:r>
          </w:p>
        </w:tc>
        <w:tc>
          <w:tcPr>
            <w:tcW w:w="19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6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5,303,840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6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4,378,849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96" w:type="dxa"/>
            <w:tcBorders/>
            <w:shd w:fill="CCEEFF" w:val="clear"/>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96" w:type="dxa"/>
            <w:tcBorders/>
            <w:vAlign w:val="bottom"/>
          </w:tcPr>
          <w:p>
            <w:pPr>
              <w:pStyle w:val="TableContents"/>
              <w:bidi w:val="0"/>
              <w:spacing w:before="0" w:after="283"/>
              <w:jc w:val="left"/>
              <w:rPr/>
            </w:pPr>
            <w:r>
              <w:rPr/>
              <w:t> </w:t>
            </w:r>
          </w:p>
        </w:tc>
      </w:tr>
      <w:tr>
        <w:trPr/>
        <w:tc>
          <w:tcPr>
            <w:tcW w:w="2684" w:type="dxa"/>
            <w:tcBorders/>
            <w:shd w:fill="CCEEFF" w:val="clear"/>
            <w:vAlign w:val="bottom"/>
          </w:tcPr>
          <w:p>
            <w:pPr>
              <w:pStyle w:val="TableContents"/>
              <w:bidi w:val="0"/>
              <w:spacing w:before="0" w:after="0"/>
              <w:ind w:left="180" w:right="0" w:hanging="180"/>
              <w:jc w:val="left"/>
              <w:rPr>
                <w:b/>
                <w:color w:val="000000"/>
              </w:rPr>
            </w:pPr>
            <w:r>
              <w:rPr>
                <w:b/>
                <w:color w:val="000000"/>
              </w:rPr>
              <w:t>Liabilities and Stockholders’ Equity:</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96" w:type="dxa"/>
            <w:tcBorders/>
            <w:shd w:fill="CCEEFF" w:val="clear"/>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ind w:left="180" w:right="0" w:hanging="180"/>
              <w:jc w:val="left"/>
              <w:rPr>
                <w:color w:val="000000"/>
              </w:rPr>
            </w:pPr>
            <w:r>
              <w:rPr>
                <w:color w:val="000000"/>
              </w:rPr>
              <w:t>Interest-bearing liabilities:</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96" w:type="dxa"/>
            <w:tcBorders/>
            <w:vAlign w:val="bottom"/>
          </w:tcPr>
          <w:p>
            <w:pPr>
              <w:pStyle w:val="TableContents"/>
              <w:bidi w:val="0"/>
              <w:spacing w:before="0" w:after="283"/>
              <w:jc w:val="left"/>
              <w:rPr/>
            </w:pPr>
            <w:r>
              <w:rPr/>
              <w:t> </w:t>
            </w:r>
          </w:p>
        </w:tc>
      </w:tr>
      <w:tr>
        <w:trPr/>
        <w:tc>
          <w:tcPr>
            <w:tcW w:w="2684" w:type="dxa"/>
            <w:tcBorders/>
            <w:shd w:fill="CCEEFF" w:val="clear"/>
            <w:vAlign w:val="bottom"/>
          </w:tcPr>
          <w:p>
            <w:pPr>
              <w:pStyle w:val="TableContents"/>
              <w:bidi w:val="0"/>
              <w:spacing w:before="0" w:after="0"/>
              <w:ind w:left="360" w:right="0" w:hanging="180"/>
              <w:jc w:val="left"/>
              <w:rPr>
                <w:color w:val="000000"/>
              </w:rPr>
            </w:pPr>
            <w:r>
              <w:rPr>
                <w:color w:val="000000"/>
              </w:rPr>
              <w:t>NOW, savings and money market deposits</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1167" w:type="dxa"/>
            <w:tcBorders/>
            <w:shd w:fill="CCEEFF" w:val="clear"/>
            <w:vAlign w:val="bottom"/>
          </w:tcPr>
          <w:p>
            <w:pPr>
              <w:pStyle w:val="TableContents"/>
              <w:bidi w:val="0"/>
              <w:spacing w:before="0" w:after="0"/>
              <w:jc w:val="right"/>
              <w:rPr>
                <w:color w:val="000000"/>
              </w:rPr>
            </w:pPr>
            <w:r>
              <w:rPr>
                <w:color w:val="000000"/>
              </w:rPr>
              <w:t>2,871,819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18,353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0"/>
              <w:jc w:val="right"/>
              <w:rPr>
                <w:color w:val="000000"/>
              </w:rPr>
            </w:pPr>
            <w:r>
              <w:rPr>
                <w:color w:val="000000"/>
              </w:rPr>
              <w:t>2.56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1167" w:type="dxa"/>
            <w:tcBorders/>
            <w:shd w:fill="CCEEFF" w:val="clear"/>
            <w:vAlign w:val="bottom"/>
          </w:tcPr>
          <w:p>
            <w:pPr>
              <w:pStyle w:val="TableContents"/>
              <w:bidi w:val="0"/>
              <w:spacing w:before="0" w:after="0"/>
              <w:jc w:val="right"/>
              <w:rPr>
                <w:color w:val="000000"/>
              </w:rPr>
            </w:pPr>
            <w:r>
              <w:rPr>
                <w:color w:val="000000"/>
              </w:rPr>
              <w:t>2,326,779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15,890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0"/>
              <w:jc w:val="right"/>
              <w:rPr>
                <w:color w:val="000000"/>
              </w:rPr>
            </w:pPr>
            <w:r>
              <w:rPr>
                <w:color w:val="000000"/>
              </w:rPr>
              <w:t>2.74</w:t>
            </w:r>
          </w:p>
        </w:tc>
        <w:tc>
          <w:tcPr>
            <w:tcW w:w="296" w:type="dxa"/>
            <w:tcBorders/>
            <w:shd w:fill="CCEEFF" w:val="clear"/>
            <w:vAlign w:val="bottom"/>
          </w:tcPr>
          <w:p>
            <w:pPr>
              <w:pStyle w:val="TableContents"/>
              <w:bidi w:val="0"/>
              <w:spacing w:before="0" w:after="0"/>
              <w:jc w:val="left"/>
              <w:rPr>
                <w:color w:val="000000"/>
              </w:rPr>
            </w:pPr>
            <w:r>
              <w:rPr>
                <w:color w:val="000000"/>
              </w:rPr>
              <w:t>%</w:t>
            </w:r>
          </w:p>
        </w:tc>
      </w:tr>
      <w:tr>
        <w:trPr/>
        <w:tc>
          <w:tcPr>
            <w:tcW w:w="2684" w:type="dxa"/>
            <w:tcBorders/>
            <w:vAlign w:val="bottom"/>
          </w:tcPr>
          <w:p>
            <w:pPr>
              <w:pStyle w:val="TableContents"/>
              <w:bidi w:val="0"/>
              <w:spacing w:before="0" w:after="0"/>
              <w:ind w:left="360" w:right="0" w:hanging="180"/>
              <w:jc w:val="left"/>
              <w:rPr>
                <w:color w:val="000000"/>
              </w:rPr>
            </w:pPr>
            <w:r>
              <w:rPr>
                <w:color w:val="000000"/>
              </w:rPr>
              <w:t>Time deposits</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0"/>
              <w:jc w:val="right"/>
              <w:rPr>
                <w:color w:val="000000"/>
              </w:rPr>
            </w:pPr>
            <w:r>
              <w:rPr>
                <w:color w:val="000000"/>
              </w:rPr>
              <w:t>602,818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5,363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0"/>
              <w:jc w:val="right"/>
              <w:rPr>
                <w:color w:val="000000"/>
              </w:rPr>
            </w:pPr>
            <w:r>
              <w:rPr>
                <w:color w:val="000000"/>
              </w:rPr>
              <w:t>3.57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0"/>
              <w:jc w:val="right"/>
              <w:rPr>
                <w:color w:val="000000"/>
              </w:rPr>
            </w:pPr>
            <w:r>
              <w:rPr>
                <w:color w:val="000000"/>
              </w:rPr>
              <w:t>438,697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4,172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0"/>
              <w:jc w:val="right"/>
              <w:rPr>
                <w:color w:val="000000"/>
              </w:rPr>
            </w:pPr>
            <w:r>
              <w:rPr>
                <w:color w:val="000000"/>
              </w:rPr>
              <w:t>3.81</w:t>
            </w:r>
          </w:p>
        </w:tc>
        <w:tc>
          <w:tcPr>
            <w:tcW w:w="296" w:type="dxa"/>
            <w:tcBorders/>
            <w:vAlign w:val="bottom"/>
          </w:tcPr>
          <w:p>
            <w:pPr>
              <w:pStyle w:val="TableContents"/>
              <w:bidi w:val="0"/>
              <w:spacing w:before="0" w:after="0"/>
              <w:jc w:val="left"/>
              <w:rPr>
                <w:color w:val="000000"/>
              </w:rPr>
            </w:pPr>
            <w:r>
              <w:rPr>
                <w:color w:val="000000"/>
              </w:rPr>
              <w:t>%</w:t>
            </w:r>
          </w:p>
        </w:tc>
      </w:tr>
      <w:tr>
        <w:trPr/>
        <w:tc>
          <w:tcPr>
            <w:tcW w:w="2684" w:type="dxa"/>
            <w:tcBorders/>
            <w:shd w:fill="CCEEFF" w:val="clear"/>
            <w:vAlign w:val="bottom"/>
          </w:tcPr>
          <w:p>
            <w:pPr>
              <w:pStyle w:val="TableContents"/>
              <w:bidi w:val="0"/>
              <w:spacing w:before="0" w:after="0"/>
              <w:ind w:left="360" w:right="0" w:hanging="180"/>
              <w:jc w:val="left"/>
              <w:rPr>
                <w:color w:val="000000"/>
              </w:rPr>
            </w:pPr>
            <w:r>
              <w:rPr>
                <w:color w:val="000000"/>
              </w:rPr>
              <w:t>Short-term borrowings</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0"/>
              <w:jc w:val="right"/>
              <w:rPr>
                <w:color w:val="000000"/>
              </w:rPr>
            </w:pPr>
            <w:r>
              <w:rPr>
                <w:color w:val="000000"/>
              </w:rPr>
              <w:t>3,739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0"/>
              <w:jc w:val="right"/>
              <w:rPr>
                <w:color w:val="000000"/>
              </w:rPr>
            </w:pPr>
            <w:r>
              <w:rPr>
                <w:color w:val="000000"/>
              </w:rPr>
              <w:t>4.08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0"/>
              <w:jc w:val="right"/>
              <w:rPr>
                <w:color w:val="000000"/>
              </w:rPr>
            </w:pPr>
            <w:r>
              <w:rPr>
                <w:color w:val="000000"/>
              </w:rPr>
              <w:t>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0"/>
              <w:jc w:val="right"/>
              <w:rPr>
                <w:color w:val="000000"/>
              </w:rPr>
            </w:pPr>
            <w:r>
              <w:rPr>
                <w:color w:val="000000"/>
              </w:rPr>
              <w:t>0.00</w:t>
            </w:r>
          </w:p>
        </w:tc>
        <w:tc>
          <w:tcPr>
            <w:tcW w:w="296" w:type="dxa"/>
            <w:tcBorders/>
            <w:shd w:fill="CCEEFF" w:val="clear"/>
            <w:vAlign w:val="bottom"/>
          </w:tcPr>
          <w:p>
            <w:pPr>
              <w:pStyle w:val="TableContents"/>
              <w:bidi w:val="0"/>
              <w:spacing w:before="0" w:after="0"/>
              <w:jc w:val="left"/>
              <w:rPr>
                <w:color w:val="000000"/>
              </w:rPr>
            </w:pPr>
            <w:r>
              <w:rPr>
                <w:color w:val="000000"/>
              </w:rPr>
              <w:t>%</w:t>
            </w:r>
          </w:p>
        </w:tc>
      </w:tr>
      <w:tr>
        <w:trPr/>
        <w:tc>
          <w:tcPr>
            <w:tcW w:w="2684" w:type="dxa"/>
            <w:tcBorders/>
            <w:vAlign w:val="bottom"/>
          </w:tcPr>
          <w:p>
            <w:pPr>
              <w:pStyle w:val="TableContents"/>
              <w:bidi w:val="0"/>
              <w:spacing w:before="0" w:after="0"/>
              <w:ind w:left="360" w:right="0" w:hanging="180"/>
              <w:jc w:val="left"/>
              <w:rPr>
                <w:color w:val="000000"/>
              </w:rPr>
            </w:pPr>
            <w:r>
              <w:rPr>
                <w:color w:val="000000"/>
              </w:rPr>
              <w:t>Subordinated debt</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0"/>
              <w:jc w:val="right"/>
              <w:rPr>
                <w:color w:val="000000"/>
              </w:rPr>
            </w:pPr>
            <w:r>
              <w:rPr>
                <w:color w:val="000000"/>
              </w:rPr>
              <w:t>14,100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238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0"/>
              <w:jc w:val="right"/>
              <w:rPr>
                <w:color w:val="000000"/>
              </w:rPr>
            </w:pPr>
            <w:r>
              <w:rPr>
                <w:color w:val="000000"/>
              </w:rPr>
              <w:t>6.77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0"/>
              <w:jc w:val="right"/>
              <w:rPr>
                <w:color w:val="000000"/>
              </w:rPr>
            </w:pPr>
            <w:r>
              <w:rPr>
                <w:color w:val="000000"/>
              </w:rPr>
              <w:t>64,031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835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0"/>
              <w:jc w:val="right"/>
              <w:rPr>
                <w:color w:val="000000"/>
              </w:rPr>
            </w:pPr>
            <w:r>
              <w:rPr>
                <w:color w:val="000000"/>
              </w:rPr>
              <w:t>5.23</w:t>
            </w:r>
          </w:p>
        </w:tc>
        <w:tc>
          <w:tcPr>
            <w:tcW w:w="296" w:type="dxa"/>
            <w:tcBorders/>
            <w:vAlign w:val="bottom"/>
          </w:tcPr>
          <w:p>
            <w:pPr>
              <w:pStyle w:val="TableContents"/>
              <w:bidi w:val="0"/>
              <w:spacing w:before="0" w:after="0"/>
              <w:jc w:val="left"/>
              <w:rPr>
                <w:color w:val="000000"/>
              </w:rPr>
            </w:pPr>
            <w:r>
              <w:rPr>
                <w:color w:val="000000"/>
              </w:rPr>
              <w:t>%</w:t>
            </w:r>
          </w:p>
        </w:tc>
      </w:tr>
      <w:tr>
        <w:trPr/>
        <w:tc>
          <w:tcPr>
            <w:tcW w:w="2684" w:type="dxa"/>
            <w:tcBorders/>
            <w:shd w:fill="CCEEFF" w:val="clear"/>
            <w:vAlign w:val="bottom"/>
          </w:tcPr>
          <w:p>
            <w:pPr>
              <w:pStyle w:val="TableContents"/>
              <w:bidi w:val="0"/>
              <w:spacing w:before="0" w:after="0"/>
              <w:ind w:left="360" w:right="0" w:hanging="180"/>
              <w:jc w:val="left"/>
              <w:rPr>
                <w:color w:val="000000"/>
              </w:rPr>
            </w:pPr>
            <w:r>
              <w:rPr>
                <w:color w:val="000000"/>
              </w:rPr>
              <w:t>Junior subordinated deferrable interest debentures</w:t>
            </w:r>
          </w:p>
        </w:tc>
        <w:tc>
          <w:tcPr>
            <w:tcW w:w="9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0"/>
              <w:jc w:val="right"/>
              <w:rPr>
                <w:color w:val="000000"/>
              </w:rPr>
            </w:pPr>
            <w:r>
              <w:rPr>
                <w:color w:val="000000"/>
              </w:rPr>
              <w:t>5.72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0"/>
              <w:jc w:val="right"/>
              <w:rPr>
                <w:color w:val="000000"/>
              </w:rPr>
            </w:pPr>
            <w:r>
              <w:rPr>
                <w:color w:val="000000"/>
              </w:rPr>
              <w:t>6.35</w:t>
            </w:r>
          </w:p>
        </w:tc>
        <w:tc>
          <w:tcPr>
            <w:tcW w:w="296" w:type="dxa"/>
            <w:tcBorders/>
            <w:shd w:fill="CCEEFF" w:val="clear"/>
            <w:vAlign w:val="bottom"/>
          </w:tcPr>
          <w:p>
            <w:pPr>
              <w:pStyle w:val="TableContents"/>
              <w:bidi w:val="0"/>
              <w:spacing w:before="0" w:after="0"/>
              <w:jc w:val="left"/>
              <w:rPr>
                <w:color w:val="000000"/>
              </w:rPr>
            </w:pPr>
            <w:r>
              <w:rPr>
                <w:color w:val="000000"/>
              </w:rPr>
              <w:t>%</w:t>
            </w:r>
          </w:p>
        </w:tc>
      </w:tr>
      <w:tr>
        <w:trPr/>
        <w:tc>
          <w:tcPr>
            <w:tcW w:w="2684" w:type="dxa"/>
            <w:tcBorders/>
            <w:vAlign w:val="bottom"/>
          </w:tcPr>
          <w:p>
            <w:pPr>
              <w:pStyle w:val="TableContents"/>
              <w:bidi w:val="0"/>
              <w:spacing w:before="0" w:after="0"/>
              <w:ind w:left="540" w:right="0" w:hanging="180"/>
              <w:jc w:val="left"/>
              <w:rPr>
                <w:color w:val="000000"/>
              </w:rPr>
            </w:pPr>
            <w:r>
              <w:rPr>
                <w:color w:val="000000"/>
              </w:rPr>
              <w:t>Total interest-bearing liabilities</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3,538,869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24,654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67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2,875,918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21,632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67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3.02</w:t>
            </w:r>
          </w:p>
        </w:tc>
        <w:tc>
          <w:tcPr>
            <w:tcW w:w="296" w:type="dxa"/>
            <w:tcBorders/>
            <w:vAlign w:val="bottom"/>
          </w:tcPr>
          <w:p>
            <w:pPr>
              <w:pStyle w:val="TableContents"/>
              <w:bidi w:val="0"/>
              <w:spacing w:before="0" w:after="0"/>
              <w:jc w:val="left"/>
              <w:rPr>
                <w:color w:val="000000"/>
              </w:rPr>
            </w:pPr>
            <w:r>
              <w:rPr>
                <w:color w:val="000000"/>
              </w:rPr>
              <w:t>%</w:t>
            </w:r>
          </w:p>
        </w:tc>
      </w:tr>
      <w:tr>
        <w:trPr/>
        <w:tc>
          <w:tcPr>
            <w:tcW w:w="2684"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96" w:type="dxa"/>
            <w:tcBorders/>
            <w:shd w:fill="CCEEFF" w:val="clear"/>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ind w:left="180" w:right="0" w:hanging="180"/>
              <w:jc w:val="left"/>
              <w:rPr>
                <w:color w:val="000000"/>
              </w:rPr>
            </w:pPr>
            <w:r>
              <w:rPr>
                <w:color w:val="000000"/>
              </w:rPr>
              <w:t>Noninterest-bearing liabilities:</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96" w:type="dxa"/>
            <w:tcBorders/>
            <w:vAlign w:val="bottom"/>
          </w:tcPr>
          <w:p>
            <w:pPr>
              <w:pStyle w:val="TableContents"/>
              <w:bidi w:val="0"/>
              <w:spacing w:before="0" w:after="283"/>
              <w:jc w:val="left"/>
              <w:rPr/>
            </w:pPr>
            <w:r>
              <w:rPr/>
              <w:t> </w:t>
            </w:r>
          </w:p>
        </w:tc>
      </w:tr>
      <w:tr>
        <w:trPr/>
        <w:tc>
          <w:tcPr>
            <w:tcW w:w="2684" w:type="dxa"/>
            <w:tcBorders/>
            <w:shd w:fill="CCEEFF" w:val="clear"/>
            <w:vAlign w:val="bottom"/>
          </w:tcPr>
          <w:p>
            <w:pPr>
              <w:pStyle w:val="TableContents"/>
              <w:bidi w:val="0"/>
              <w:spacing w:before="0" w:after="0"/>
              <w:ind w:left="360" w:right="0" w:hanging="180"/>
              <w:jc w:val="left"/>
              <w:rPr>
                <w:color w:val="000000"/>
              </w:rPr>
            </w:pPr>
            <w:r>
              <w:rPr>
                <w:color w:val="000000"/>
              </w:rPr>
              <w:t>Noninterest-bearing deposits</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0"/>
              <w:jc w:val="right"/>
              <w:rPr>
                <w:color w:val="000000"/>
              </w:rPr>
            </w:pPr>
            <w:r>
              <w:rPr>
                <w:color w:val="000000"/>
              </w:rPr>
              <w:t>1,102,345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0"/>
              <w:jc w:val="right"/>
              <w:rPr>
                <w:color w:val="000000"/>
              </w:rPr>
            </w:pPr>
            <w:r>
              <w:rPr>
                <w:color w:val="000000"/>
              </w:rPr>
              <w:t>990,343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96" w:type="dxa"/>
            <w:tcBorders/>
            <w:shd w:fill="CCEEFF" w:val="clear"/>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ind w:left="360" w:right="0" w:hanging="180"/>
              <w:jc w:val="left"/>
              <w:rPr>
                <w:color w:val="000000"/>
              </w:rPr>
            </w:pPr>
            <w:r>
              <w:rPr>
                <w:color w:val="000000"/>
              </w:rPr>
              <w:t>Other liabilities</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36,540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63,679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96" w:type="dxa"/>
            <w:tcBorders/>
            <w:vAlign w:val="bottom"/>
          </w:tcPr>
          <w:p>
            <w:pPr>
              <w:pStyle w:val="TableContents"/>
              <w:bidi w:val="0"/>
              <w:spacing w:before="0" w:after="283"/>
              <w:jc w:val="left"/>
              <w:rPr/>
            </w:pPr>
            <w:r>
              <w:rPr/>
              <w:t> </w:t>
            </w:r>
          </w:p>
        </w:tc>
      </w:tr>
      <w:tr>
        <w:trPr/>
        <w:tc>
          <w:tcPr>
            <w:tcW w:w="2684" w:type="dxa"/>
            <w:tcBorders/>
            <w:shd w:fill="CCEEFF" w:val="clear"/>
            <w:vAlign w:val="bottom"/>
          </w:tcPr>
          <w:p>
            <w:pPr>
              <w:pStyle w:val="TableContents"/>
              <w:bidi w:val="0"/>
              <w:spacing w:before="0" w:after="0"/>
              <w:ind w:left="360" w:right="0" w:hanging="180"/>
              <w:jc w:val="left"/>
              <w:rPr>
                <w:color w:val="000000"/>
              </w:rPr>
            </w:pPr>
            <w:r>
              <w:rPr>
                <w:color w:val="000000"/>
              </w:rPr>
              <w:t>Total noninterest-bearing liabilities</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0"/>
              <w:jc w:val="right"/>
              <w:rPr>
                <w:color w:val="000000"/>
              </w:rPr>
            </w:pPr>
            <w:r>
              <w:rPr>
                <w:color w:val="000000"/>
              </w:rPr>
              <w:t>1,138,885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0"/>
              <w:jc w:val="right"/>
              <w:rPr>
                <w:color w:val="000000"/>
              </w:rPr>
            </w:pPr>
            <w:r>
              <w:rPr>
                <w:color w:val="000000"/>
              </w:rPr>
              <w:t>1,054,022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96" w:type="dxa"/>
            <w:tcBorders/>
            <w:shd w:fill="CCEEFF" w:val="clear"/>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ind w:left="360" w:right="0" w:hanging="180"/>
              <w:jc w:val="left"/>
              <w:rPr>
                <w:color w:val="000000"/>
              </w:rPr>
            </w:pPr>
            <w:r>
              <w:rPr>
                <w:color w:val="000000"/>
              </w:rPr>
              <w:t>Stockholders’ equity</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626,086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448,909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96" w:type="dxa"/>
            <w:tcBorders/>
            <w:vAlign w:val="bottom"/>
          </w:tcPr>
          <w:p>
            <w:pPr>
              <w:pStyle w:val="TableContents"/>
              <w:bidi w:val="0"/>
              <w:spacing w:before="0" w:after="283"/>
              <w:jc w:val="left"/>
              <w:rPr/>
            </w:pPr>
            <w:r>
              <w:rPr/>
              <w:t> </w:t>
            </w:r>
          </w:p>
        </w:tc>
      </w:tr>
      <w:tr>
        <w:trPr/>
        <w:tc>
          <w:tcPr>
            <w:tcW w:w="2684" w:type="dxa"/>
            <w:tcBorders/>
            <w:shd w:fill="CCEEFF" w:val="clear"/>
            <w:vAlign w:val="bottom"/>
          </w:tcPr>
          <w:p>
            <w:pPr>
              <w:pStyle w:val="TableContents"/>
              <w:bidi w:val="0"/>
              <w:spacing w:before="0" w:after="0"/>
              <w:ind w:left="540" w:right="0" w:hanging="180"/>
              <w:jc w:val="left"/>
              <w:rPr>
                <w:color w:val="000000"/>
              </w:rPr>
            </w:pPr>
            <w:r>
              <w:rPr>
                <w:color w:val="000000"/>
              </w:rPr>
              <w:t>Total liabilities and stockholders’ equity</w:t>
            </w:r>
          </w:p>
        </w:tc>
        <w:tc>
          <w:tcPr>
            <w:tcW w:w="90" w:type="dxa"/>
            <w:tcBorders/>
            <w:shd w:fill="CCEEFF" w:val="clear"/>
            <w:vAlign w:val="bottom"/>
          </w:tcPr>
          <w:p>
            <w:pPr>
              <w:pStyle w:val="TableContents"/>
              <w:bidi w:val="0"/>
              <w:spacing w:before="0" w:after="283"/>
              <w:jc w:val="left"/>
              <w:rPr/>
            </w:pPr>
            <w:r>
              <w:rPr/>
              <w:t> </w:t>
            </w:r>
          </w:p>
        </w:tc>
        <w:tc>
          <w:tcPr>
            <w:tcW w:w="19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6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5,303,840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6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4,378,849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96" w:type="dxa"/>
            <w:tcBorders/>
            <w:shd w:fill="CCEEFF" w:val="clear"/>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 </w:t>
            </w:r>
          </w:p>
        </w:tc>
        <w:tc>
          <w:tcPr>
            <w:tcW w:w="296" w:type="dxa"/>
            <w:tcBorders/>
            <w:vAlign w:val="bottom"/>
          </w:tcPr>
          <w:p>
            <w:pPr>
              <w:pStyle w:val="TableContents"/>
              <w:bidi w:val="0"/>
              <w:spacing w:before="0" w:after="283"/>
              <w:jc w:val="left"/>
              <w:rPr/>
            </w:pPr>
            <w:r>
              <w:rPr/>
              <w:t> </w:t>
            </w:r>
          </w:p>
        </w:tc>
      </w:tr>
      <w:tr>
        <w:trPr/>
        <w:tc>
          <w:tcPr>
            <w:tcW w:w="2684" w:type="dxa"/>
            <w:tcBorders/>
            <w:shd w:fill="CCEEFF" w:val="clear"/>
            <w:vAlign w:val="bottom"/>
          </w:tcPr>
          <w:p>
            <w:pPr>
              <w:pStyle w:val="TableContents"/>
              <w:bidi w:val="0"/>
              <w:spacing w:before="0" w:after="0"/>
              <w:ind w:left="180" w:right="0" w:hanging="180"/>
              <w:jc w:val="left"/>
              <w:rPr>
                <w:color w:val="000000"/>
              </w:rPr>
            </w:pPr>
            <w:r>
              <w:rPr>
                <w:color w:val="000000"/>
              </w:rPr>
              <w:t>Net interest income</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50,582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 </w:t>
            </w:r>
          </w:p>
        </w:tc>
        <w:tc>
          <w:tcPr>
            <w:tcW w:w="296" w:type="dxa"/>
            <w:tcBorders/>
            <w:shd w:fill="CCEEFF" w:val="clear"/>
            <w:vAlign w:val="bottom"/>
          </w:tcPr>
          <w:p>
            <w:pPr>
              <w:pStyle w:val="TableContents"/>
              <w:bidi w:val="0"/>
              <w:spacing w:before="0" w:after="283"/>
              <w:jc w:val="left"/>
              <w:rPr/>
            </w:pPr>
            <w:r>
              <w:rPr/>
              <w:t> </w:t>
            </w:r>
          </w:p>
        </w:tc>
      </w:tr>
      <w:tr>
        <w:trPr/>
        <w:tc>
          <w:tcPr>
            <w:tcW w:w="2684" w:type="dxa"/>
            <w:tcBorders/>
            <w:vAlign w:val="bottom"/>
          </w:tcPr>
          <w:p>
            <w:pPr>
              <w:pStyle w:val="TableContents"/>
              <w:bidi w:val="0"/>
              <w:spacing w:before="0" w:after="0"/>
              <w:ind w:left="180" w:right="0" w:hanging="180"/>
              <w:jc w:val="left"/>
              <w:rPr>
                <w:color w:val="000000"/>
              </w:rPr>
            </w:pPr>
            <w:r>
              <w:rPr>
                <w:color w:val="000000"/>
              </w:rPr>
              <w:t>Net interest spread</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bottom w:val="double" w:sz="8" w:space="0" w:color="000000"/>
            </w:tcBorders>
            <w:tcMar>
              <w:bottom w:w="28" w:type="dxa"/>
            </w:tcMar>
            <w:vAlign w:val="bottom"/>
          </w:tcPr>
          <w:p>
            <w:pPr>
              <w:pStyle w:val="TableContents"/>
              <w:bidi w:val="0"/>
              <w:spacing w:before="0" w:after="283"/>
              <w:jc w:val="left"/>
              <w:rPr/>
            </w:pPr>
            <w:r>
              <w:rPr/>
              <w:t> </w:t>
            </w:r>
          </w:p>
        </w:tc>
        <w:tc>
          <w:tcPr>
            <w:tcW w:w="6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7" w:type="dxa"/>
            <w:tcBorders>
              <w:bottom w:val="double" w:sz="8" w:space="0" w:color="000000"/>
            </w:tcBorders>
            <w:tcMar>
              <w:bottom w:w="28" w:type="dxa"/>
            </w:tcMar>
            <w:vAlign w:val="bottom"/>
          </w:tcPr>
          <w:p>
            <w:pPr>
              <w:pStyle w:val="TableContents"/>
              <w:bidi w:val="0"/>
              <w:spacing w:before="0" w:after="283"/>
              <w:jc w:val="left"/>
              <w:rPr/>
            </w:pPr>
            <w:r>
              <w:rPr/>
              <w:t> </w:t>
            </w:r>
          </w:p>
        </w:tc>
        <w:tc>
          <w:tcPr>
            <w:tcW w:w="6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3.11</w:t>
            </w:r>
          </w:p>
        </w:tc>
        <w:tc>
          <w:tcPr>
            <w:tcW w:w="296" w:type="dxa"/>
            <w:tcBorders/>
            <w:vAlign w:val="bottom"/>
          </w:tcPr>
          <w:p>
            <w:pPr>
              <w:pStyle w:val="TableContents"/>
              <w:bidi w:val="0"/>
              <w:spacing w:before="0" w:after="0"/>
              <w:jc w:val="left"/>
              <w:rPr>
                <w:color w:val="000000"/>
              </w:rPr>
            </w:pPr>
            <w:r>
              <w:rPr>
                <w:color w:val="000000"/>
              </w:rPr>
              <w:t>%</w:t>
            </w:r>
          </w:p>
        </w:tc>
      </w:tr>
      <w:tr>
        <w:trPr/>
        <w:tc>
          <w:tcPr>
            <w:tcW w:w="2684"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Net interest margin(3)</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7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7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4.07</w:t>
            </w:r>
          </w:p>
        </w:tc>
        <w:tc>
          <w:tcPr>
            <w:tcW w:w="296"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7" w:name="z094c651252e441e7a1711fa0d3f394c8"/>
      <w:bookmarkStart w:id="198" w:name="z094c651252e441e7a1711fa0d3f394c8"/>
      <w:bookmarkEnd w:id="198"/>
    </w:p>
    <w:tbl>
      <w:tblPr>
        <w:tblW w:w="10205" w:type="dxa"/>
        <w:jc w:val="left"/>
        <w:tblInd w:w="0" w:type="dxa"/>
        <w:tblLayout w:type="fixed"/>
        <w:tblCellMar>
          <w:top w:w="0" w:type="dxa"/>
          <w:left w:w="0" w:type="dxa"/>
          <w:bottom w:w="0" w:type="dxa"/>
          <w:right w:w="0" w:type="dxa"/>
        </w:tblCellMar>
      </w:tblPr>
      <w:tblGrid>
        <w:gridCol w:w="2545"/>
        <w:gridCol w:w="90"/>
        <w:gridCol w:w="192"/>
        <w:gridCol w:w="1143"/>
        <w:gridCol w:w="90"/>
        <w:gridCol w:w="90"/>
        <w:gridCol w:w="170"/>
        <w:gridCol w:w="830"/>
        <w:gridCol w:w="90"/>
        <w:gridCol w:w="90"/>
        <w:gridCol w:w="123"/>
        <w:gridCol w:w="652"/>
        <w:gridCol w:w="245"/>
        <w:gridCol w:w="90"/>
        <w:gridCol w:w="192"/>
        <w:gridCol w:w="1143"/>
        <w:gridCol w:w="90"/>
        <w:gridCol w:w="90"/>
        <w:gridCol w:w="170"/>
        <w:gridCol w:w="830"/>
        <w:gridCol w:w="90"/>
        <w:gridCol w:w="90"/>
        <w:gridCol w:w="123"/>
        <w:gridCol w:w="652"/>
        <w:gridCol w:w="295"/>
      </w:tblGrid>
      <w:tr>
        <w:trPr/>
        <w:tc>
          <w:tcPr>
            <w:tcW w:w="25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7275"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295" w:type="dxa"/>
            <w:tcBorders/>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347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7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95" w:type="dxa"/>
            <w:tcBorders/>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335" w:type="dxa"/>
            <w:gridSpan w:val="2"/>
            <w:tcBorders/>
            <w:vAlign w:val="bottom"/>
          </w:tcPr>
          <w:p>
            <w:pPr>
              <w:pStyle w:val="TableContents"/>
              <w:bidi w:val="0"/>
              <w:spacing w:before="0" w:after="0"/>
              <w:jc w:val="center"/>
              <w:rPr>
                <w:b/>
                <w:color w:val="000000"/>
              </w:rPr>
            </w:pPr>
            <w:r>
              <w:rPr>
                <w:b/>
                <w:color w:val="000000"/>
              </w:rPr>
              <w:t>Average 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0"/>
              <w:jc w:val="center"/>
              <w:rPr>
                <w:b/>
                <w:color w:val="000000"/>
              </w:rPr>
            </w:pPr>
            <w:r>
              <w:rPr>
                <w:b/>
                <w:color w:val="000000"/>
              </w:rPr>
              <w:t>Interest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0"/>
              <w:jc w:val="center"/>
              <w:rPr>
                <w:b/>
                <w:color w:val="000000"/>
              </w:rPr>
            </w:pPr>
            <w:r>
              <w:rPr>
                <w:b/>
                <w:color w:val="000000"/>
              </w:rPr>
              <w:t>Yield/Rate</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5" w:type="dxa"/>
            <w:gridSpan w:val="2"/>
            <w:tcBorders/>
            <w:vAlign w:val="bottom"/>
          </w:tcPr>
          <w:p>
            <w:pPr>
              <w:pStyle w:val="TableContents"/>
              <w:bidi w:val="0"/>
              <w:spacing w:before="0" w:after="0"/>
              <w:jc w:val="center"/>
              <w:rPr>
                <w:b/>
                <w:color w:val="000000"/>
              </w:rPr>
            </w:pPr>
            <w:r>
              <w:rPr>
                <w:b/>
                <w:color w:val="000000"/>
              </w:rPr>
              <w:t>Average 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0"/>
              <w:jc w:val="center"/>
              <w:rPr>
                <w:b/>
                <w:color w:val="000000"/>
              </w:rPr>
            </w:pPr>
            <w:r>
              <w:rPr>
                <w:b/>
                <w:color w:val="000000"/>
              </w:rPr>
              <w:t>Interest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0"/>
              <w:jc w:val="center"/>
              <w:rPr>
                <w:b/>
                <w:color w:val="000000"/>
              </w:rPr>
            </w:pPr>
            <w:r>
              <w:rPr>
                <w:b/>
                <w:color w:val="000000"/>
              </w:rPr>
              <w:t>Yield/Rate</w:t>
            </w:r>
          </w:p>
        </w:tc>
        <w:tc>
          <w:tcPr>
            <w:tcW w:w="295" w:type="dxa"/>
            <w:tcBorders/>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7275" w:type="dxa"/>
            <w:gridSpan w:val="22"/>
            <w:tcBorders/>
            <w:vAlign w:val="bottom"/>
          </w:tcPr>
          <w:p>
            <w:pPr>
              <w:pStyle w:val="TableContents"/>
              <w:bidi w:val="0"/>
              <w:spacing w:before="0" w:after="0"/>
              <w:jc w:val="center"/>
              <w:rPr>
                <w:b/>
                <w:color w:val="000000"/>
              </w:rPr>
            </w:pPr>
            <w:r>
              <w:rPr>
                <w:b/>
                <w:color w:val="000000"/>
              </w:rPr>
              <w:t>(Dollars in thousands)</w:t>
            </w:r>
          </w:p>
        </w:tc>
        <w:tc>
          <w:tcPr>
            <w:tcW w:w="295" w:type="dxa"/>
            <w:tcBorders/>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0"/>
              <w:ind w:left="180" w:right="0" w:hanging="180"/>
              <w:jc w:val="left"/>
              <w:rPr>
                <w:b/>
                <w:color w:val="000000"/>
              </w:rPr>
            </w:pPr>
            <w:r>
              <w:rPr>
                <w:b/>
                <w:color w:val="000000"/>
              </w:rPr>
              <w:t>Assets:</w:t>
            </w:r>
          </w:p>
        </w:tc>
        <w:tc>
          <w:tcPr>
            <w:tcW w:w="90" w:type="dxa"/>
            <w:tcBorders/>
            <w:vAlign w:val="bottom"/>
          </w:tcPr>
          <w:p>
            <w:pPr>
              <w:pStyle w:val="TableContents"/>
              <w:bidi w:val="0"/>
              <w:spacing w:before="0" w:after="283"/>
              <w:jc w:val="left"/>
              <w:rPr/>
            </w:pPr>
            <w:r>
              <w:rPr/>
              <w:t> </w:t>
            </w:r>
          </w:p>
        </w:tc>
        <w:tc>
          <w:tcPr>
            <w:tcW w:w="133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0"/>
              <w:ind w:left="180" w:right="0" w:hanging="180"/>
              <w:jc w:val="left"/>
              <w:rPr>
                <w:color w:val="000000"/>
              </w:rPr>
            </w:pPr>
            <w:r>
              <w:rPr>
                <w:color w:val="000000"/>
              </w:rPr>
              <w:t>Interest-earning assets:</w:t>
            </w:r>
          </w:p>
        </w:tc>
        <w:tc>
          <w:tcPr>
            <w:tcW w:w="90" w:type="dxa"/>
            <w:tcBorders/>
            <w:vAlign w:val="bottom"/>
          </w:tcPr>
          <w:p>
            <w:pPr>
              <w:pStyle w:val="TableContents"/>
              <w:bidi w:val="0"/>
              <w:spacing w:before="0" w:after="283"/>
              <w:jc w:val="left"/>
              <w:rPr/>
            </w:pPr>
            <w:r>
              <w:rPr/>
              <w:t> </w:t>
            </w:r>
          </w:p>
        </w:tc>
        <w:tc>
          <w:tcPr>
            <w:tcW w:w="133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3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r>
      <w:tr>
        <w:trPr/>
        <w:tc>
          <w:tcPr>
            <w:tcW w:w="2545" w:type="dxa"/>
            <w:tcBorders/>
            <w:shd w:fill="CCEEFF" w:val="clear"/>
            <w:vAlign w:val="bottom"/>
          </w:tcPr>
          <w:p>
            <w:pPr>
              <w:pStyle w:val="TableContents"/>
              <w:bidi w:val="0"/>
              <w:spacing w:lineRule="auto" w:line="240" w:before="0" w:after="0"/>
              <w:ind w:left="360" w:right="0" w:hanging="180"/>
              <w:jc w:val="left"/>
              <w:rPr>
                <w:color w:val="000000"/>
              </w:rPr>
            </w:pPr>
            <w:r>
              <w:rPr>
                <w:color w:val="000000"/>
              </w:rPr>
              <w:t>Loans(1)</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1143" w:type="dxa"/>
            <w:tcBorders/>
            <w:shd w:fill="CCEEFF" w:val="clear"/>
            <w:vAlign w:val="bottom"/>
          </w:tcPr>
          <w:p>
            <w:pPr>
              <w:pStyle w:val="TableContents"/>
              <w:bidi w:val="0"/>
              <w:spacing w:before="0" w:after="0"/>
              <w:jc w:val="right"/>
              <w:rPr>
                <w:color w:val="000000"/>
              </w:rPr>
            </w:pPr>
            <w:r>
              <w:rPr>
                <w:color w:val="000000"/>
              </w:rPr>
              <w:t>3,453,878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116,797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6.82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1143" w:type="dxa"/>
            <w:tcBorders/>
            <w:shd w:fill="CCEEFF" w:val="clear"/>
            <w:vAlign w:val="bottom"/>
          </w:tcPr>
          <w:p>
            <w:pPr>
              <w:pStyle w:val="TableContents"/>
              <w:bidi w:val="0"/>
              <w:spacing w:before="0" w:after="0"/>
              <w:jc w:val="right"/>
              <w:rPr>
                <w:color w:val="000000"/>
              </w:rPr>
            </w:pPr>
            <w:r>
              <w:rPr>
                <w:color w:val="000000"/>
              </w:rPr>
              <w:t>3,084,563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104,471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6.83</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545" w:type="dxa"/>
            <w:tcBorders/>
            <w:vAlign w:val="bottom"/>
          </w:tcPr>
          <w:p>
            <w:pPr>
              <w:pStyle w:val="TableContents"/>
              <w:bidi w:val="0"/>
              <w:spacing w:before="0" w:after="0"/>
              <w:ind w:left="360" w:right="0" w:hanging="180"/>
              <w:jc w:val="left"/>
              <w:rPr>
                <w:color w:val="000000"/>
              </w:rPr>
            </w:pPr>
            <w:r>
              <w:rPr>
                <w:color w:val="000000"/>
              </w:rPr>
              <w:t>Investment securities – taxable</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0"/>
              <w:jc w:val="right"/>
              <w:rPr>
                <w:color w:val="000000"/>
              </w:rPr>
            </w:pPr>
            <w:r>
              <w:rPr>
                <w:color w:val="000000"/>
              </w:rPr>
              <w:t>486,188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8,523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color w:val="000000"/>
              </w:rPr>
            </w:pPr>
            <w:r>
              <w:rPr>
                <w:color w:val="000000"/>
              </w:rPr>
              <w:t>3.54</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0"/>
              <w:jc w:val="right"/>
              <w:rPr>
                <w:color w:val="000000"/>
              </w:rPr>
            </w:pPr>
            <w:r>
              <w:rPr>
                <w:color w:val="000000"/>
              </w:rPr>
              <w:t>509,431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9,392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color w:val="000000"/>
              </w:rPr>
            </w:pPr>
            <w:r>
              <w:rPr>
                <w:color w:val="000000"/>
              </w:rPr>
              <w:t>3.72</w:t>
            </w:r>
          </w:p>
        </w:tc>
        <w:tc>
          <w:tcPr>
            <w:tcW w:w="295" w:type="dxa"/>
            <w:tcBorders/>
            <w:vAlign w:val="bottom"/>
          </w:tcPr>
          <w:p>
            <w:pPr>
              <w:pStyle w:val="TableContents"/>
              <w:bidi w:val="0"/>
              <w:spacing w:before="0" w:after="0"/>
              <w:jc w:val="left"/>
              <w:rPr>
                <w:color w:val="000000"/>
              </w:rPr>
            </w:pPr>
            <w:r>
              <w:rPr>
                <w:color w:val="000000"/>
              </w:rPr>
              <w:t>%</w:t>
            </w:r>
          </w:p>
        </w:tc>
      </w:tr>
      <w:tr>
        <w:trPr/>
        <w:tc>
          <w:tcPr>
            <w:tcW w:w="2545" w:type="dxa"/>
            <w:tcBorders/>
            <w:shd w:fill="CCEEFF" w:val="clear"/>
            <w:vAlign w:val="bottom"/>
          </w:tcPr>
          <w:p>
            <w:pPr>
              <w:pStyle w:val="TableContents"/>
              <w:bidi w:val="0"/>
              <w:spacing w:before="0" w:after="0"/>
              <w:ind w:left="360" w:right="0" w:hanging="180"/>
              <w:jc w:val="left"/>
              <w:rPr>
                <w:color w:val="000000"/>
              </w:rPr>
            </w:pPr>
            <w:r>
              <w:rPr>
                <w:color w:val="000000"/>
              </w:rPr>
              <w:t>Investment securities – non-taxable</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0"/>
              <w:jc w:val="right"/>
              <w:rPr>
                <w:color w:val="000000"/>
              </w:rPr>
            </w:pPr>
            <w:r>
              <w:rPr>
                <w:color w:val="000000"/>
              </w:rPr>
              <w:t>152,832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2,157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2.85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0"/>
              <w:jc w:val="right"/>
              <w:rPr>
                <w:color w:val="000000"/>
              </w:rPr>
            </w:pPr>
            <w:r>
              <w:rPr>
                <w:color w:val="000000"/>
              </w:rPr>
              <w:t>152,716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2,029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2.68</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545" w:type="dxa"/>
            <w:tcBorders/>
            <w:vAlign w:val="bottom"/>
          </w:tcPr>
          <w:p>
            <w:pPr>
              <w:pStyle w:val="TableContents"/>
              <w:bidi w:val="0"/>
              <w:spacing w:lineRule="auto" w:line="240" w:before="0" w:after="0"/>
              <w:ind w:left="360" w:right="0" w:hanging="180"/>
              <w:jc w:val="left"/>
              <w:rPr>
                <w:color w:val="000000"/>
              </w:rPr>
            </w:pPr>
            <w:r>
              <w:rPr>
                <w:color w:val="000000"/>
              </w:rPr>
              <w:t>Other interest-earning assets(2)</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608,467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10,625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color w:val="000000"/>
              </w:rPr>
            </w:pPr>
            <w:r>
              <w:rPr>
                <w:color w:val="000000"/>
              </w:rPr>
              <w:t>3.52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421,899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8,606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color w:val="000000"/>
              </w:rPr>
            </w:pPr>
            <w:r>
              <w:rPr>
                <w:color w:val="000000"/>
              </w:rPr>
              <w:t>4.11</w:t>
            </w:r>
          </w:p>
        </w:tc>
        <w:tc>
          <w:tcPr>
            <w:tcW w:w="295" w:type="dxa"/>
            <w:tcBorders/>
            <w:vAlign w:val="bottom"/>
          </w:tcPr>
          <w:p>
            <w:pPr>
              <w:pStyle w:val="TableContents"/>
              <w:bidi w:val="0"/>
              <w:spacing w:before="0" w:after="0"/>
              <w:jc w:val="left"/>
              <w:rPr>
                <w:color w:val="000000"/>
              </w:rPr>
            </w:pPr>
            <w:r>
              <w:rPr>
                <w:color w:val="000000"/>
              </w:rPr>
              <w:t>%</w:t>
            </w:r>
          </w:p>
        </w:tc>
      </w:tr>
      <w:tr>
        <w:trPr/>
        <w:tc>
          <w:tcPr>
            <w:tcW w:w="2545" w:type="dxa"/>
            <w:tcBorders/>
            <w:shd w:fill="CCEEFF" w:val="clear"/>
            <w:vAlign w:val="bottom"/>
          </w:tcPr>
          <w:p>
            <w:pPr>
              <w:pStyle w:val="TableContents"/>
              <w:bidi w:val="0"/>
              <w:spacing w:before="0" w:after="0"/>
              <w:ind w:left="360" w:right="0" w:hanging="180"/>
              <w:jc w:val="left"/>
              <w:rPr>
                <w:color w:val="000000"/>
              </w:rPr>
            </w:pPr>
            <w:r>
              <w:rPr>
                <w:color w:val="000000"/>
              </w:rPr>
              <w:t>Total interest-earning assets</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0"/>
              <w:jc w:val="right"/>
              <w:rPr>
                <w:color w:val="000000"/>
              </w:rPr>
            </w:pPr>
            <w:r>
              <w:rPr>
                <w:color w:val="000000"/>
              </w:rPr>
              <w:t>4,701,365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138,102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5.92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0"/>
              <w:jc w:val="right"/>
              <w:rPr>
                <w:color w:val="000000"/>
              </w:rPr>
            </w:pPr>
            <w:r>
              <w:rPr>
                <w:color w:val="000000"/>
              </w:rPr>
              <w:t>4,168,609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124,498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6.02</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545" w:type="dxa"/>
            <w:tcBorders/>
            <w:vAlign w:val="bottom"/>
          </w:tcPr>
          <w:p>
            <w:pPr>
              <w:pStyle w:val="TableContents"/>
              <w:bidi w:val="0"/>
              <w:spacing w:before="0" w:after="0"/>
              <w:ind w:left="180" w:right="0" w:hanging="180"/>
              <w:jc w:val="left"/>
              <w:rPr>
                <w:color w:val="000000"/>
              </w:rPr>
            </w:pPr>
            <w:r>
              <w:rPr>
                <w:color w:val="000000"/>
              </w:rPr>
              <w:t>Noninterest-earning assets</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206,067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169,222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2545" w:type="dxa"/>
            <w:tcBorders/>
            <w:shd w:fill="CCEEFF" w:val="clear"/>
            <w:vAlign w:val="bottom"/>
          </w:tcPr>
          <w:p>
            <w:pPr>
              <w:pStyle w:val="TableContents"/>
              <w:bidi w:val="0"/>
              <w:spacing w:before="0" w:after="0"/>
              <w:ind w:left="540" w:right="0" w:hanging="180"/>
              <w:jc w:val="left"/>
              <w:rPr>
                <w:color w:val="000000"/>
              </w:rPr>
            </w:pPr>
            <w:r>
              <w:rPr>
                <w:color w:val="000000"/>
              </w:rPr>
              <w:t>Total assets</w:t>
            </w:r>
          </w:p>
        </w:tc>
        <w:tc>
          <w:tcPr>
            <w:tcW w:w="9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4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4,907,432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4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4,337,831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2545" w:type="dxa"/>
            <w:tcBorders/>
            <w:shd w:fill="CCEEFF" w:val="clear"/>
            <w:vAlign w:val="bottom"/>
          </w:tcPr>
          <w:p>
            <w:pPr>
              <w:pStyle w:val="TableContents"/>
              <w:bidi w:val="0"/>
              <w:spacing w:before="0" w:after="0"/>
              <w:ind w:left="180" w:right="0" w:hanging="180"/>
              <w:jc w:val="left"/>
              <w:rPr>
                <w:b/>
                <w:color w:val="000000"/>
              </w:rPr>
            </w:pPr>
            <w:r>
              <w:rPr>
                <w:b/>
                <w:color w:val="000000"/>
              </w:rPr>
              <w:t>Liabilities and Stockholders’ Equity:</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0"/>
              <w:ind w:left="180" w:right="0" w:hanging="180"/>
              <w:jc w:val="left"/>
              <w:rPr>
                <w:color w:val="000000"/>
              </w:rPr>
            </w:pPr>
            <w:r>
              <w:rPr>
                <w:color w:val="000000"/>
              </w:rPr>
              <w:t>Interest-bearing liabilities: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2545" w:type="dxa"/>
            <w:tcBorders/>
            <w:shd w:fill="CCEEFF" w:val="clear"/>
            <w:vAlign w:val="bottom"/>
          </w:tcPr>
          <w:p>
            <w:pPr>
              <w:pStyle w:val="TableContents"/>
              <w:bidi w:val="0"/>
              <w:spacing w:before="0" w:after="0"/>
              <w:ind w:left="360" w:right="0" w:hanging="180"/>
              <w:jc w:val="left"/>
              <w:rPr>
                <w:color w:val="000000"/>
              </w:rPr>
            </w:pPr>
            <w:r>
              <w:rPr>
                <w:color w:val="000000"/>
              </w:rPr>
              <w:t>NOW, savings and money market deposits</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1143" w:type="dxa"/>
            <w:tcBorders/>
            <w:shd w:fill="CCEEFF" w:val="clear"/>
            <w:vAlign w:val="bottom"/>
          </w:tcPr>
          <w:p>
            <w:pPr>
              <w:pStyle w:val="TableContents"/>
              <w:bidi w:val="0"/>
              <w:spacing w:before="0" w:after="0"/>
              <w:jc w:val="right"/>
              <w:rPr>
                <w:color w:val="000000"/>
              </w:rPr>
            </w:pPr>
            <w:r>
              <w:rPr>
                <w:color w:val="000000"/>
              </w:rPr>
              <w:t>2,669,649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33,407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2.52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1143" w:type="dxa"/>
            <w:tcBorders/>
            <w:shd w:fill="CCEEFF" w:val="clear"/>
            <w:vAlign w:val="bottom"/>
          </w:tcPr>
          <w:p>
            <w:pPr>
              <w:pStyle w:val="TableContents"/>
              <w:bidi w:val="0"/>
              <w:spacing w:before="0" w:after="0"/>
              <w:jc w:val="right"/>
              <w:rPr>
                <w:color w:val="000000"/>
              </w:rPr>
            </w:pPr>
            <w:r>
              <w:rPr>
                <w:color w:val="000000"/>
              </w:rPr>
              <w:t>2,314,562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31,401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2.74</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545" w:type="dxa"/>
            <w:tcBorders/>
            <w:vAlign w:val="bottom"/>
          </w:tcPr>
          <w:p>
            <w:pPr>
              <w:pStyle w:val="TableContents"/>
              <w:bidi w:val="0"/>
              <w:spacing w:before="0" w:after="0"/>
              <w:ind w:left="360" w:right="0" w:hanging="180"/>
              <w:jc w:val="left"/>
              <w:rPr>
                <w:color w:val="000000"/>
              </w:rPr>
            </w:pPr>
            <w:r>
              <w:rPr>
                <w:color w:val="000000"/>
              </w:rPr>
              <w:t>Time deposits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0"/>
              <w:jc w:val="right"/>
              <w:rPr>
                <w:color w:val="000000"/>
              </w:rPr>
            </w:pPr>
            <w:r>
              <w:rPr>
                <w:color w:val="000000"/>
              </w:rPr>
              <w:t>519,734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9,187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color w:val="000000"/>
              </w:rPr>
            </w:pPr>
            <w:r>
              <w:rPr>
                <w:color w:val="000000"/>
              </w:rPr>
              <w:t>3.56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0"/>
              <w:jc w:val="right"/>
              <w:rPr>
                <w:color w:val="000000"/>
              </w:rPr>
            </w:pPr>
            <w:r>
              <w:rPr>
                <w:color w:val="000000"/>
              </w:rPr>
              <w:t>440,297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8,488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color w:val="000000"/>
              </w:rPr>
            </w:pPr>
            <w:r>
              <w:rPr>
                <w:color w:val="000000"/>
              </w:rPr>
              <w:t>3.89</w:t>
            </w:r>
          </w:p>
        </w:tc>
        <w:tc>
          <w:tcPr>
            <w:tcW w:w="295" w:type="dxa"/>
            <w:tcBorders/>
            <w:vAlign w:val="bottom"/>
          </w:tcPr>
          <w:p>
            <w:pPr>
              <w:pStyle w:val="TableContents"/>
              <w:bidi w:val="0"/>
              <w:spacing w:before="0" w:after="0"/>
              <w:jc w:val="left"/>
              <w:rPr>
                <w:color w:val="000000"/>
              </w:rPr>
            </w:pPr>
            <w:r>
              <w:rPr>
                <w:color w:val="000000"/>
              </w:rPr>
              <w:t>%</w:t>
            </w:r>
          </w:p>
        </w:tc>
      </w:tr>
      <w:tr>
        <w:trPr/>
        <w:tc>
          <w:tcPr>
            <w:tcW w:w="2545" w:type="dxa"/>
            <w:tcBorders/>
            <w:shd w:fill="CCEEFF" w:val="clear"/>
            <w:vAlign w:val="bottom"/>
          </w:tcPr>
          <w:p>
            <w:pPr>
              <w:pStyle w:val="TableContents"/>
              <w:bidi w:val="0"/>
              <w:spacing w:before="0" w:after="0"/>
              <w:ind w:left="360" w:right="0" w:hanging="180"/>
              <w:jc w:val="left"/>
              <w:rPr>
                <w:color w:val="000000"/>
              </w:rPr>
            </w:pPr>
            <w:r>
              <w:rPr>
                <w:color w:val="000000"/>
              </w:rPr>
              <w:t>Short-term borrowings</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0"/>
              <w:jc w:val="right"/>
              <w:rPr>
                <w:color w:val="000000"/>
              </w:rPr>
            </w:pPr>
            <w:r>
              <w:rPr>
                <w:color w:val="000000"/>
              </w:rPr>
              <w:t>1,871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4.10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0"/>
              <w:jc w:val="right"/>
              <w:rPr>
                <w:color w:val="000000"/>
              </w:rPr>
            </w:pPr>
            <w:r>
              <w:rPr>
                <w:color w:val="000000"/>
              </w:rPr>
              <w:t>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0.00</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545" w:type="dxa"/>
            <w:tcBorders/>
            <w:vAlign w:val="bottom"/>
          </w:tcPr>
          <w:p>
            <w:pPr>
              <w:pStyle w:val="TableContents"/>
              <w:bidi w:val="0"/>
              <w:spacing w:before="0" w:after="0"/>
              <w:ind w:left="360" w:right="0" w:hanging="180"/>
              <w:jc w:val="left"/>
              <w:rPr>
                <w:color w:val="000000"/>
              </w:rPr>
            </w:pPr>
            <w:r>
              <w:rPr>
                <w:color w:val="000000"/>
              </w:rPr>
              <w:t>Subordinated debt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0"/>
              <w:jc w:val="right"/>
              <w:rPr>
                <w:color w:val="000000"/>
              </w:rPr>
            </w:pPr>
            <w:r>
              <w:rPr>
                <w:color w:val="000000"/>
              </w:rPr>
              <w:t>14,100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color w:val="000000"/>
              </w:rPr>
            </w:pPr>
            <w:r>
              <w:rPr>
                <w:color w:val="000000"/>
              </w:rPr>
              <w:t>6.88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0"/>
              <w:jc w:val="right"/>
              <w:rPr>
                <w:color w:val="000000"/>
              </w:rPr>
            </w:pPr>
            <w:r>
              <w:rPr>
                <w:color w:val="000000"/>
              </w:rPr>
              <w:t>64,008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color w:val="000000"/>
              </w:rPr>
            </w:pPr>
            <w:r>
              <w:rPr>
                <w:color w:val="000000"/>
              </w:rPr>
              <w:t>5.26</w:t>
            </w:r>
          </w:p>
        </w:tc>
        <w:tc>
          <w:tcPr>
            <w:tcW w:w="295" w:type="dxa"/>
            <w:tcBorders/>
            <w:vAlign w:val="bottom"/>
          </w:tcPr>
          <w:p>
            <w:pPr>
              <w:pStyle w:val="TableContents"/>
              <w:bidi w:val="0"/>
              <w:spacing w:before="0" w:after="0"/>
              <w:jc w:val="left"/>
              <w:rPr>
                <w:color w:val="000000"/>
              </w:rPr>
            </w:pPr>
            <w:r>
              <w:rPr>
                <w:color w:val="000000"/>
              </w:rPr>
              <w:t>%</w:t>
            </w:r>
          </w:p>
        </w:tc>
      </w:tr>
      <w:tr>
        <w:trPr/>
        <w:tc>
          <w:tcPr>
            <w:tcW w:w="2545" w:type="dxa"/>
            <w:tcBorders/>
            <w:shd w:fill="CCEEFF" w:val="clear"/>
            <w:vAlign w:val="bottom"/>
          </w:tcPr>
          <w:p>
            <w:pPr>
              <w:pStyle w:val="TableContents"/>
              <w:bidi w:val="0"/>
              <w:spacing w:before="0" w:after="0"/>
              <w:ind w:left="360" w:right="0" w:hanging="180"/>
              <w:jc w:val="left"/>
              <w:rPr>
                <w:color w:val="000000"/>
              </w:rPr>
            </w:pPr>
            <w:r>
              <w:rPr>
                <w:color w:val="000000"/>
              </w:rPr>
              <w:t>Junior subordinated deferrable interest debentures</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5.74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6.38</w:t>
            </w:r>
          </w:p>
        </w:tc>
        <w:tc>
          <w:tcPr>
            <w:tcW w:w="295" w:type="dxa"/>
            <w:tcBorders/>
            <w:shd w:fill="CCEEFF" w:val="clear"/>
            <w:vAlign w:val="bottom"/>
          </w:tcPr>
          <w:p>
            <w:pPr>
              <w:pStyle w:val="TableContents"/>
              <w:bidi w:val="0"/>
              <w:spacing w:before="0" w:after="0"/>
              <w:jc w:val="left"/>
              <w:rPr>
                <w:color w:val="000000"/>
              </w:rPr>
            </w:pPr>
            <w:r>
              <w:rPr>
                <w:color w:val="000000"/>
              </w:rPr>
              <w:t>%</w:t>
            </w:r>
          </w:p>
        </w:tc>
      </w:tr>
      <w:tr>
        <w:trPr/>
        <w:tc>
          <w:tcPr>
            <w:tcW w:w="2545" w:type="dxa"/>
            <w:tcBorders/>
            <w:vAlign w:val="bottom"/>
          </w:tcPr>
          <w:p>
            <w:pPr>
              <w:pStyle w:val="TableContents"/>
              <w:bidi w:val="0"/>
              <w:spacing w:before="0" w:after="0"/>
              <w:ind w:left="540" w:right="0" w:hanging="180"/>
              <w:jc w:val="left"/>
              <w:rPr>
                <w:color w:val="000000"/>
              </w:rPr>
            </w:pPr>
            <w:r>
              <w:rPr>
                <w:color w:val="000000"/>
              </w:rPr>
              <w:t>Total interest-bearing liabilities</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3,251,747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44,434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bottom w:val="single" w:sz="12" w:space="0" w:color="000000"/>
            </w:tcBorders>
            <w:tcMar>
              <w:bottom w:w="28" w:type="dxa"/>
            </w:tcMar>
            <w:vAlign w:val="bottom"/>
          </w:tcPr>
          <w:p>
            <w:pPr>
              <w:pStyle w:val="TableContents"/>
              <w:bidi w:val="0"/>
              <w:spacing w:before="0" w:after="283"/>
              <w:jc w:val="left"/>
              <w:rPr/>
            </w:pPr>
            <w:r>
              <w:rPr/>
              <w:t> </w:t>
            </w:r>
          </w:p>
        </w:tc>
        <w:tc>
          <w:tcPr>
            <w:tcW w:w="65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2,865,271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43,027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bottom w:val="single" w:sz="12" w:space="0" w:color="000000"/>
            </w:tcBorders>
            <w:tcMar>
              <w:bottom w:w="28" w:type="dxa"/>
            </w:tcMar>
            <w:vAlign w:val="bottom"/>
          </w:tcPr>
          <w:p>
            <w:pPr>
              <w:pStyle w:val="TableContents"/>
              <w:bidi w:val="0"/>
              <w:spacing w:before="0" w:after="283"/>
              <w:jc w:val="left"/>
              <w:rPr/>
            </w:pPr>
            <w:r>
              <w:rPr/>
              <w:t> </w:t>
            </w:r>
          </w:p>
        </w:tc>
        <w:tc>
          <w:tcPr>
            <w:tcW w:w="65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3.03</w:t>
            </w:r>
          </w:p>
        </w:tc>
        <w:tc>
          <w:tcPr>
            <w:tcW w:w="295" w:type="dxa"/>
            <w:tcBorders/>
            <w:vAlign w:val="bottom"/>
          </w:tcPr>
          <w:p>
            <w:pPr>
              <w:pStyle w:val="TableContents"/>
              <w:bidi w:val="0"/>
              <w:spacing w:before="0" w:after="0"/>
              <w:jc w:val="left"/>
              <w:rPr>
                <w:color w:val="000000"/>
              </w:rPr>
            </w:pPr>
            <w:r>
              <w:rPr>
                <w:color w:val="000000"/>
              </w:rPr>
              <w:t>%</w:t>
            </w:r>
          </w:p>
        </w:tc>
      </w:tr>
      <w:tr>
        <w:trPr/>
        <w:tc>
          <w:tcPr>
            <w:tcW w:w="254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0"/>
              <w:ind w:left="180" w:right="0" w:hanging="180"/>
              <w:jc w:val="left"/>
              <w:rPr>
                <w:color w:val="000000"/>
              </w:rPr>
            </w:pPr>
            <w:r>
              <w:rPr>
                <w:color w:val="000000"/>
              </w:rPr>
              <w:t>Noninterest-bearing liabilities: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2545" w:type="dxa"/>
            <w:tcBorders/>
            <w:shd w:fill="CCEEFF" w:val="clear"/>
            <w:vAlign w:val="bottom"/>
          </w:tcPr>
          <w:p>
            <w:pPr>
              <w:pStyle w:val="TableContents"/>
              <w:bidi w:val="0"/>
              <w:spacing w:before="0" w:after="0"/>
              <w:ind w:left="360" w:right="0" w:hanging="180"/>
              <w:jc w:val="left"/>
              <w:rPr>
                <w:color w:val="000000"/>
              </w:rPr>
            </w:pPr>
            <w:r>
              <w:rPr>
                <w:color w:val="000000"/>
              </w:rPr>
              <w:t>Noninterest-bearing deposits</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0"/>
              <w:jc w:val="right"/>
              <w:rPr>
                <w:color w:val="000000"/>
              </w:rPr>
            </w:pPr>
            <w:r>
              <w:rPr>
                <w:color w:val="000000"/>
              </w:rPr>
              <w:t>1,045,930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0"/>
              <w:jc w:val="right"/>
              <w:rPr>
                <w:color w:val="000000"/>
              </w:rPr>
            </w:pPr>
            <w:r>
              <w:rPr>
                <w:color w:val="000000"/>
              </w:rPr>
              <w:t>962,557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0"/>
              <w:ind w:left="360" w:right="0" w:hanging="180"/>
              <w:jc w:val="left"/>
              <w:rPr>
                <w:color w:val="000000"/>
              </w:rPr>
            </w:pPr>
            <w:r>
              <w:rPr>
                <w:color w:val="000000"/>
              </w:rPr>
              <w:t>Other liabilities</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46,948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64,875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2545" w:type="dxa"/>
            <w:tcBorders/>
            <w:shd w:fill="CCEEFF" w:val="clear"/>
            <w:vAlign w:val="bottom"/>
          </w:tcPr>
          <w:p>
            <w:pPr>
              <w:pStyle w:val="TableContents"/>
              <w:bidi w:val="0"/>
              <w:spacing w:before="0" w:after="0"/>
              <w:ind w:left="360" w:right="0" w:hanging="180"/>
              <w:jc w:val="left"/>
              <w:rPr>
                <w:color w:val="000000"/>
              </w:rPr>
            </w:pPr>
            <w:r>
              <w:rPr>
                <w:color w:val="000000"/>
              </w:rPr>
              <w:t>Total noninterest-bearing liabilities</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0"/>
              <w:jc w:val="right"/>
              <w:rPr>
                <w:color w:val="000000"/>
              </w:rPr>
            </w:pPr>
            <w:r>
              <w:rPr>
                <w:color w:val="000000"/>
              </w:rPr>
              <w:t>1,092,878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0"/>
              <w:jc w:val="right"/>
              <w:rPr>
                <w:color w:val="000000"/>
              </w:rPr>
            </w:pPr>
            <w:r>
              <w:rPr>
                <w:color w:val="000000"/>
              </w:rPr>
              <w:t>1,027,432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0"/>
              <w:ind w:left="360" w:right="0" w:hanging="180"/>
              <w:jc w:val="left"/>
              <w:rPr>
                <w:color w:val="000000"/>
              </w:rPr>
            </w:pPr>
            <w:r>
              <w:rPr>
                <w:color w:val="000000"/>
              </w:rPr>
              <w:t>Stockholders’ equity</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562,807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445,128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2545" w:type="dxa"/>
            <w:tcBorders/>
            <w:shd w:fill="CCEEFF" w:val="clear"/>
            <w:vAlign w:val="bottom"/>
          </w:tcPr>
          <w:p>
            <w:pPr>
              <w:pStyle w:val="TableContents"/>
              <w:bidi w:val="0"/>
              <w:spacing w:before="0" w:after="0"/>
              <w:ind w:left="540" w:right="0" w:hanging="180"/>
              <w:jc w:val="left"/>
              <w:rPr>
                <w:color w:val="000000"/>
              </w:rPr>
            </w:pPr>
            <w:r>
              <w:rPr>
                <w:color w:val="000000"/>
              </w:rPr>
              <w:t>Total liabilities and shareholders’ equity</w:t>
            </w:r>
          </w:p>
        </w:tc>
        <w:tc>
          <w:tcPr>
            <w:tcW w:w="9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4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4,907,432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4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4,337,831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295" w:type="dxa"/>
            <w:tcBorders/>
            <w:vAlign w:val="bottom"/>
          </w:tcPr>
          <w:p>
            <w:pPr>
              <w:pStyle w:val="TableContents"/>
              <w:bidi w:val="0"/>
              <w:spacing w:before="0" w:after="283"/>
              <w:jc w:val="left"/>
              <w:rPr/>
            </w:pPr>
            <w:r>
              <w:rPr/>
              <w:t> </w:t>
            </w:r>
          </w:p>
        </w:tc>
      </w:tr>
      <w:tr>
        <w:trPr/>
        <w:tc>
          <w:tcPr>
            <w:tcW w:w="2545" w:type="dxa"/>
            <w:tcBorders/>
            <w:shd w:fill="CCEEFF" w:val="clear"/>
            <w:vAlign w:val="bottom"/>
          </w:tcPr>
          <w:p>
            <w:pPr>
              <w:pStyle w:val="TableContents"/>
              <w:bidi w:val="0"/>
              <w:spacing w:before="0" w:after="0"/>
              <w:ind w:left="180" w:right="0" w:hanging="180"/>
              <w:jc w:val="left"/>
              <w:rPr>
                <w:color w:val="000000"/>
              </w:rPr>
            </w:pPr>
            <w:r>
              <w:rPr>
                <w:color w:val="000000"/>
              </w:rPr>
              <w:t>Net interest income</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93,668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81,471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295" w:type="dxa"/>
            <w:tcBorders/>
            <w:shd w:fill="CCEEFF" w:val="clear"/>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0"/>
              <w:ind w:left="180" w:right="0" w:hanging="180"/>
              <w:jc w:val="left"/>
              <w:rPr>
                <w:color w:val="000000"/>
              </w:rPr>
            </w:pPr>
            <w:r>
              <w:rPr>
                <w:color w:val="000000"/>
              </w:rPr>
              <w:t>Net interest spread</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bottom w:val="double" w:sz="8" w:space="0" w:color="000000"/>
            </w:tcBorders>
            <w:tcMar>
              <w:bottom w:w="28" w:type="dxa"/>
            </w:tcMar>
            <w:vAlign w:val="bottom"/>
          </w:tcPr>
          <w:p>
            <w:pPr>
              <w:pStyle w:val="TableContents"/>
              <w:bidi w:val="0"/>
              <w:spacing w:before="0" w:after="283"/>
              <w:jc w:val="left"/>
              <w:rPr/>
            </w:pPr>
            <w:r>
              <w:rPr/>
              <w:t> </w:t>
            </w:r>
          </w:p>
        </w:tc>
        <w:tc>
          <w:tcPr>
            <w:tcW w:w="65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 w:type="dxa"/>
            <w:tcBorders>
              <w:bottom w:val="double" w:sz="8" w:space="0" w:color="000000"/>
            </w:tcBorders>
            <w:tcMar>
              <w:bottom w:w="28" w:type="dxa"/>
            </w:tcMar>
            <w:vAlign w:val="bottom"/>
          </w:tcPr>
          <w:p>
            <w:pPr>
              <w:pStyle w:val="TableContents"/>
              <w:bidi w:val="0"/>
              <w:spacing w:before="0" w:after="283"/>
              <w:jc w:val="left"/>
              <w:rPr/>
            </w:pPr>
            <w:r>
              <w:rPr/>
              <w:t> </w:t>
            </w:r>
          </w:p>
        </w:tc>
        <w:tc>
          <w:tcPr>
            <w:tcW w:w="65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2.99</w:t>
            </w:r>
          </w:p>
        </w:tc>
        <w:tc>
          <w:tcPr>
            <w:tcW w:w="295" w:type="dxa"/>
            <w:tcBorders/>
            <w:vAlign w:val="bottom"/>
          </w:tcPr>
          <w:p>
            <w:pPr>
              <w:pStyle w:val="TableContents"/>
              <w:bidi w:val="0"/>
              <w:spacing w:before="0" w:after="0"/>
              <w:jc w:val="left"/>
              <w:rPr>
                <w:color w:val="000000"/>
              </w:rPr>
            </w:pPr>
            <w:r>
              <w:rPr>
                <w:color w:val="000000"/>
              </w:rPr>
              <w:t>%</w:t>
            </w:r>
          </w:p>
        </w:tc>
      </w:tr>
      <w:tr>
        <w:trPr/>
        <w:tc>
          <w:tcPr>
            <w:tcW w:w="2545"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Net interest margin(3)</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5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5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3.94</w:t>
            </w:r>
          </w:p>
        </w:tc>
        <w:tc>
          <w:tcPr>
            <w:tcW w:w="29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9" w:name="zbd1860db195f45cd98c879ef788bfcd7"/>
      <w:bookmarkStart w:id="200" w:name="zbd1860db195f45cd98c879ef788bfcd7"/>
      <w:bookmarkEnd w:id="200"/>
    </w:p>
    <w:tbl>
      <w:tblPr>
        <w:tblW w:w="7210" w:type="dxa"/>
        <w:jc w:val="left"/>
        <w:tblInd w:w="0" w:type="dxa"/>
        <w:tblLayout w:type="fixed"/>
        <w:tblCellMar>
          <w:top w:w="0" w:type="dxa"/>
          <w:left w:w="0" w:type="dxa"/>
          <w:bottom w:w="0" w:type="dxa"/>
          <w:right w:w="0" w:type="dxa"/>
        </w:tblCellMar>
      </w:tblPr>
      <w:tblGrid>
        <w:gridCol w:w="335"/>
        <w:gridCol w:w="6875"/>
      </w:tblGrid>
      <w:tr>
        <w:trPr/>
        <w:tc>
          <w:tcPr>
            <w:tcW w:w="335" w:type="dxa"/>
            <w:tcBorders/>
            <w:vAlign w:val="center"/>
          </w:tcPr>
          <w:p>
            <w:pPr>
              <w:pStyle w:val="TableContents"/>
              <w:bidi w:val="0"/>
              <w:spacing w:before="0" w:after="283"/>
              <w:jc w:val="left"/>
              <w:rPr>
                <w:color w:val="000000"/>
              </w:rPr>
            </w:pPr>
            <w:r>
              <w:rPr>
                <w:color w:val="000000"/>
              </w:rPr>
              <w:t>(1)</w:t>
            </w:r>
          </w:p>
        </w:tc>
        <w:tc>
          <w:tcPr>
            <w:tcW w:w="6875" w:type="dxa"/>
            <w:tcBorders/>
            <w:vAlign w:val="center"/>
          </w:tcPr>
          <w:p>
            <w:pPr>
              <w:pStyle w:val="TableContents"/>
              <w:bidi w:val="0"/>
              <w:spacing w:before="0" w:after="0"/>
              <w:jc w:val="left"/>
              <w:rPr>
                <w:color w:val="000000"/>
              </w:rPr>
            </w:pPr>
            <w:r>
              <w:rPr>
                <w:color w:val="000000"/>
              </w:rPr>
              <w:t>Average loan balances include nonaccrual loans and loans held for sale.</w:t>
            </w:r>
          </w:p>
        </w:tc>
      </w:tr>
    </w:tbl>
    <w:p>
      <w:pPr>
        <w:pStyle w:val="Normal"/>
        <w:bidi w:val="0"/>
        <w:spacing w:before="0" w:after="0"/>
        <w:jc w:val="left"/>
        <w:rPr>
          <w:sz w:val="4"/>
          <w:szCs w:val="4"/>
        </w:rPr>
      </w:pPr>
      <w:r>
        <w:rPr>
          <w:sz w:val="4"/>
          <w:szCs w:val="4"/>
        </w:rPr>
      </w:r>
      <w:bookmarkStart w:id="201" w:name="zad208e4640d742939ec915120ea8574b"/>
      <w:bookmarkStart w:id="202" w:name="zad208e4640d742939ec915120ea8574b"/>
      <w:bookmarkEnd w:id="202"/>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ind w:left="5" w:right="0" w:hanging="0"/>
              <w:jc w:val="left"/>
              <w:rPr>
                <w:color w:val="000000"/>
              </w:rPr>
            </w:pPr>
            <w:r>
              <w:rPr>
                <w:color w:val="000000"/>
              </w:rPr>
              <w:t>(2)</w:t>
            </w:r>
          </w:p>
        </w:tc>
        <w:tc>
          <w:tcPr>
            <w:tcW w:w="9904" w:type="dxa"/>
            <w:tcBorders/>
            <w:vAlign w:val="center"/>
          </w:tcPr>
          <w:p>
            <w:pPr>
              <w:pStyle w:val="TableContents"/>
              <w:bidi w:val="0"/>
              <w:spacing w:before="0" w:after="0"/>
              <w:ind w:left="5" w:right="0" w:hanging="0"/>
              <w:jc w:val="left"/>
              <w:rPr>
                <w:color w:val="000000"/>
              </w:rPr>
            </w:pPr>
            <w:r>
              <w:rPr>
                <w:color w:val="000000"/>
              </w:rPr>
              <w:t>Includes income and average balances for interest-earning deposits at other banks, nonmarketable securities, federal funds sold, and other miscellaneous interest-earning assets.</w:t>
            </w:r>
          </w:p>
        </w:tc>
      </w:tr>
    </w:tbl>
    <w:p>
      <w:pPr>
        <w:pStyle w:val="Normal"/>
        <w:bidi w:val="0"/>
        <w:spacing w:before="0" w:after="0"/>
        <w:jc w:val="left"/>
        <w:rPr>
          <w:sz w:val="4"/>
          <w:szCs w:val="4"/>
        </w:rPr>
      </w:pPr>
      <w:r>
        <w:rPr>
          <w:sz w:val="4"/>
          <w:szCs w:val="4"/>
        </w:rPr>
      </w:r>
      <w:bookmarkStart w:id="203" w:name="z6f2292edae784e1bad6067e865e5d150"/>
      <w:bookmarkStart w:id="204" w:name="z6f2292edae784e1bad6067e865e5d150"/>
      <w:bookmarkEnd w:id="204"/>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0"/>
              <w:ind w:left="5" w:right="0" w:hanging="0"/>
              <w:jc w:val="left"/>
              <w:rPr>
                <w:color w:val="000000"/>
              </w:rPr>
            </w:pPr>
            <w:r>
              <w:rPr>
                <w:color w:val="000000"/>
              </w:rPr>
              <w:t>(3)</w:t>
            </w:r>
          </w:p>
        </w:tc>
        <w:tc>
          <w:tcPr>
            <w:tcW w:w="9894" w:type="dxa"/>
            <w:tcBorders/>
            <w:vAlign w:val="center"/>
          </w:tcPr>
          <w:p>
            <w:pPr>
              <w:pStyle w:val="TableContents"/>
              <w:bidi w:val="0"/>
              <w:spacing w:before="0" w:after="0"/>
              <w:ind w:left="5" w:right="0" w:hanging="0"/>
              <w:jc w:val="left"/>
              <w:rPr>
                <w:color w:val="000000"/>
              </w:rPr>
            </w:pPr>
            <w:r>
              <w:rPr>
                <w:color w:val="000000"/>
              </w:rPr>
              <w:t>Net interest margin is calculated as the annualized net interest income, on a fully tax-equivalent basis, divided by average interest-earning assets.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5" w:name="zeab701eef8b146baa435eebd809fe2e4"/>
      <w:bookmarkStart w:id="206" w:name="zeab701eef8b146baa435eebd809fe2e4"/>
      <w:bookmarkEnd w:id="206"/>
    </w:p>
    <w:tbl>
      <w:tblPr>
        <w:tblW w:w="8218" w:type="dxa"/>
        <w:jc w:val="left"/>
        <w:tblInd w:w="0" w:type="dxa"/>
        <w:tblLayout w:type="fixed"/>
        <w:tblCellMar>
          <w:top w:w="0" w:type="dxa"/>
          <w:left w:w="0" w:type="dxa"/>
          <w:bottom w:w="0" w:type="dxa"/>
          <w:right w:w="0" w:type="dxa"/>
        </w:tblCellMar>
      </w:tblPr>
      <w:tblGrid>
        <w:gridCol w:w="4745"/>
        <w:gridCol w:w="90"/>
        <w:gridCol w:w="177"/>
        <w:gridCol w:w="740"/>
        <w:gridCol w:w="130"/>
        <w:gridCol w:w="93"/>
        <w:gridCol w:w="177"/>
        <w:gridCol w:w="693"/>
        <w:gridCol w:w="130"/>
        <w:gridCol w:w="93"/>
        <w:gridCol w:w="189"/>
        <w:gridCol w:w="791"/>
        <w:gridCol w:w="170"/>
      </w:tblGrid>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3213"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3213"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 over 2025</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01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 due to:</w:t>
            </w:r>
          </w:p>
        </w:tc>
        <w:tc>
          <w:tcPr>
            <w:tcW w:w="13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917"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Volume</w:t>
            </w:r>
          </w:p>
        </w:tc>
        <w:tc>
          <w:tcPr>
            <w:tcW w:w="130"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87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Rate</w:t>
            </w:r>
          </w:p>
        </w:tc>
        <w:tc>
          <w:tcPr>
            <w:tcW w:w="130"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Variance</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3213" w:type="dxa"/>
            <w:gridSpan w:val="10"/>
            <w:tcBorders/>
            <w:vAlign w:val="bottom"/>
          </w:tcPr>
          <w:p>
            <w:pPr>
              <w:pStyle w:val="TableContents"/>
              <w:bidi w:val="0"/>
              <w:spacing w:before="0" w:after="0"/>
              <w:jc w:val="center"/>
              <w:rPr>
                <w:b/>
                <w:color w:val="000000"/>
              </w:rPr>
            </w:pPr>
            <w:r>
              <w:rPr>
                <w:b/>
                <w:color w:val="000000"/>
              </w:rPr>
              <w:t>(Dollars in thousands)</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b/>
                <w:color w:val="000000"/>
              </w:rPr>
            </w:pPr>
            <w:r>
              <w:rPr>
                <w:b/>
                <w:color w:val="000000"/>
              </w:rPr>
              <w:t>Interest-earning assets:</w:t>
            </w:r>
          </w:p>
        </w:tc>
        <w:tc>
          <w:tcPr>
            <w:tcW w:w="90"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0" w:type="dxa"/>
            <w:gridSpan w:val="2"/>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360" w:right="0" w:hanging="180"/>
              <w:jc w:val="left"/>
              <w:rPr>
                <w:color w:val="000000"/>
              </w:rPr>
            </w:pPr>
            <w:r>
              <w:rPr>
                <w:color w:val="000000"/>
              </w:rPr>
              <w:t>Loans</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740" w:type="dxa"/>
            <w:tcBorders/>
            <w:shd w:fill="CCEEFF" w:val="clear"/>
            <w:vAlign w:val="bottom"/>
          </w:tcPr>
          <w:p>
            <w:pPr>
              <w:pStyle w:val="TableContents"/>
              <w:bidi w:val="0"/>
              <w:spacing w:before="0" w:after="0"/>
              <w:jc w:val="right"/>
              <w:rPr>
                <w:color w:val="000000"/>
              </w:rPr>
            </w:pPr>
            <w:r>
              <w:rPr>
                <w:color w:val="000000"/>
              </w:rPr>
              <w:t>11,896</w:t>
            </w:r>
          </w:p>
        </w:tc>
        <w:tc>
          <w:tcPr>
            <w:tcW w:w="13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693" w:type="dxa"/>
            <w:tcBorders/>
            <w:shd w:fill="CCEEFF" w:val="clear"/>
            <w:vAlign w:val="bottom"/>
          </w:tcPr>
          <w:p>
            <w:pPr>
              <w:pStyle w:val="TableContents"/>
              <w:bidi w:val="0"/>
              <w:spacing w:before="0" w:after="0"/>
              <w:jc w:val="right"/>
              <w:rPr>
                <w:color w:val="000000"/>
              </w:rPr>
            </w:pPr>
            <w:r>
              <w:rPr>
                <w:color w:val="000000"/>
              </w:rPr>
              <w:t>(1,677</w:t>
            </w:r>
          </w:p>
        </w:tc>
        <w:tc>
          <w:tcPr>
            <w:tcW w:w="130"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0"/>
              <w:jc w:val="left"/>
              <w:rPr>
                <w:color w:val="000000"/>
              </w:rPr>
            </w:pPr>
            <w:r>
              <w:rPr>
                <w:color w:val="000000"/>
              </w:rPr>
              <w:t>$</w:t>
            </w:r>
          </w:p>
        </w:tc>
        <w:tc>
          <w:tcPr>
            <w:tcW w:w="791" w:type="dxa"/>
            <w:tcBorders/>
            <w:shd w:fill="CCEEFF" w:val="clear"/>
            <w:vAlign w:val="bottom"/>
          </w:tcPr>
          <w:p>
            <w:pPr>
              <w:pStyle w:val="TableContents"/>
              <w:bidi w:val="0"/>
              <w:spacing w:before="0" w:after="0"/>
              <w:jc w:val="right"/>
              <w:rPr>
                <w:color w:val="000000"/>
              </w:rPr>
            </w:pPr>
            <w:r>
              <w:rPr>
                <w:color w:val="000000"/>
              </w:rPr>
              <w:t>10,219</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360" w:right="0" w:hanging="180"/>
              <w:jc w:val="left"/>
              <w:rPr>
                <w:color w:val="000000"/>
              </w:rPr>
            </w:pPr>
            <w:r>
              <w:rPr>
                <w:color w:val="000000"/>
              </w:rPr>
              <w:t>Investment securities – taxable</w:t>
            </w:r>
          </w:p>
        </w:tc>
        <w:tc>
          <w:tcPr>
            <w:tcW w:w="9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(243</w:t>
            </w:r>
          </w:p>
        </w:tc>
        <w:tc>
          <w:tcPr>
            <w:tcW w:w="130" w:type="dxa"/>
            <w:tcBorders/>
            <w:vAlign w:val="bottom"/>
          </w:tcPr>
          <w:p>
            <w:pPr>
              <w:pStyle w:val="TableContents"/>
              <w:bidi w:val="0"/>
              <w:spacing w:before="0" w:after="0"/>
              <w:jc w:val="left"/>
              <w:rPr>
                <w:color w:val="000000"/>
              </w:rPr>
            </w:pPr>
            <w:r>
              <w:rPr>
                <w:color w:val="000000"/>
              </w:rPr>
              <w:t>)</w:t>
            </w:r>
          </w:p>
        </w:tc>
        <w:tc>
          <w:tcPr>
            <w:tcW w:w="9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0"/>
              <w:jc w:val="right"/>
              <w:rPr>
                <w:color w:val="000000"/>
              </w:rPr>
            </w:pPr>
            <w:r>
              <w:rPr>
                <w:color w:val="000000"/>
              </w:rPr>
              <w:t>(219</w:t>
            </w:r>
          </w:p>
        </w:tc>
        <w:tc>
          <w:tcPr>
            <w:tcW w:w="130" w:type="dxa"/>
            <w:tcBorders/>
            <w:vAlign w:val="bottom"/>
          </w:tcPr>
          <w:p>
            <w:pPr>
              <w:pStyle w:val="TableContents"/>
              <w:bidi w:val="0"/>
              <w:spacing w:before="0" w:after="0"/>
              <w:jc w:val="left"/>
              <w:rPr>
                <w:color w:val="000000"/>
              </w:rPr>
            </w:pPr>
            <w:r>
              <w:rPr>
                <w:color w:val="000000"/>
              </w:rPr>
              <w:t>)</w:t>
            </w:r>
          </w:p>
        </w:tc>
        <w:tc>
          <w:tcPr>
            <w:tcW w:w="9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color w:val="000000"/>
              </w:rPr>
            </w:pPr>
            <w:r>
              <w:rPr>
                <w:color w:val="000000"/>
              </w:rPr>
              <w:t>(462</w:t>
            </w:r>
          </w:p>
        </w:tc>
        <w:tc>
          <w:tcPr>
            <w:tcW w:w="170" w:type="dxa"/>
            <w:tcBorders/>
            <w:vAlign w:val="bottom"/>
          </w:tcPr>
          <w:p>
            <w:pPr>
              <w:pStyle w:val="TableContents"/>
              <w:bidi w:val="0"/>
              <w:spacing w:before="0" w:after="0"/>
              <w:jc w:val="left"/>
              <w:rPr>
                <w:color w:val="000000"/>
              </w:rPr>
            </w:pPr>
            <w:r>
              <w:rPr>
                <w:color w:val="000000"/>
              </w:rPr>
              <w:t>)</w:t>
            </w:r>
          </w:p>
        </w:tc>
      </w:tr>
      <w:tr>
        <w:trPr/>
        <w:tc>
          <w:tcPr>
            <w:tcW w:w="4745" w:type="dxa"/>
            <w:tcBorders/>
            <w:shd w:fill="CCEEFF" w:val="clear"/>
            <w:vAlign w:val="bottom"/>
          </w:tcPr>
          <w:p>
            <w:pPr>
              <w:pStyle w:val="TableContents"/>
              <w:bidi w:val="0"/>
              <w:spacing w:before="0" w:after="0"/>
              <w:ind w:left="360" w:right="0" w:hanging="180"/>
              <w:jc w:val="left"/>
              <w:rPr>
                <w:color w:val="000000"/>
              </w:rPr>
            </w:pPr>
            <w:r>
              <w:rPr>
                <w:color w:val="000000"/>
              </w:rPr>
              <w:t>Investment securities – non-taxable</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w:t>
            </w:r>
          </w:p>
        </w:tc>
        <w:tc>
          <w:tcPr>
            <w:tcW w:w="13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0"/>
              <w:jc w:val="right"/>
              <w:rPr>
                <w:color w:val="000000"/>
              </w:rPr>
            </w:pPr>
            <w:r>
              <w:rPr>
                <w:color w:val="000000"/>
              </w:rPr>
              <w:t>61</w:t>
            </w:r>
          </w:p>
        </w:tc>
        <w:tc>
          <w:tcPr>
            <w:tcW w:w="13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color w:val="000000"/>
              </w:rPr>
            </w:pPr>
            <w:r>
              <w:rPr>
                <w:color w:val="000000"/>
              </w:rPr>
              <w:t>62</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360" w:right="0" w:hanging="180"/>
              <w:jc w:val="left"/>
              <w:rPr>
                <w:color w:val="000000"/>
              </w:rPr>
            </w:pPr>
            <w:r>
              <w:rPr>
                <w:color w:val="000000"/>
              </w:rPr>
              <w:t>Other interest-earning assets</w:t>
            </w:r>
          </w:p>
        </w:tc>
        <w:tc>
          <w:tcPr>
            <w:tcW w:w="90"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2,115</w:t>
            </w:r>
          </w:p>
        </w:tc>
        <w:tc>
          <w:tcPr>
            <w:tcW w:w="13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6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(1,054</w:t>
            </w:r>
          </w:p>
        </w:tc>
        <w:tc>
          <w:tcPr>
            <w:tcW w:w="130" w:type="dxa"/>
            <w:tcBorders/>
            <w:vAlign w:val="bottom"/>
          </w:tcPr>
          <w:p>
            <w:pPr>
              <w:pStyle w:val="TableContents"/>
              <w:bidi w:val="0"/>
              <w:spacing w:before="0" w:after="0"/>
              <w:jc w:val="left"/>
              <w:rPr>
                <w:color w:val="000000"/>
              </w:rPr>
            </w:pPr>
            <w:r>
              <w:rPr>
                <w:color w:val="000000"/>
              </w:rPr>
              <w:t>)</w:t>
            </w:r>
          </w:p>
        </w:tc>
        <w:tc>
          <w:tcPr>
            <w:tcW w:w="93" w:type="dxa"/>
            <w:tcBorders/>
            <w:vAlign w:val="bottom"/>
          </w:tcPr>
          <w:p>
            <w:pPr>
              <w:pStyle w:val="TableContents"/>
              <w:bidi w:val="0"/>
              <w:spacing w:before="0" w:after="283"/>
              <w:jc w:val="lef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1,061</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540" w:right="0" w:hanging="180"/>
              <w:jc w:val="left"/>
              <w:rPr>
                <w:color w:val="000000"/>
              </w:rPr>
            </w:pPr>
            <w:r>
              <w:rPr>
                <w:color w:val="000000"/>
              </w:rPr>
              <w:t>Total interest-earning assets</w:t>
            </w:r>
          </w:p>
        </w:tc>
        <w:tc>
          <w:tcPr>
            <w:tcW w:w="9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13,769</w:t>
            </w:r>
          </w:p>
        </w:tc>
        <w:tc>
          <w:tcPr>
            <w:tcW w:w="13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(2,889</w:t>
            </w:r>
          </w:p>
        </w:tc>
        <w:tc>
          <w:tcPr>
            <w:tcW w:w="130"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10,880</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180" w:right="0" w:hanging="180"/>
              <w:jc w:val="left"/>
              <w:rPr>
                <w:b/>
                <w:color w:val="000000"/>
              </w:rPr>
            </w:pPr>
            <w:r>
              <w:rPr>
                <w:b/>
                <w:color w:val="000000"/>
              </w:rPr>
              <w:t>Interest-bearing liabilities:</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360" w:right="0" w:hanging="180"/>
              <w:jc w:val="left"/>
              <w:rPr>
                <w:color w:val="000000"/>
              </w:rPr>
            </w:pPr>
            <w:r>
              <w:rPr>
                <w:color w:val="000000"/>
              </w:rPr>
              <w:t>NOW, Savings, MMDAs</w:t>
            </w:r>
          </w:p>
        </w:tc>
        <w:tc>
          <w:tcPr>
            <w:tcW w:w="9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3,722</w:t>
            </w:r>
          </w:p>
        </w:tc>
        <w:tc>
          <w:tcPr>
            <w:tcW w:w="13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0"/>
              <w:jc w:val="right"/>
              <w:rPr>
                <w:color w:val="000000"/>
              </w:rPr>
            </w:pPr>
            <w:r>
              <w:rPr>
                <w:color w:val="000000"/>
              </w:rPr>
              <w:t>(1,259</w:t>
            </w:r>
          </w:p>
        </w:tc>
        <w:tc>
          <w:tcPr>
            <w:tcW w:w="130" w:type="dxa"/>
            <w:tcBorders/>
            <w:vAlign w:val="bottom"/>
          </w:tcPr>
          <w:p>
            <w:pPr>
              <w:pStyle w:val="TableContents"/>
              <w:bidi w:val="0"/>
              <w:spacing w:before="0" w:after="0"/>
              <w:jc w:val="left"/>
              <w:rPr>
                <w:color w:val="000000"/>
              </w:rPr>
            </w:pPr>
            <w:r>
              <w:rPr>
                <w:color w:val="000000"/>
              </w:rPr>
              <w:t>)</w:t>
            </w:r>
          </w:p>
        </w:tc>
        <w:tc>
          <w:tcPr>
            <w:tcW w:w="9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color w:val="000000"/>
              </w:rPr>
            </w:pPr>
            <w:r>
              <w:rPr>
                <w:color w:val="000000"/>
              </w:rPr>
              <w:t>2,463</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360" w:right="0" w:hanging="180"/>
              <w:jc w:val="left"/>
              <w:rPr>
                <w:color w:val="000000"/>
              </w:rPr>
            </w:pPr>
            <w:r>
              <w:rPr>
                <w:color w:val="000000"/>
              </w:rPr>
              <w:t>Time deposits</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1,561</w:t>
            </w:r>
          </w:p>
        </w:tc>
        <w:tc>
          <w:tcPr>
            <w:tcW w:w="13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0"/>
              <w:jc w:val="right"/>
              <w:rPr>
                <w:color w:val="000000"/>
              </w:rPr>
            </w:pPr>
            <w:r>
              <w:rPr>
                <w:color w:val="000000"/>
              </w:rPr>
              <w:t>(370</w:t>
            </w:r>
          </w:p>
        </w:tc>
        <w:tc>
          <w:tcPr>
            <w:tcW w:w="130"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color w:val="000000"/>
              </w:rPr>
            </w:pPr>
            <w:r>
              <w:rPr>
                <w:color w:val="000000"/>
              </w:rPr>
              <w:t>1,191</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360" w:right="0" w:hanging="180"/>
              <w:jc w:val="left"/>
              <w:rPr>
                <w:color w:val="000000"/>
              </w:rPr>
            </w:pPr>
            <w:r>
              <w:rPr>
                <w:color w:val="000000"/>
              </w:rPr>
              <w:t>Short-term borrowings</w:t>
            </w:r>
          </w:p>
        </w:tc>
        <w:tc>
          <w:tcPr>
            <w:tcW w:w="9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0"/>
              <w:jc w:val="right"/>
              <w:rPr>
                <w:color w:val="000000"/>
              </w:rPr>
            </w:pPr>
            <w:r>
              <w:rPr>
                <w:color w:val="000000"/>
              </w:rPr>
              <w:t>-</w:t>
            </w:r>
          </w:p>
        </w:tc>
        <w:tc>
          <w:tcPr>
            <w:tcW w:w="13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0"/>
              <w:jc w:val="right"/>
              <w:rPr>
                <w:color w:val="000000"/>
              </w:rPr>
            </w:pPr>
            <w:r>
              <w:rPr>
                <w:color w:val="000000"/>
              </w:rPr>
              <w:t>38</w:t>
            </w:r>
          </w:p>
        </w:tc>
        <w:tc>
          <w:tcPr>
            <w:tcW w:w="13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color w:val="000000"/>
              </w:rPr>
            </w:pPr>
            <w:r>
              <w:rPr>
                <w:color w:val="000000"/>
              </w:rPr>
              <w:t>38</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360" w:right="0" w:hanging="180"/>
              <w:jc w:val="left"/>
              <w:rPr>
                <w:color w:val="000000"/>
              </w:rPr>
            </w:pPr>
            <w:r>
              <w:rPr>
                <w:color w:val="000000"/>
              </w:rPr>
              <w:t>Subordinated debt</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0"/>
              <w:jc w:val="right"/>
              <w:rPr>
                <w:color w:val="000000"/>
              </w:rPr>
            </w:pPr>
            <w:r>
              <w:rPr>
                <w:color w:val="000000"/>
              </w:rPr>
              <w:t>(651</w:t>
            </w:r>
          </w:p>
        </w:tc>
        <w:tc>
          <w:tcPr>
            <w:tcW w:w="130"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0"/>
              <w:jc w:val="right"/>
              <w:rPr>
                <w:color w:val="000000"/>
              </w:rPr>
            </w:pPr>
            <w:r>
              <w:rPr>
                <w:color w:val="000000"/>
              </w:rPr>
              <w:t>54</w:t>
            </w:r>
          </w:p>
        </w:tc>
        <w:tc>
          <w:tcPr>
            <w:tcW w:w="13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color w:val="000000"/>
              </w:rPr>
            </w:pPr>
            <w:r>
              <w:rPr>
                <w:color w:val="000000"/>
              </w:rPr>
              <w:t>(597</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4745" w:type="dxa"/>
            <w:tcBorders/>
            <w:vAlign w:val="bottom"/>
          </w:tcPr>
          <w:p>
            <w:pPr>
              <w:pStyle w:val="TableContents"/>
              <w:bidi w:val="0"/>
              <w:spacing w:before="0" w:after="0"/>
              <w:ind w:left="360" w:right="0" w:hanging="180"/>
              <w:jc w:val="left"/>
              <w:rPr>
                <w:color w:val="000000"/>
              </w:rPr>
            </w:pPr>
            <w:r>
              <w:rPr>
                <w:color w:val="000000"/>
              </w:rPr>
              <w:t>Junior subordinated deferrable interest debentures</w:t>
            </w:r>
          </w:p>
        </w:tc>
        <w:tc>
          <w:tcPr>
            <w:tcW w:w="90"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3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6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(73</w:t>
            </w:r>
          </w:p>
        </w:tc>
        <w:tc>
          <w:tcPr>
            <w:tcW w:w="130" w:type="dxa"/>
            <w:tcBorders/>
            <w:vAlign w:val="bottom"/>
          </w:tcPr>
          <w:p>
            <w:pPr>
              <w:pStyle w:val="TableContents"/>
              <w:bidi w:val="0"/>
              <w:spacing w:before="0" w:after="0"/>
              <w:jc w:val="left"/>
              <w:rPr>
                <w:color w:val="000000"/>
              </w:rPr>
            </w:pPr>
            <w:r>
              <w:rPr>
                <w:color w:val="000000"/>
              </w:rPr>
              <w:t>)</w:t>
            </w:r>
          </w:p>
        </w:tc>
        <w:tc>
          <w:tcPr>
            <w:tcW w:w="93" w:type="dxa"/>
            <w:tcBorders/>
            <w:vAlign w:val="bottom"/>
          </w:tcPr>
          <w:p>
            <w:pPr>
              <w:pStyle w:val="TableContents"/>
              <w:bidi w:val="0"/>
              <w:spacing w:before="0" w:after="283"/>
              <w:jc w:val="lef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(73</w:t>
            </w:r>
          </w:p>
        </w:tc>
        <w:tc>
          <w:tcPr>
            <w:tcW w:w="170" w:type="dxa"/>
            <w:tcBorders/>
            <w:vAlign w:val="bottom"/>
          </w:tcPr>
          <w:p>
            <w:pPr>
              <w:pStyle w:val="TableContents"/>
              <w:bidi w:val="0"/>
              <w:spacing w:before="0" w:after="0"/>
              <w:jc w:val="left"/>
              <w:rPr>
                <w:color w:val="000000"/>
              </w:rPr>
            </w:pPr>
            <w:r>
              <w:rPr>
                <w:color w:val="000000"/>
              </w:rPr>
              <w:t>)</w:t>
            </w:r>
          </w:p>
        </w:tc>
      </w:tr>
      <w:tr>
        <w:trPr/>
        <w:tc>
          <w:tcPr>
            <w:tcW w:w="4745" w:type="dxa"/>
            <w:tcBorders/>
            <w:shd w:fill="CCEEFF" w:val="clear"/>
            <w:vAlign w:val="bottom"/>
          </w:tcPr>
          <w:p>
            <w:pPr>
              <w:pStyle w:val="TableContents"/>
              <w:bidi w:val="0"/>
              <w:spacing w:before="0" w:after="0"/>
              <w:ind w:left="540" w:right="0" w:hanging="180"/>
              <w:jc w:val="left"/>
              <w:rPr>
                <w:color w:val="000000"/>
              </w:rPr>
            </w:pPr>
            <w:r>
              <w:rPr>
                <w:color w:val="000000"/>
              </w:rPr>
              <w:t>Total interest-bearing liabilities</w:t>
            </w:r>
          </w:p>
        </w:tc>
        <w:tc>
          <w:tcPr>
            <w:tcW w:w="9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4,632</w:t>
            </w:r>
          </w:p>
        </w:tc>
        <w:tc>
          <w:tcPr>
            <w:tcW w:w="13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(1,610</w:t>
            </w:r>
          </w:p>
        </w:tc>
        <w:tc>
          <w:tcPr>
            <w:tcW w:w="130"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3,022</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 </w:t>
            </w:r>
          </w:p>
        </w:tc>
        <w:tc>
          <w:tcPr>
            <w:tcW w:w="13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180" w:right="0" w:hanging="180"/>
              <w:jc w:val="left"/>
              <w:rPr>
                <w:color w:val="000000"/>
              </w:rPr>
            </w:pPr>
            <w:r>
              <w:rPr>
                <w:color w:val="000000"/>
              </w:rPr>
              <w:t>Net change</w:t>
            </w:r>
          </w:p>
        </w:tc>
        <w:tc>
          <w:tcPr>
            <w:tcW w:w="90" w:type="dxa"/>
            <w:tcBorders/>
            <w:shd w:fill="CCEEFF" w:val="clear"/>
            <w:vAlign w:val="bottom"/>
          </w:tcPr>
          <w:p>
            <w:pPr>
              <w:pStyle w:val="TableContents"/>
              <w:bidi w:val="0"/>
              <w:spacing w:before="0" w:after="283"/>
              <w:jc w:val="lef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9,137</w:t>
            </w:r>
          </w:p>
        </w:tc>
        <w:tc>
          <w:tcPr>
            <w:tcW w:w="13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9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(1,279</w:t>
            </w:r>
          </w:p>
        </w:tc>
        <w:tc>
          <w:tcPr>
            <w:tcW w:w="130"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18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7,858</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7" w:name="zbe474717b91c498fbac9f706ba9f171f"/>
      <w:bookmarkStart w:id="208" w:name="zbe474717b91c498fbac9f706ba9f171f"/>
      <w:bookmarkEnd w:id="208"/>
    </w:p>
    <w:tbl>
      <w:tblPr>
        <w:tblW w:w="8130" w:type="dxa"/>
        <w:jc w:val="left"/>
        <w:tblInd w:w="0" w:type="dxa"/>
        <w:tblLayout w:type="fixed"/>
        <w:tblCellMar>
          <w:top w:w="0" w:type="dxa"/>
          <w:left w:w="0" w:type="dxa"/>
          <w:bottom w:w="0" w:type="dxa"/>
          <w:right w:w="0" w:type="dxa"/>
        </w:tblCellMar>
      </w:tblPr>
      <w:tblGrid>
        <w:gridCol w:w="4745"/>
        <w:gridCol w:w="90"/>
        <w:gridCol w:w="170"/>
        <w:gridCol w:w="710"/>
        <w:gridCol w:w="125"/>
        <w:gridCol w:w="90"/>
        <w:gridCol w:w="170"/>
        <w:gridCol w:w="665"/>
        <w:gridCol w:w="125"/>
        <w:gridCol w:w="90"/>
        <w:gridCol w:w="189"/>
        <w:gridCol w:w="791"/>
        <w:gridCol w:w="170"/>
      </w:tblGrid>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312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312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 over 2025</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93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 due to:</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Volume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Rate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Variance</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3125" w:type="dxa"/>
            <w:gridSpan w:val="10"/>
            <w:tcBorders/>
            <w:vAlign w:val="bottom"/>
          </w:tcPr>
          <w:p>
            <w:pPr>
              <w:pStyle w:val="TableContents"/>
              <w:bidi w:val="0"/>
              <w:spacing w:before="0" w:after="0"/>
              <w:jc w:val="center"/>
              <w:rPr>
                <w:b/>
                <w:color w:val="000000"/>
              </w:rPr>
            </w:pPr>
            <w:r>
              <w:rPr>
                <w:b/>
                <w:color w:val="000000"/>
              </w:rPr>
              <w:t>(Dollars in thousands)</w:t>
            </w:r>
          </w:p>
        </w:tc>
        <w:tc>
          <w:tcPr>
            <w:tcW w:w="170"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b/>
                <w:color w:val="000000"/>
              </w:rPr>
            </w:pPr>
            <w:r>
              <w:rPr>
                <w:b/>
                <w:color w:val="000000"/>
              </w:rPr>
              <w:t>Interest-earning assets:</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360" w:right="0" w:hanging="180"/>
              <w:jc w:val="left"/>
              <w:rPr>
                <w:color w:val="000000"/>
              </w:rPr>
            </w:pPr>
            <w:r>
              <w:rPr>
                <w:color w:val="000000"/>
              </w:rPr>
              <w:t>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12,508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665" w:type="dxa"/>
            <w:tcBorders/>
            <w:shd w:fill="CCEEFF" w:val="clear"/>
            <w:vAlign w:val="bottom"/>
          </w:tcPr>
          <w:p>
            <w:pPr>
              <w:pStyle w:val="TableContents"/>
              <w:bidi w:val="0"/>
              <w:spacing w:before="0" w:after="0"/>
              <w:jc w:val="right"/>
              <w:rPr>
                <w:color w:val="000000"/>
              </w:rPr>
            </w:pPr>
            <w:r>
              <w:rPr>
                <w:color w:val="000000"/>
              </w:rPr>
              <w:t>(182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0"/>
              <w:jc w:val="left"/>
              <w:rPr>
                <w:color w:val="000000"/>
              </w:rPr>
            </w:pPr>
            <w:r>
              <w:rPr>
                <w:color w:val="000000"/>
              </w:rPr>
              <w:t>$</w:t>
            </w:r>
          </w:p>
        </w:tc>
        <w:tc>
          <w:tcPr>
            <w:tcW w:w="791" w:type="dxa"/>
            <w:tcBorders/>
            <w:shd w:fill="CCEEFF" w:val="clear"/>
            <w:vAlign w:val="bottom"/>
          </w:tcPr>
          <w:p>
            <w:pPr>
              <w:pStyle w:val="TableContents"/>
              <w:bidi w:val="0"/>
              <w:spacing w:before="0" w:after="0"/>
              <w:jc w:val="right"/>
              <w:rPr>
                <w:color w:val="000000"/>
              </w:rPr>
            </w:pPr>
            <w:r>
              <w:rPr>
                <w:color w:val="000000"/>
              </w:rPr>
              <w:t>12,326</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360" w:right="0" w:hanging="180"/>
              <w:jc w:val="left"/>
              <w:rPr>
                <w:color w:val="000000"/>
              </w:rPr>
            </w:pPr>
            <w:r>
              <w:rPr>
                <w:color w:val="000000"/>
              </w:rPr>
              <w:t>Investment securities – taxable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(429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color w:val="000000"/>
              </w:rPr>
            </w:pPr>
            <w:r>
              <w:rPr>
                <w:color w:val="000000"/>
              </w:rPr>
              <w:t>(440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color w:val="000000"/>
              </w:rPr>
            </w:pPr>
            <w:r>
              <w:rPr>
                <w:color w:val="000000"/>
              </w:rPr>
              <w:t>(869</w:t>
            </w:r>
          </w:p>
        </w:tc>
        <w:tc>
          <w:tcPr>
            <w:tcW w:w="170" w:type="dxa"/>
            <w:tcBorders/>
            <w:vAlign w:val="bottom"/>
          </w:tcPr>
          <w:p>
            <w:pPr>
              <w:pStyle w:val="TableContents"/>
              <w:bidi w:val="0"/>
              <w:spacing w:before="0" w:after="0"/>
              <w:jc w:val="left"/>
              <w:rPr>
                <w:color w:val="000000"/>
              </w:rPr>
            </w:pPr>
            <w:r>
              <w:rPr>
                <w:color w:val="000000"/>
              </w:rPr>
              <w:t>)</w:t>
            </w:r>
          </w:p>
        </w:tc>
      </w:tr>
      <w:tr>
        <w:trPr/>
        <w:tc>
          <w:tcPr>
            <w:tcW w:w="4745" w:type="dxa"/>
            <w:tcBorders/>
            <w:shd w:fill="CCEEFF" w:val="clear"/>
            <w:vAlign w:val="bottom"/>
          </w:tcPr>
          <w:p>
            <w:pPr>
              <w:pStyle w:val="TableContents"/>
              <w:bidi w:val="0"/>
              <w:spacing w:before="0" w:after="0"/>
              <w:ind w:left="360" w:right="0" w:hanging="180"/>
              <w:jc w:val="left"/>
              <w:rPr>
                <w:color w:val="000000"/>
              </w:rPr>
            </w:pPr>
            <w:r>
              <w:rPr>
                <w:color w:val="000000"/>
              </w:rPr>
              <w:t>Investment securities – non-taxable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color w:val="000000"/>
              </w:rPr>
            </w:pPr>
            <w:r>
              <w:rPr>
                <w:color w:val="000000"/>
              </w:rPr>
              <w:t>126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color w:val="000000"/>
              </w:rPr>
            </w:pPr>
            <w:r>
              <w:rPr>
                <w:color w:val="000000"/>
              </w:rPr>
              <w:t>128</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360" w:right="0" w:hanging="180"/>
              <w:jc w:val="left"/>
              <w:rPr>
                <w:color w:val="000000"/>
              </w:rPr>
            </w:pPr>
            <w:r>
              <w:rPr>
                <w:color w:val="000000"/>
              </w:rPr>
              <w:t>Other interest-earning assets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3,806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(1,787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2,019</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540" w:right="0" w:hanging="180"/>
              <w:jc w:val="left"/>
              <w:rPr>
                <w:color w:val="000000"/>
              </w:rPr>
            </w:pPr>
            <w:r>
              <w:rPr>
                <w:color w:val="000000"/>
              </w:rPr>
              <w:t>Total interest-earning assets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15,887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(2,283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13,604</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180" w:right="0" w:hanging="180"/>
              <w:jc w:val="left"/>
              <w:rPr>
                <w:b/>
                <w:color w:val="000000"/>
              </w:rPr>
            </w:pPr>
            <w:r>
              <w:rPr>
                <w:b/>
                <w:color w:val="000000"/>
              </w:rPr>
              <w:t>Interest-bearing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360" w:right="0" w:hanging="180"/>
              <w:jc w:val="left"/>
              <w:rPr>
                <w:color w:val="000000"/>
              </w:rPr>
            </w:pPr>
            <w:r>
              <w:rPr>
                <w:color w:val="000000"/>
              </w:rPr>
              <w:t>NOW, Savings, MMDAs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4,817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color w:val="000000"/>
              </w:rPr>
            </w:pPr>
            <w:r>
              <w:rPr>
                <w:color w:val="000000"/>
              </w:rPr>
              <w:t>(2,811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color w:val="000000"/>
              </w:rPr>
            </w:pPr>
            <w:r>
              <w:rPr>
                <w:color w:val="000000"/>
              </w:rPr>
              <w:t>2,006</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360" w:right="0" w:hanging="180"/>
              <w:jc w:val="left"/>
              <w:rPr>
                <w:color w:val="000000"/>
              </w:rPr>
            </w:pPr>
            <w:r>
              <w:rPr>
                <w:color w:val="000000"/>
              </w:rPr>
              <w:t>Time 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1,531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color w:val="000000"/>
              </w:rPr>
            </w:pPr>
            <w:r>
              <w:rPr>
                <w:color w:val="000000"/>
              </w:rPr>
              <w:t>(832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color w:val="000000"/>
              </w:rPr>
            </w:pPr>
            <w:r>
              <w:rPr>
                <w:color w:val="000000"/>
              </w:rPr>
              <w:t>699</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360" w:right="0" w:hanging="180"/>
              <w:jc w:val="left"/>
              <w:rPr>
                <w:color w:val="000000"/>
              </w:rPr>
            </w:pPr>
            <w:r>
              <w:rPr>
                <w:color w:val="000000"/>
              </w:rPr>
              <w:t>Short-term borrowings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color w:val="000000"/>
              </w:rPr>
            </w:pPr>
            <w:r>
              <w:rPr>
                <w:color w:val="000000"/>
              </w:rPr>
              <w:t>38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0"/>
              <w:jc w:val="right"/>
              <w:rPr>
                <w:color w:val="000000"/>
              </w:rPr>
            </w:pPr>
            <w:r>
              <w:rPr>
                <w:color w:val="000000"/>
              </w:rPr>
              <w:t>38</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360" w:right="0" w:hanging="180"/>
              <w:jc w:val="left"/>
              <w:rPr>
                <w:color w:val="000000"/>
              </w:rPr>
            </w:pPr>
            <w:r>
              <w:rPr>
                <w:color w:val="000000"/>
              </w:rPr>
              <w:t>Subordinated debt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(1,302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color w:val="000000"/>
              </w:rPr>
            </w:pPr>
            <w:r>
              <w:rPr>
                <w:color w:val="000000"/>
              </w:rPr>
              <w:t>113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0"/>
              <w:jc w:val="right"/>
              <w:rPr>
                <w:color w:val="000000"/>
              </w:rPr>
            </w:pPr>
            <w:r>
              <w:rPr>
                <w:color w:val="000000"/>
              </w:rPr>
              <w:t>(1,189</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4745" w:type="dxa"/>
            <w:tcBorders/>
            <w:vAlign w:val="bottom"/>
          </w:tcPr>
          <w:p>
            <w:pPr>
              <w:pStyle w:val="TableContents"/>
              <w:bidi w:val="0"/>
              <w:spacing w:before="0" w:after="0"/>
              <w:ind w:left="360" w:right="0" w:hanging="180"/>
              <w:jc w:val="left"/>
              <w:rPr>
                <w:color w:val="000000"/>
              </w:rPr>
            </w:pPr>
            <w:r>
              <w:rPr>
                <w:color w:val="000000"/>
              </w:rPr>
              <w:t>Junior subordinated deferrable interest debentures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(147</w:t>
            </w:r>
          </w:p>
        </w:tc>
        <w:tc>
          <w:tcPr>
            <w:tcW w:w="170" w:type="dxa"/>
            <w:tcBorders/>
            <w:vAlign w:val="bottom"/>
          </w:tcPr>
          <w:p>
            <w:pPr>
              <w:pStyle w:val="TableContents"/>
              <w:bidi w:val="0"/>
              <w:spacing w:before="0" w:after="0"/>
              <w:jc w:val="left"/>
              <w:rPr>
                <w:color w:val="000000"/>
              </w:rPr>
            </w:pPr>
            <w:r>
              <w:rPr>
                <w:color w:val="000000"/>
              </w:rPr>
              <w:t>)</w:t>
            </w:r>
          </w:p>
        </w:tc>
      </w:tr>
      <w:tr>
        <w:trPr/>
        <w:tc>
          <w:tcPr>
            <w:tcW w:w="4745" w:type="dxa"/>
            <w:tcBorders/>
            <w:shd w:fill="CCEEFF" w:val="clear"/>
            <w:vAlign w:val="bottom"/>
          </w:tcPr>
          <w:p>
            <w:pPr>
              <w:pStyle w:val="TableContents"/>
              <w:bidi w:val="0"/>
              <w:spacing w:before="0" w:after="0"/>
              <w:ind w:left="540" w:right="0" w:hanging="180"/>
              <w:jc w:val="left"/>
              <w:rPr>
                <w:color w:val="000000"/>
              </w:rPr>
            </w:pPr>
            <w:r>
              <w:rPr>
                <w:color w:val="000000"/>
              </w:rPr>
              <w:t>Total interest-bearing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5,046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(3,639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1,407</w:t>
            </w:r>
          </w:p>
        </w:tc>
        <w:tc>
          <w:tcPr>
            <w:tcW w:w="170"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180" w:right="0" w:hanging="180"/>
              <w:jc w:val="left"/>
              <w:rPr>
                <w:color w:val="000000"/>
              </w:rPr>
            </w:pPr>
            <w:r>
              <w:rPr>
                <w:color w:val="000000"/>
              </w:rPr>
              <w:t>Net change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10,841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6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1,356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12,197</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interest income for the three months ended June 30, 2026 was $50.3 million, compared to $42.5 million for the three months ended June 30, 2025, an increase of $7.8 million, or 18.5%, and was comprised of an increase of $10.9 million in interest income, partially offset by an increase of $3.0 million in interest expense. The growth in interest income was primarily attributable to an increase of $10.2 million in loan interest income, which was a result of growth of $683.0 million in average loans outstanding, partially offset by a decrease of 18 basis points in the yield on loans due to a decline in market interest rates. The $3.0 million increase in interest expense was primarily related to an increase of $709.2 million in average interest-bearing deposits, partially offset by a decrease of 17 basis points in the interest rate paid on these deposits over the same period in 2025. Additionally, average noninterest-bearing demand deposits increased $112.0 million for the three months ended June 30, 2026 as compared to the three months ended June 30, 2025. The increase in loans and deposits was largely attributable to the BOH acquisition.</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three months ended June 30, 2026, net interest margin and net interest spread were 4.00% and 3.15%, respectively, compared to 4.07% and 3.11%, respectively, for the same period in 2025, which reflects the changes in interest income and interest expense discussed above.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interest income for the six months ended June 30, 2026 was $93.2 million, compared to $81.0 million for the six months ended June 30, 2025, an increase of $12.2 million, or 15.0%, and was comprised of an increase of $13.6 million in interest income, partially offset by an increase of $1.4 million in interest expense. The growth in interest income was attributable to increases of $12.3 million in loan interest income and $2.0 million in interest income on other interest-earning assets. The increase in loan interest income resulted from growth of $369.3 million in average loans outstanding as the yield on loans remained flat. The increase in interest income on other interest-earning assets was primarily due to an increase of $186.6 million in average other interest-bearing assets, partially offset by a decline of 59 basis points in the interest rate paid on those assets. The $1.4 million increase in interest expense was primarily related to an increase of $434.5 million in average interest-bearing deposits, partially offset by a 23 basis point decrease in the rate paid on these deposits over the same period in 2025. The increase in interest expense on deposits was partially offset by a reduction of $1.3 million in interest expense as a result of the redemption of $50 million in subordinated debt securities on September 30, 2025. The increase in loans and deposits was largely attributable to the BOH acquisition.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six months ended June 30, 2026, net interest margin and net interest spread were 4.02% and 3.17%, respectively, compared to 3.94% and 2.99%, respectively, for the same period in 2025, which reflects the changes in interest income and interest expense discussed above.</w:t>
      </w:r>
    </w:p>
    <w:p>
      <w:pPr>
        <w:pStyle w:val="TextBody"/>
        <w:bidi w:val="0"/>
        <w:spacing w:before="0" w:after="0"/>
        <w:jc w:val="both"/>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Provision for Credit Losses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Credit risk is inherent in the business of making loans. We establish an allowance for credit losses (“ACL”) through charges to earnings, which are shown in the consolidated statements of comprehensive income as the provision for credit losses. Credit losses on loans are charged against the allowance when management believes the uncollectibility of a loan balance is confirmed. The provision for credit losses is determined by conducting a quarterly evaluation of the adequacy of our ACL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provision for credit losses for the three months ended June 30, 2026 was $350 thousand, compared to $2.5 million for the three months ended June 30, 2025. The decrease in provision of $2.2 million was primarily attributable to the increase in specific reserves, and increase in loan balances, and several credit quality downgrades that occurred during the second quarter of 2025.</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provision for credit losses for the six months ended June 30, 2026 was $610 thousand, compared to $2.9 million for the six months ended June 30, 2025. The decrease in provision of $2.3 million, as noted above, was largely attributable to the increase in specific reserves, and increase in loan balances, and several credit quality downgrades that occurred during the first two quarters of 2025.</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provision for credit losses is a significant factor in the Company’s operating results. For further discussion regarding the provision for credit losses and management’s assessment of the adequacy of the ACL for loans, see “Allowance for Credit Losses for Loans” and “Asset Quality” under “Financial Condition” in this Item 2, below.</w:t>
      </w:r>
    </w:p>
    <w:p>
      <w:pPr>
        <w:pStyle w:val="TextBody"/>
        <w:bidi w:val="0"/>
        <w:spacing w:before="0" w:after="0"/>
        <w:jc w:val="both"/>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Noninterest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and bank card services and interchange fees.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major components of our noninterest income for the periods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9" w:name="z26d5f87fd0c541919c5d93dc966901ee"/>
      <w:bookmarkStart w:id="210" w:name="z26d5f87fd0c541919c5d93dc966901ee"/>
      <w:bookmarkEnd w:id="210"/>
    </w:p>
    <w:tbl>
      <w:tblPr>
        <w:tblW w:w="10205" w:type="dxa"/>
        <w:jc w:val="left"/>
        <w:tblInd w:w="0" w:type="dxa"/>
        <w:tblLayout w:type="fixed"/>
        <w:tblCellMar>
          <w:top w:w="0" w:type="dxa"/>
          <w:left w:w="0" w:type="dxa"/>
          <w:bottom w:w="0" w:type="dxa"/>
          <w:right w:w="0" w:type="dxa"/>
        </w:tblCellMar>
      </w:tblPr>
      <w:tblGrid>
        <w:gridCol w:w="2438"/>
        <w:gridCol w:w="90"/>
        <w:gridCol w:w="177"/>
        <w:gridCol w:w="742"/>
        <w:gridCol w:w="93"/>
        <w:gridCol w:w="93"/>
        <w:gridCol w:w="177"/>
        <w:gridCol w:w="742"/>
        <w:gridCol w:w="93"/>
        <w:gridCol w:w="93"/>
        <w:gridCol w:w="329"/>
        <w:gridCol w:w="1148"/>
        <w:gridCol w:w="125"/>
        <w:gridCol w:w="90"/>
        <w:gridCol w:w="170"/>
        <w:gridCol w:w="710"/>
        <w:gridCol w:w="90"/>
        <w:gridCol w:w="90"/>
        <w:gridCol w:w="170"/>
        <w:gridCol w:w="710"/>
        <w:gridCol w:w="90"/>
        <w:gridCol w:w="90"/>
        <w:gridCol w:w="299"/>
        <w:gridCol w:w="1177"/>
        <w:gridCol w:w="179"/>
      </w:tblGrid>
      <w:tr>
        <w:trPr/>
        <w:tc>
          <w:tcPr>
            <w:tcW w:w="2438"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3687"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96"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79" w:type="dxa"/>
            <w:tcBorders/>
            <w:vAlign w:val="bottom"/>
          </w:tcPr>
          <w:p>
            <w:pPr>
              <w:pStyle w:val="TableContents"/>
              <w:bidi w:val="0"/>
              <w:spacing w:before="0" w:after="283"/>
              <w:jc w:val="left"/>
              <w:rPr/>
            </w:pPr>
            <w:r>
              <w:rPr/>
              <w:t> </w:t>
            </w:r>
          </w:p>
        </w:tc>
      </w:tr>
      <w:tr>
        <w:trPr/>
        <w:tc>
          <w:tcPr>
            <w:tcW w:w="2438"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7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Increase (decrease)</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7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Increase (decrease)</w:t>
            </w:r>
          </w:p>
        </w:tc>
        <w:tc>
          <w:tcPr>
            <w:tcW w:w="179" w:type="dxa"/>
            <w:tcBorders/>
            <w:vAlign w:val="bottom"/>
          </w:tcPr>
          <w:p>
            <w:pPr>
              <w:pStyle w:val="TableContents"/>
              <w:bidi w:val="0"/>
              <w:spacing w:before="0" w:after="283"/>
              <w:jc w:val="left"/>
              <w:rPr/>
            </w:pPr>
            <w:r>
              <w:rPr/>
              <w:t> </w:t>
            </w:r>
          </w:p>
        </w:tc>
      </w:tr>
      <w:tr>
        <w:trPr/>
        <w:tc>
          <w:tcPr>
            <w:tcW w:w="2438"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7498" w:type="dxa"/>
            <w:gridSpan w:val="22"/>
            <w:tcBorders/>
            <w:vAlign w:val="bottom"/>
          </w:tcPr>
          <w:p>
            <w:pPr>
              <w:pStyle w:val="TableContents"/>
              <w:bidi w:val="0"/>
              <w:spacing w:before="0" w:after="0"/>
              <w:jc w:val="center"/>
              <w:rPr>
                <w:b/>
                <w:color w:val="000000"/>
              </w:rPr>
            </w:pPr>
            <w:r>
              <w:rPr>
                <w:b/>
                <w:color w:val="000000"/>
              </w:rPr>
              <w:t>(Dollars in thousands)</w:t>
            </w:r>
          </w:p>
        </w:tc>
        <w:tc>
          <w:tcPr>
            <w:tcW w:w="179" w:type="dxa"/>
            <w:tcBorders/>
            <w:vAlign w:val="bottom"/>
          </w:tcPr>
          <w:p>
            <w:pPr>
              <w:pStyle w:val="TableContents"/>
              <w:bidi w:val="0"/>
              <w:spacing w:before="0" w:after="283"/>
              <w:jc w:val="left"/>
              <w:rPr/>
            </w:pPr>
            <w:r>
              <w:rPr/>
              <w:t> </w:t>
            </w:r>
          </w:p>
        </w:tc>
      </w:tr>
      <w:tr>
        <w:trPr/>
        <w:tc>
          <w:tcPr>
            <w:tcW w:w="2438" w:type="dxa"/>
            <w:tcBorders/>
            <w:vAlign w:val="bottom"/>
          </w:tcPr>
          <w:p>
            <w:pPr>
              <w:pStyle w:val="TableContents"/>
              <w:bidi w:val="0"/>
              <w:spacing w:before="0" w:after="0"/>
              <w:ind w:left="180" w:right="0" w:hanging="180"/>
              <w:jc w:val="left"/>
              <w:rPr>
                <w:b/>
                <w:color w:val="000000"/>
              </w:rPr>
            </w:pPr>
            <w:r>
              <w:rPr>
                <w:b/>
                <w:color w:val="000000"/>
              </w:rPr>
              <w:t>Noninterest income:</w:t>
            </w:r>
          </w:p>
        </w:tc>
        <w:tc>
          <w:tcPr>
            <w:tcW w:w="90" w:type="dxa"/>
            <w:tcBorders/>
            <w:vAlign w:val="bottom"/>
          </w:tcPr>
          <w:p>
            <w:pPr>
              <w:pStyle w:val="TableContents"/>
              <w:bidi w:val="0"/>
              <w:spacing w:before="0" w:after="283"/>
              <w:jc w:val="left"/>
              <w:rPr/>
            </w:pPr>
            <w:r>
              <w:rPr/>
              <w:t> </w:t>
            </w:r>
          </w:p>
        </w:tc>
        <w:tc>
          <w:tcPr>
            <w:tcW w:w="919" w:type="dxa"/>
            <w:gridSpan w:val="2"/>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19" w:type="dxa"/>
            <w:gridSpan w:val="2"/>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77"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76" w:type="dxa"/>
            <w:gridSpan w:val="2"/>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r>
      <w:tr>
        <w:trPr/>
        <w:tc>
          <w:tcPr>
            <w:tcW w:w="2438" w:type="dxa"/>
            <w:tcBorders/>
            <w:shd w:fill="CCEEFF" w:val="clear"/>
            <w:vAlign w:val="bottom"/>
          </w:tcPr>
          <w:p>
            <w:pPr>
              <w:pStyle w:val="TableContents"/>
              <w:bidi w:val="0"/>
              <w:spacing w:before="0" w:after="0"/>
              <w:ind w:left="360" w:right="0" w:hanging="180"/>
              <w:jc w:val="left"/>
              <w:rPr>
                <w:color w:val="000000"/>
              </w:rPr>
            </w:pPr>
            <w:r>
              <w:rPr>
                <w:color w:val="000000"/>
              </w:rPr>
              <w:t>Service charges on deposit accounts</w:t>
            </w:r>
          </w:p>
        </w:tc>
        <w:tc>
          <w:tcPr>
            <w:tcW w:w="9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742" w:type="dxa"/>
            <w:tcBorders/>
            <w:shd w:fill="CCEEFF" w:val="clear"/>
            <w:vAlign w:val="bottom"/>
          </w:tcPr>
          <w:p>
            <w:pPr>
              <w:pStyle w:val="TableContents"/>
              <w:bidi w:val="0"/>
              <w:spacing w:before="0" w:after="0"/>
              <w:jc w:val="right"/>
              <w:rPr>
                <w:color w:val="000000"/>
              </w:rPr>
            </w:pPr>
            <w:r>
              <w:rPr>
                <w:color w:val="000000"/>
              </w:rPr>
              <w:t>2,366</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742" w:type="dxa"/>
            <w:tcBorders/>
            <w:shd w:fill="CCEEFF" w:val="clear"/>
            <w:vAlign w:val="bottom"/>
          </w:tcPr>
          <w:p>
            <w:pPr>
              <w:pStyle w:val="TableContents"/>
              <w:bidi w:val="0"/>
              <w:spacing w:before="0" w:after="0"/>
              <w:jc w:val="right"/>
              <w:rPr>
                <w:color w:val="000000"/>
              </w:rPr>
            </w:pPr>
            <w:r>
              <w:rPr>
                <w:color w:val="000000"/>
              </w:rPr>
              <w:t>2,098</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0"/>
              <w:jc w:val="left"/>
              <w:rPr>
                <w:color w:val="000000"/>
              </w:rPr>
            </w:pPr>
            <w:r>
              <w:rPr>
                <w:color w:val="000000"/>
              </w:rPr>
              <w:t>$</w:t>
            </w:r>
          </w:p>
        </w:tc>
        <w:tc>
          <w:tcPr>
            <w:tcW w:w="1148" w:type="dxa"/>
            <w:tcBorders/>
            <w:shd w:fill="CCEEFF" w:val="clear"/>
            <w:vAlign w:val="bottom"/>
          </w:tcPr>
          <w:p>
            <w:pPr>
              <w:pStyle w:val="TableContents"/>
              <w:bidi w:val="0"/>
              <w:spacing w:before="0" w:after="0"/>
              <w:jc w:val="right"/>
              <w:rPr>
                <w:color w:val="000000"/>
              </w:rPr>
            </w:pPr>
            <w:r>
              <w:rPr>
                <w:color w:val="000000"/>
              </w:rPr>
              <w:t>268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4,621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4,239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99" w:type="dxa"/>
            <w:tcBorders/>
            <w:shd w:fill="CCEEFF" w:val="clear"/>
            <w:vAlign w:val="bottom"/>
          </w:tcPr>
          <w:p>
            <w:pPr>
              <w:pStyle w:val="TableContents"/>
              <w:bidi w:val="0"/>
              <w:spacing w:before="0" w:after="0"/>
              <w:jc w:val="left"/>
              <w:rPr>
                <w:color w:val="000000"/>
              </w:rPr>
            </w:pPr>
            <w:r>
              <w:rPr>
                <w:color w:val="000000"/>
              </w:rPr>
              <w:t>$</w:t>
            </w:r>
          </w:p>
        </w:tc>
        <w:tc>
          <w:tcPr>
            <w:tcW w:w="1177" w:type="dxa"/>
            <w:tcBorders/>
            <w:shd w:fill="CCEEFF" w:val="clear"/>
            <w:vAlign w:val="bottom"/>
          </w:tcPr>
          <w:p>
            <w:pPr>
              <w:pStyle w:val="TableContents"/>
              <w:bidi w:val="0"/>
              <w:spacing w:before="0" w:after="0"/>
              <w:jc w:val="right"/>
              <w:rPr>
                <w:color w:val="000000"/>
              </w:rPr>
            </w:pPr>
            <w:r>
              <w:rPr>
                <w:color w:val="000000"/>
              </w:rPr>
              <w:t>382</w:t>
            </w:r>
          </w:p>
        </w:tc>
        <w:tc>
          <w:tcPr>
            <w:tcW w:w="179" w:type="dxa"/>
            <w:tcBorders/>
            <w:shd w:fill="CCEEFF" w:val="clear"/>
            <w:vAlign w:val="bottom"/>
          </w:tcPr>
          <w:p>
            <w:pPr>
              <w:pStyle w:val="TableContents"/>
              <w:bidi w:val="0"/>
              <w:spacing w:before="0" w:after="283"/>
              <w:jc w:val="left"/>
              <w:rPr/>
            </w:pPr>
            <w:r>
              <w:rPr/>
              <w:t> </w:t>
            </w:r>
          </w:p>
        </w:tc>
      </w:tr>
      <w:tr>
        <w:trPr/>
        <w:tc>
          <w:tcPr>
            <w:tcW w:w="2438" w:type="dxa"/>
            <w:tcBorders/>
            <w:vAlign w:val="bottom"/>
          </w:tcPr>
          <w:p>
            <w:pPr>
              <w:pStyle w:val="TableContents"/>
              <w:bidi w:val="0"/>
              <w:spacing w:before="0" w:after="0"/>
              <w:ind w:left="360" w:right="0" w:hanging="180"/>
              <w:jc w:val="left"/>
              <w:rPr>
                <w:color w:val="000000"/>
              </w:rPr>
            </w:pPr>
            <w:r>
              <w:rPr>
                <w:color w:val="000000"/>
              </w:rPr>
              <w:t>Bank card services and interchange fees</w:t>
            </w:r>
          </w:p>
        </w:tc>
        <w:tc>
          <w:tcPr>
            <w:tcW w:w="90"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color w:val="000000"/>
              </w:rPr>
            </w:pPr>
            <w:r>
              <w:rPr>
                <w:color w:val="000000"/>
              </w:rPr>
              <w:t>4,110</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color w:val="000000"/>
              </w:rPr>
            </w:pPr>
            <w:r>
              <w:rPr>
                <w:color w:val="000000"/>
              </w:rPr>
              <w:t>3,771</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0"/>
              <w:jc w:val="right"/>
              <w:rPr>
                <w:color w:val="000000"/>
              </w:rPr>
            </w:pPr>
            <w:r>
              <w:rPr>
                <w:color w:val="000000"/>
              </w:rPr>
              <w:t>339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7,326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7,150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0"/>
              <w:jc w:val="right"/>
              <w:rPr>
                <w:color w:val="000000"/>
              </w:rPr>
            </w:pPr>
            <w:r>
              <w:rPr>
                <w:color w:val="000000"/>
              </w:rPr>
              <w:t>176</w:t>
            </w:r>
          </w:p>
        </w:tc>
        <w:tc>
          <w:tcPr>
            <w:tcW w:w="179" w:type="dxa"/>
            <w:tcBorders/>
            <w:vAlign w:val="bottom"/>
          </w:tcPr>
          <w:p>
            <w:pPr>
              <w:pStyle w:val="TableContents"/>
              <w:bidi w:val="0"/>
              <w:spacing w:before="0" w:after="283"/>
              <w:jc w:val="left"/>
              <w:rPr/>
            </w:pPr>
            <w:r>
              <w:rPr/>
              <w:t> </w:t>
            </w:r>
          </w:p>
        </w:tc>
      </w:tr>
      <w:tr>
        <w:trPr/>
        <w:tc>
          <w:tcPr>
            <w:tcW w:w="2438" w:type="dxa"/>
            <w:tcBorders/>
            <w:shd w:fill="CCEEFF" w:val="clear"/>
            <w:vAlign w:val="bottom"/>
          </w:tcPr>
          <w:p>
            <w:pPr>
              <w:pStyle w:val="TableContents"/>
              <w:bidi w:val="0"/>
              <w:spacing w:before="0" w:after="0"/>
              <w:ind w:left="360" w:right="0" w:hanging="180"/>
              <w:jc w:val="left"/>
              <w:rPr>
                <w:color w:val="000000"/>
              </w:rPr>
            </w:pPr>
            <w:r>
              <w:rPr>
                <w:color w:val="000000"/>
              </w:rPr>
              <w:t>Mortgage banking activities</w:t>
            </w:r>
          </w:p>
        </w:tc>
        <w:tc>
          <w:tcPr>
            <w:tcW w:w="9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color w:val="000000"/>
              </w:rPr>
            </w:pPr>
            <w:r>
              <w:rPr>
                <w:color w:val="000000"/>
              </w:rPr>
              <w:t>4,847</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color w:val="000000"/>
              </w:rPr>
            </w:pPr>
            <w:r>
              <w:rPr>
                <w:color w:val="000000"/>
              </w:rPr>
              <w:t>3,606</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0"/>
              <w:jc w:val="right"/>
              <w:rPr>
                <w:color w:val="000000"/>
              </w:rPr>
            </w:pPr>
            <w:r>
              <w:rPr>
                <w:color w:val="000000"/>
              </w:rPr>
              <w:t>1,241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8,765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5,719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99"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0"/>
              <w:jc w:val="right"/>
              <w:rPr>
                <w:color w:val="000000"/>
              </w:rPr>
            </w:pPr>
            <w:r>
              <w:rPr>
                <w:color w:val="000000"/>
              </w:rPr>
              <w:t>3,046</w:t>
            </w:r>
          </w:p>
        </w:tc>
        <w:tc>
          <w:tcPr>
            <w:tcW w:w="179" w:type="dxa"/>
            <w:tcBorders/>
            <w:shd w:fill="CCEEFF" w:val="clear"/>
            <w:vAlign w:val="bottom"/>
          </w:tcPr>
          <w:p>
            <w:pPr>
              <w:pStyle w:val="TableContents"/>
              <w:bidi w:val="0"/>
              <w:spacing w:before="0" w:after="283"/>
              <w:jc w:val="left"/>
              <w:rPr/>
            </w:pPr>
            <w:r>
              <w:rPr/>
              <w:t> </w:t>
            </w:r>
          </w:p>
        </w:tc>
      </w:tr>
      <w:tr>
        <w:trPr/>
        <w:tc>
          <w:tcPr>
            <w:tcW w:w="2438" w:type="dxa"/>
            <w:tcBorders/>
            <w:vAlign w:val="bottom"/>
          </w:tcPr>
          <w:p>
            <w:pPr>
              <w:pStyle w:val="TableContents"/>
              <w:bidi w:val="0"/>
              <w:spacing w:before="0" w:after="0"/>
              <w:ind w:left="360" w:right="0" w:hanging="180"/>
              <w:jc w:val="left"/>
              <w:rPr>
                <w:color w:val="000000"/>
              </w:rPr>
            </w:pPr>
            <w:r>
              <w:rPr>
                <w:color w:val="000000"/>
              </w:rPr>
              <w:t>Investment commissions</w:t>
            </w:r>
          </w:p>
        </w:tc>
        <w:tc>
          <w:tcPr>
            <w:tcW w:w="90"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color w:val="000000"/>
              </w:rPr>
            </w:pPr>
            <w:r>
              <w:rPr>
                <w:color w:val="000000"/>
              </w:rPr>
              <w:t>466</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color w:val="000000"/>
              </w:rPr>
            </w:pPr>
            <w:r>
              <w:rPr>
                <w:color w:val="000000"/>
              </w:rPr>
              <w:t>426</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0"/>
              <w:jc w:val="right"/>
              <w:rPr>
                <w:color w:val="000000"/>
              </w:rPr>
            </w:pPr>
            <w:r>
              <w:rPr>
                <w:color w:val="000000"/>
              </w:rPr>
              <w:t>40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1,021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860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0"/>
              <w:jc w:val="right"/>
              <w:rPr>
                <w:color w:val="000000"/>
              </w:rPr>
            </w:pPr>
            <w:r>
              <w:rPr>
                <w:color w:val="000000"/>
              </w:rPr>
              <w:t>161</w:t>
            </w:r>
          </w:p>
        </w:tc>
        <w:tc>
          <w:tcPr>
            <w:tcW w:w="179" w:type="dxa"/>
            <w:tcBorders/>
            <w:vAlign w:val="bottom"/>
          </w:tcPr>
          <w:p>
            <w:pPr>
              <w:pStyle w:val="TableContents"/>
              <w:bidi w:val="0"/>
              <w:spacing w:before="0" w:after="283"/>
              <w:jc w:val="left"/>
              <w:rPr/>
            </w:pPr>
            <w:r>
              <w:rPr/>
              <w:t> </w:t>
            </w:r>
          </w:p>
        </w:tc>
      </w:tr>
      <w:tr>
        <w:trPr/>
        <w:tc>
          <w:tcPr>
            <w:tcW w:w="2438" w:type="dxa"/>
            <w:tcBorders/>
            <w:shd w:fill="CCEEFF" w:val="clear"/>
            <w:vAlign w:val="bottom"/>
          </w:tcPr>
          <w:p>
            <w:pPr>
              <w:pStyle w:val="TableContents"/>
              <w:bidi w:val="0"/>
              <w:spacing w:before="0" w:after="0"/>
              <w:ind w:left="360" w:right="0" w:hanging="180"/>
              <w:jc w:val="left"/>
              <w:rPr>
                <w:color w:val="000000"/>
              </w:rPr>
            </w:pPr>
            <w:r>
              <w:rPr>
                <w:color w:val="000000"/>
              </w:rPr>
              <w:t>Fiduciary income</w:t>
            </w:r>
          </w:p>
        </w:tc>
        <w:tc>
          <w:tcPr>
            <w:tcW w:w="9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color w:val="000000"/>
              </w:rPr>
            </w:pPr>
            <w:r>
              <w:rPr>
                <w:color w:val="000000"/>
              </w:rPr>
              <w:t>802</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color w:val="000000"/>
              </w:rPr>
            </w:pPr>
            <w:r>
              <w:rPr>
                <w:color w:val="000000"/>
              </w:rPr>
              <w:t>694</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0"/>
              <w:jc w:val="right"/>
              <w:rPr>
                <w:color w:val="000000"/>
              </w:rPr>
            </w:pPr>
            <w:r>
              <w:rPr>
                <w:color w:val="000000"/>
              </w:rPr>
              <w:t>108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1,591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1,432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99"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0"/>
              <w:jc w:val="right"/>
              <w:rPr>
                <w:color w:val="000000"/>
              </w:rPr>
            </w:pPr>
            <w:r>
              <w:rPr>
                <w:color w:val="000000"/>
              </w:rPr>
              <w:t>159</w:t>
            </w:r>
          </w:p>
        </w:tc>
        <w:tc>
          <w:tcPr>
            <w:tcW w:w="179" w:type="dxa"/>
            <w:tcBorders/>
            <w:shd w:fill="CCEEFF" w:val="clear"/>
            <w:vAlign w:val="bottom"/>
          </w:tcPr>
          <w:p>
            <w:pPr>
              <w:pStyle w:val="TableContents"/>
              <w:bidi w:val="0"/>
              <w:spacing w:before="0" w:after="283"/>
              <w:jc w:val="left"/>
              <w:rPr/>
            </w:pPr>
            <w:r>
              <w:rPr/>
              <w:t> </w:t>
            </w:r>
          </w:p>
        </w:tc>
      </w:tr>
      <w:tr>
        <w:trPr/>
        <w:tc>
          <w:tcPr>
            <w:tcW w:w="2438" w:type="dxa"/>
            <w:tcBorders/>
            <w:vAlign w:val="bottom"/>
          </w:tcPr>
          <w:p>
            <w:pPr>
              <w:pStyle w:val="TableContents"/>
              <w:bidi w:val="0"/>
              <w:spacing w:lineRule="auto" w:line="240" w:before="0" w:after="0"/>
              <w:ind w:left="360" w:right="0" w:hanging="180"/>
              <w:jc w:val="left"/>
              <w:rPr>
                <w:color w:val="000000"/>
              </w:rPr>
            </w:pPr>
            <w:r>
              <w:rPr>
                <w:color w:val="000000"/>
              </w:rPr>
              <w:t>Other income and fees(1)</w:t>
            </w:r>
          </w:p>
        </w:tc>
        <w:tc>
          <w:tcPr>
            <w:tcW w:w="90" w:type="dxa"/>
            <w:tcBorders/>
            <w:vAlign w:val="bottom"/>
          </w:tcPr>
          <w:p>
            <w:pPr>
              <w:pStyle w:val="TableContents"/>
              <w:bidi w:val="0"/>
              <w:spacing w:before="0" w:after="283"/>
              <w:jc w:val="righ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1,552</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righ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1,570</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right"/>
              <w:rPr/>
            </w:pPr>
            <w:r>
              <w:rPr/>
              <w:t> </w:t>
            </w:r>
          </w:p>
        </w:tc>
        <w:tc>
          <w:tcPr>
            <w:tcW w:w="32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3,390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9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(1,276</w:t>
            </w:r>
          </w:p>
        </w:tc>
        <w:tc>
          <w:tcPr>
            <w:tcW w:w="179" w:type="dxa"/>
            <w:tcBorders/>
            <w:vAlign w:val="bottom"/>
          </w:tcPr>
          <w:p>
            <w:pPr>
              <w:pStyle w:val="TableContents"/>
              <w:bidi w:val="0"/>
              <w:spacing w:before="0" w:after="0"/>
              <w:jc w:val="left"/>
              <w:rPr>
                <w:color w:val="000000"/>
              </w:rPr>
            </w:pPr>
            <w:r>
              <w:rPr>
                <w:color w:val="000000"/>
              </w:rPr>
              <w:t>)</w:t>
            </w:r>
          </w:p>
        </w:tc>
      </w:tr>
      <w:tr>
        <w:trPr/>
        <w:tc>
          <w:tcPr>
            <w:tcW w:w="2438" w:type="dxa"/>
            <w:tcBorders/>
            <w:shd w:fill="CCEEFF" w:val="clear"/>
            <w:vAlign w:val="bottom"/>
          </w:tcPr>
          <w:p>
            <w:pPr>
              <w:pStyle w:val="TableContents"/>
              <w:bidi w:val="0"/>
              <w:spacing w:before="0" w:after="0"/>
              <w:ind w:left="180" w:right="0" w:hanging="180"/>
              <w:jc w:val="left"/>
              <w:rPr>
                <w:color w:val="000000"/>
              </w:rPr>
            </w:pPr>
            <w:r>
              <w:rPr>
                <w:color w:val="000000"/>
              </w:rPr>
              <w:t>Total noninterest income</w:t>
            </w:r>
          </w:p>
        </w:tc>
        <w:tc>
          <w:tcPr>
            <w:tcW w:w="90" w:type="dxa"/>
            <w:tcBorders/>
            <w:shd w:fill="CCEEFF" w:val="clear"/>
            <w:vAlign w:val="bottom"/>
          </w:tcPr>
          <w:p>
            <w:pPr>
              <w:pStyle w:val="TableContents"/>
              <w:bidi w:val="0"/>
              <w:spacing w:before="0" w:after="283"/>
              <w:jc w:val="righ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14,143</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righ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12,165</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right"/>
              <w:rPr/>
            </w:pPr>
            <w:r>
              <w:rPr/>
              <w:t> </w:t>
            </w:r>
          </w:p>
        </w:tc>
        <w:tc>
          <w:tcPr>
            <w:tcW w:w="32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4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1,978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25,438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22,790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9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7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2,648</w:t>
            </w:r>
          </w:p>
        </w:tc>
        <w:tc>
          <w:tcPr>
            <w:tcW w:w="1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1" w:name="z3aeb142d71234de0bfb28b9f841a8e77"/>
      <w:bookmarkStart w:id="212" w:name="z3aeb142d71234de0bfb28b9f841a8e77"/>
      <w:bookmarkEnd w:id="212"/>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color w:val="000000"/>
              </w:rPr>
            </w:pPr>
            <w:r>
              <w:rPr>
                <w:color w:val="000000"/>
              </w:rPr>
              <w:t>(1)</w:t>
            </w:r>
          </w:p>
        </w:tc>
        <w:tc>
          <w:tcPr>
            <w:tcW w:w="9924" w:type="dxa"/>
            <w:tcBorders/>
            <w:vAlign w:val="center"/>
          </w:tcPr>
          <w:p>
            <w:pPr>
              <w:pStyle w:val="TableContents"/>
              <w:bidi w:val="0"/>
              <w:spacing w:before="0" w:after="0"/>
              <w:jc w:val="left"/>
              <w:rPr>
                <w:color w:val="000000"/>
              </w:rPr>
            </w:pPr>
            <w:r>
              <w:rPr>
                <w:color w:val="000000"/>
              </w:rPr>
              <w:t>Other income and fees includes income and fees associated with the increase in the cash surrender value of life insurance, safe deposit box rental, check printing, collections, legal settlements, wire transfer, Small Business Investment Company (“SBIC”) investments, income from sweep accounts, and other miscellaneous services.</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Noninterest income for the three months ended June 30, 2026 was $14.1 million, compared to $12.2 million for the three months ended June 30, 2025, an increase of $2.0 million, or 16.3%. Significant changes in the components of noninterest income are detailed below.</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Service charges on deposit accounts</w:t>
      </w:r>
      <w:r>
        <w:rPr>
          <w:rFonts w:ascii="Times New Roman" w:hAnsi="Times New Roman"/>
          <w:color w:val="000000"/>
          <w:sz w:val="20"/>
          <w:shd w:fill="FFFFFF" w:val="clear"/>
        </w:rPr>
        <w:t xml:space="preserve"> - Income from service charges on deposit accounts increased $268 thousand, or 12.8%, for the three months ended June 30, 2026 as compared to the same period in 2025. The increase was largely attributable to continued focus on deposit growth and the BOH acquisition.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Bank card services and interchange fees</w:t>
      </w:r>
      <w:r>
        <w:rPr>
          <w:rFonts w:ascii="Times New Roman" w:hAnsi="Times New Roman"/>
          <w:color w:val="000000"/>
          <w:sz w:val="20"/>
          <w:shd w:fill="FFFFFF" w:val="clear"/>
        </w:rPr>
        <w:t xml:space="preserve"> - Income from bank card services and interchange fees increased $339 thousand, or 9.0%, for the three months ended June 30, 2026 as compared to the same period in 2025. The increase was primarily the result of an increased focus on business purchase card activity during the three months ended June 30, 2026 compared to the same period in 2025, in addition to new activity as a result of the BOH acquisition.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Mortgage banking activities</w:t>
      </w:r>
      <w:r>
        <w:rPr>
          <w:rFonts w:ascii="Times New Roman" w:hAnsi="Times New Roman"/>
          <w:color w:val="000000"/>
          <w:sz w:val="20"/>
          <w:shd w:fill="FFFFFF" w:val="clear"/>
        </w:rPr>
        <w:t xml:space="preserve"> - Income from mortgage banking activities increased $1.2 million, or 34.4%, to $4.8 million for the three months ended June 30, 2026 from $3.6 million for the three months ended June</w:t>
      </w:r>
      <w:r>
        <w:rPr>
          <w:rFonts w:ascii="Times New Roman" w:hAnsi="Times New Roman"/>
          <w:color w:val="FFFFFF"/>
          <w:sz w:val="20"/>
          <w:shd w:fill="FFFFFF" w:val="clear"/>
        </w:rPr>
        <w:t> </w:t>
      </w:r>
      <w:r>
        <w:rPr>
          <w:rFonts w:ascii="Times New Roman" w:hAnsi="Times New Roman"/>
          <w:color w:val="000000"/>
          <w:sz w:val="20"/>
          <w:shd w:fill="FFFFFF" w:val="clear"/>
        </w:rPr>
        <w:t>30, 2025. This increase was partially the result of a $515 thousand positive fair value adjustment to our mortgage servicing rights portfolio in the second quarter of 2026 compared to a negative fair value adjustment of $156 thousand in the second quarter of 2025. The fair value of the mortgage servicing rights portfolio is affected by movements in market interest rates, which increased during the second quarter of 2026 as compared to decreasing during the second quarter of 2025. Additionally, there was an increase in other mortgage income related to an increase in originations of loans held for sale in the second quarter of 2026 as compared to the same period of 2025.</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Noninterest income for the six months ended June 30, 2026 was $25.4 million, compared to $22.8 million for the six months ended June 30, 2025, an increase of $2.6 million, or 11.6%. Significant changes in the components of noninterest income are detailed below.</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Mortgage banking activities</w:t>
      </w:r>
      <w:r>
        <w:rPr>
          <w:rFonts w:ascii="Times New Roman" w:hAnsi="Times New Roman"/>
          <w:color w:val="000000"/>
          <w:sz w:val="20"/>
          <w:shd w:fill="FFFFFF" w:val="clear"/>
        </w:rPr>
        <w:t xml:space="preserve"> - Income from mortgage banking activities increased $3.0 million, or 53.3%, to $8.8 million for the six months ended June 30, 2026 from $5.7 million for the six months ended June 30, 2025. This increase was mainly the result of a $765 thousand positive fair value adjustment to our mortgage servicing rights portfolio for the six months ended June 30, 2026 compared to a negative fair value adjustment of $1.7 million for the same period in 2025. The fair value of the mortgage servicing rights portfolio is affected by movements in market interest rates, which increased during the first two quarters of 2026 as compared to decreases in the same period within 2025. Additionally, there was an increase in other mortgage income related to an increase in originations of loans held for sale in the first two quarters of 2026 as compared to the same period in the prior year.</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Other income and fees</w:t>
      </w:r>
      <w:r>
        <w:rPr>
          <w:rFonts w:ascii="Times New Roman" w:hAnsi="Times New Roman"/>
          <w:color w:val="000000"/>
          <w:sz w:val="20"/>
          <w:shd w:fill="FFFFFF" w:val="clear"/>
        </w:rPr>
        <w:t xml:space="preserve"> - Other income and fees decreased $1.3 million, or 37.6%, for the six months ended June 30, 2026 as compared to the same period in 2025. The decrease was primarily the result of a decrease of $497 thousand in income from SBIC investments and a decrease of $224 thousand on gains on sales of fixed assets.</w:t>
      </w:r>
    </w:p>
    <w:p>
      <w:pPr>
        <w:pStyle w:val="TextBody"/>
        <w:bidi w:val="0"/>
        <w:spacing w:before="0" w:after="0"/>
        <w:jc w:val="both"/>
        <w:rPr>
          <w:color w:val="000000"/>
        </w:rPr>
      </w:pPr>
      <w:r>
        <w:rPr>
          <w:color w:val="00000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Noninterest Expense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major components of our noninterest expense for the periods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3" w:name="z502bd3b158c74115841e8221c3e4c433"/>
      <w:bookmarkStart w:id="214" w:name="z502bd3b158c74115841e8221c3e4c433"/>
      <w:bookmarkEnd w:id="214"/>
    </w:p>
    <w:tbl>
      <w:tblPr>
        <w:tblW w:w="10205" w:type="dxa"/>
        <w:jc w:val="left"/>
        <w:tblInd w:w="0" w:type="dxa"/>
        <w:tblLayout w:type="fixed"/>
        <w:tblCellMar>
          <w:top w:w="0" w:type="dxa"/>
          <w:left w:w="0" w:type="dxa"/>
          <w:bottom w:w="0" w:type="dxa"/>
          <w:right w:w="0" w:type="dxa"/>
        </w:tblCellMar>
      </w:tblPr>
      <w:tblGrid>
        <w:gridCol w:w="2277"/>
        <w:gridCol w:w="90"/>
        <w:gridCol w:w="179"/>
        <w:gridCol w:w="748"/>
        <w:gridCol w:w="94"/>
        <w:gridCol w:w="94"/>
        <w:gridCol w:w="179"/>
        <w:gridCol w:w="748"/>
        <w:gridCol w:w="94"/>
        <w:gridCol w:w="94"/>
        <w:gridCol w:w="349"/>
        <w:gridCol w:w="1217"/>
        <w:gridCol w:w="125"/>
        <w:gridCol w:w="90"/>
        <w:gridCol w:w="170"/>
        <w:gridCol w:w="710"/>
        <w:gridCol w:w="90"/>
        <w:gridCol w:w="90"/>
        <w:gridCol w:w="170"/>
        <w:gridCol w:w="710"/>
        <w:gridCol w:w="90"/>
        <w:gridCol w:w="90"/>
        <w:gridCol w:w="349"/>
        <w:gridCol w:w="1217"/>
        <w:gridCol w:w="141"/>
      </w:tblGrid>
      <w:tr>
        <w:trPr/>
        <w:tc>
          <w:tcPr>
            <w:tcW w:w="227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96"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86"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41" w:type="dxa"/>
            <w:tcBorders/>
            <w:vAlign w:val="bottom"/>
          </w:tcPr>
          <w:p>
            <w:pPr>
              <w:pStyle w:val="TableContents"/>
              <w:bidi w:val="0"/>
              <w:spacing w:before="0" w:after="283"/>
              <w:jc w:val="left"/>
              <w:rPr/>
            </w:pPr>
            <w:r>
              <w:rPr/>
              <w:t> </w:t>
            </w:r>
          </w:p>
        </w:tc>
      </w:tr>
      <w:tr>
        <w:trPr/>
        <w:tc>
          <w:tcPr>
            <w:tcW w:w="227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2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2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Increase (decrease)</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Increase (decrease)</w:t>
            </w:r>
          </w:p>
        </w:tc>
        <w:tc>
          <w:tcPr>
            <w:tcW w:w="141" w:type="dxa"/>
            <w:tcBorders/>
            <w:vAlign w:val="bottom"/>
          </w:tcPr>
          <w:p>
            <w:pPr>
              <w:pStyle w:val="TableContents"/>
              <w:bidi w:val="0"/>
              <w:spacing w:before="0" w:after="283"/>
              <w:jc w:val="left"/>
              <w:rPr/>
            </w:pPr>
            <w:r>
              <w:rPr/>
              <w:t> </w:t>
            </w:r>
          </w:p>
        </w:tc>
      </w:tr>
      <w:tr>
        <w:trPr/>
        <w:tc>
          <w:tcPr>
            <w:tcW w:w="227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97" w:type="dxa"/>
            <w:gridSpan w:val="22"/>
            <w:tcBorders/>
            <w:vAlign w:val="bottom"/>
          </w:tcPr>
          <w:p>
            <w:pPr>
              <w:pStyle w:val="TableContents"/>
              <w:bidi w:val="0"/>
              <w:spacing w:before="0" w:after="0"/>
              <w:jc w:val="center"/>
              <w:rPr>
                <w:b/>
                <w:color w:val="000000"/>
              </w:rPr>
            </w:pPr>
            <w:r>
              <w:rPr>
                <w:b/>
                <w:color w:val="000000"/>
              </w:rPr>
              <w:t>(Dollars in thousands)</w:t>
            </w:r>
          </w:p>
        </w:tc>
        <w:tc>
          <w:tcPr>
            <w:tcW w:w="141" w:type="dxa"/>
            <w:tcBorders/>
            <w:vAlign w:val="bottom"/>
          </w:tcPr>
          <w:p>
            <w:pPr>
              <w:pStyle w:val="TableContents"/>
              <w:bidi w:val="0"/>
              <w:spacing w:before="0" w:after="283"/>
              <w:jc w:val="left"/>
              <w:rPr/>
            </w:pPr>
            <w:r>
              <w:rPr/>
              <w:t> </w:t>
            </w:r>
          </w:p>
        </w:tc>
      </w:tr>
      <w:tr>
        <w:trPr/>
        <w:tc>
          <w:tcPr>
            <w:tcW w:w="2277" w:type="dxa"/>
            <w:tcBorders/>
            <w:vAlign w:val="bottom"/>
          </w:tcPr>
          <w:p>
            <w:pPr>
              <w:pStyle w:val="TableContents"/>
              <w:bidi w:val="0"/>
              <w:spacing w:before="0" w:after="0"/>
              <w:jc w:val="left"/>
              <w:rPr>
                <w:b/>
                <w:color w:val="000000"/>
              </w:rPr>
            </w:pPr>
            <w:r>
              <w:rPr>
                <w:b/>
                <w:color w:val="000000"/>
              </w:rPr>
              <w:t>Noninterest expense:</w:t>
            </w:r>
          </w:p>
        </w:tc>
        <w:tc>
          <w:tcPr>
            <w:tcW w:w="90" w:type="dxa"/>
            <w:tcBorders/>
            <w:vAlign w:val="bottom"/>
          </w:tcPr>
          <w:p>
            <w:pPr>
              <w:pStyle w:val="TableContents"/>
              <w:bidi w:val="0"/>
              <w:spacing w:before="0" w:after="283"/>
              <w:jc w:val="left"/>
              <w:rPr/>
            </w:pPr>
            <w:r>
              <w:rPr/>
              <w:t> </w:t>
            </w:r>
          </w:p>
        </w:tc>
        <w:tc>
          <w:tcPr>
            <w:tcW w:w="927" w:type="dxa"/>
            <w:gridSpan w:val="2"/>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27" w:type="dxa"/>
            <w:gridSpan w:val="2"/>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566"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66" w:type="dxa"/>
            <w:gridSpan w:val="2"/>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r>
      <w:tr>
        <w:trPr/>
        <w:tc>
          <w:tcPr>
            <w:tcW w:w="2277" w:type="dxa"/>
            <w:tcBorders/>
            <w:shd w:fill="CCEEFF" w:val="clear"/>
            <w:vAlign w:val="bottom"/>
          </w:tcPr>
          <w:p>
            <w:pPr>
              <w:pStyle w:val="TableContents"/>
              <w:bidi w:val="0"/>
              <w:spacing w:before="0" w:after="0"/>
              <w:ind w:left="180" w:right="0" w:hanging="0"/>
              <w:jc w:val="left"/>
              <w:rPr>
                <w:color w:val="000000"/>
              </w:rPr>
            </w:pPr>
            <w:r>
              <w:rPr>
                <w:color w:val="000000"/>
              </w:rPr>
              <w:t>Salaries and employee benefits</w:t>
            </w:r>
          </w:p>
        </w:tc>
        <w:tc>
          <w:tcPr>
            <w:tcW w:w="9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748" w:type="dxa"/>
            <w:tcBorders/>
            <w:shd w:fill="CCEEFF" w:val="clear"/>
            <w:vAlign w:val="bottom"/>
          </w:tcPr>
          <w:p>
            <w:pPr>
              <w:pStyle w:val="TableContents"/>
              <w:bidi w:val="0"/>
              <w:spacing w:before="0" w:after="0"/>
              <w:jc w:val="right"/>
              <w:rPr>
                <w:color w:val="000000"/>
              </w:rPr>
            </w:pPr>
            <w:r>
              <w:rPr>
                <w:color w:val="000000"/>
              </w:rPr>
              <w:t>23,517</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748" w:type="dxa"/>
            <w:tcBorders/>
            <w:shd w:fill="CCEEFF" w:val="clear"/>
            <w:vAlign w:val="bottom"/>
          </w:tcPr>
          <w:p>
            <w:pPr>
              <w:pStyle w:val="TableContents"/>
              <w:bidi w:val="0"/>
              <w:spacing w:before="0" w:after="0"/>
              <w:jc w:val="right"/>
              <w:rPr>
                <w:color w:val="000000"/>
              </w:rPr>
            </w:pPr>
            <w:r>
              <w:rPr>
                <w:color w:val="000000"/>
              </w:rPr>
              <w:t>19,708</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1217" w:type="dxa"/>
            <w:tcBorders/>
            <w:shd w:fill="CCEEFF" w:val="clear"/>
            <w:vAlign w:val="bottom"/>
          </w:tcPr>
          <w:p>
            <w:pPr>
              <w:pStyle w:val="TableContents"/>
              <w:bidi w:val="0"/>
              <w:spacing w:before="0" w:after="0"/>
              <w:jc w:val="right"/>
              <w:rPr>
                <w:color w:val="000000"/>
              </w:rPr>
            </w:pPr>
            <w:r>
              <w:rPr>
                <w:color w:val="000000"/>
              </w:rPr>
              <w:t>3,809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43,671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39,149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9" w:type="dxa"/>
            <w:tcBorders/>
            <w:shd w:fill="CCEEFF" w:val="clear"/>
            <w:vAlign w:val="bottom"/>
          </w:tcPr>
          <w:p>
            <w:pPr>
              <w:pStyle w:val="TableContents"/>
              <w:bidi w:val="0"/>
              <w:spacing w:before="0" w:after="0"/>
              <w:jc w:val="left"/>
              <w:rPr>
                <w:color w:val="000000"/>
              </w:rPr>
            </w:pPr>
            <w:r>
              <w:rPr>
                <w:color w:val="000000"/>
              </w:rPr>
              <w:t>$</w:t>
            </w:r>
          </w:p>
        </w:tc>
        <w:tc>
          <w:tcPr>
            <w:tcW w:w="1217" w:type="dxa"/>
            <w:tcBorders/>
            <w:shd w:fill="CCEEFF" w:val="clear"/>
            <w:vAlign w:val="bottom"/>
          </w:tcPr>
          <w:p>
            <w:pPr>
              <w:pStyle w:val="TableContents"/>
              <w:bidi w:val="0"/>
              <w:spacing w:before="0" w:after="0"/>
              <w:jc w:val="right"/>
              <w:rPr>
                <w:color w:val="000000"/>
              </w:rPr>
            </w:pPr>
            <w:r>
              <w:rPr>
                <w:color w:val="000000"/>
              </w:rPr>
              <w:t>4,522</w:t>
            </w:r>
          </w:p>
        </w:tc>
        <w:tc>
          <w:tcPr>
            <w:tcW w:w="141" w:type="dxa"/>
            <w:tcBorders/>
            <w:shd w:fill="CCEEFF" w:val="clear"/>
            <w:vAlign w:val="bottom"/>
          </w:tcPr>
          <w:p>
            <w:pPr>
              <w:pStyle w:val="TableContents"/>
              <w:bidi w:val="0"/>
              <w:spacing w:before="0" w:after="283"/>
              <w:jc w:val="left"/>
              <w:rPr/>
            </w:pPr>
            <w:r>
              <w:rPr/>
              <w:t> </w:t>
            </w:r>
          </w:p>
        </w:tc>
      </w:tr>
      <w:tr>
        <w:trPr/>
        <w:tc>
          <w:tcPr>
            <w:tcW w:w="2277" w:type="dxa"/>
            <w:tcBorders/>
            <w:vAlign w:val="bottom"/>
          </w:tcPr>
          <w:p>
            <w:pPr>
              <w:pStyle w:val="TableContents"/>
              <w:bidi w:val="0"/>
              <w:spacing w:before="0" w:after="0"/>
              <w:ind w:left="180" w:right="0" w:hanging="0"/>
              <w:jc w:val="left"/>
              <w:rPr>
                <w:color w:val="000000"/>
              </w:rPr>
            </w:pPr>
            <w:r>
              <w:rPr>
                <w:color w:val="000000"/>
              </w:rPr>
              <w:t>Occupancy and equipment, net</w:t>
            </w:r>
          </w:p>
        </w:tc>
        <w:tc>
          <w:tcPr>
            <w:tcW w:w="9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color w:val="000000"/>
              </w:rPr>
            </w:pPr>
            <w:r>
              <w:rPr>
                <w:color w:val="000000"/>
              </w:rPr>
              <w:t>4,330</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color w:val="000000"/>
              </w:rPr>
            </w:pPr>
            <w:r>
              <w:rPr>
                <w:color w:val="000000"/>
              </w:rPr>
              <w:t>3,972</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349"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0"/>
              <w:jc w:val="right"/>
              <w:rPr>
                <w:color w:val="000000"/>
              </w:rPr>
            </w:pPr>
            <w:r>
              <w:rPr>
                <w:color w:val="000000"/>
              </w:rPr>
              <w:t>358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8,283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7,999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49"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0"/>
              <w:jc w:val="right"/>
              <w:rPr>
                <w:color w:val="000000"/>
              </w:rPr>
            </w:pPr>
            <w:r>
              <w:rPr>
                <w:color w:val="000000"/>
              </w:rPr>
              <w:t>284</w:t>
            </w:r>
          </w:p>
        </w:tc>
        <w:tc>
          <w:tcPr>
            <w:tcW w:w="141" w:type="dxa"/>
            <w:tcBorders/>
            <w:vAlign w:val="bottom"/>
          </w:tcPr>
          <w:p>
            <w:pPr>
              <w:pStyle w:val="TableContents"/>
              <w:bidi w:val="0"/>
              <w:spacing w:before="0" w:after="283"/>
              <w:jc w:val="left"/>
              <w:rPr/>
            </w:pPr>
            <w:r>
              <w:rPr/>
              <w:t> </w:t>
            </w:r>
          </w:p>
        </w:tc>
      </w:tr>
      <w:tr>
        <w:trPr/>
        <w:tc>
          <w:tcPr>
            <w:tcW w:w="2277" w:type="dxa"/>
            <w:tcBorders/>
            <w:shd w:fill="CCEEFF" w:val="clear"/>
            <w:vAlign w:val="bottom"/>
          </w:tcPr>
          <w:p>
            <w:pPr>
              <w:pStyle w:val="TableContents"/>
              <w:bidi w:val="0"/>
              <w:spacing w:before="0" w:after="0"/>
              <w:ind w:left="180" w:right="0" w:hanging="0"/>
              <w:jc w:val="left"/>
              <w:rPr>
                <w:color w:val="000000"/>
              </w:rPr>
            </w:pPr>
            <w:r>
              <w:rPr>
                <w:color w:val="000000"/>
              </w:rPr>
              <w:t>Professional services</w:t>
            </w:r>
          </w:p>
        </w:tc>
        <w:tc>
          <w:tcPr>
            <w:tcW w:w="9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color w:val="000000"/>
              </w:rPr>
            </w:pPr>
            <w:r>
              <w:rPr>
                <w:color w:val="000000"/>
              </w:rPr>
              <w:t>1,850</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color w:val="000000"/>
              </w:rPr>
            </w:pPr>
            <w:r>
              <w:rPr>
                <w:color w:val="000000"/>
              </w:rPr>
              <w:t>1,874</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349"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0"/>
              <w:jc w:val="right"/>
              <w:rPr>
                <w:color w:val="000000"/>
              </w:rPr>
            </w:pPr>
            <w:r>
              <w:rPr>
                <w:color w:val="000000"/>
              </w:rPr>
              <w:t>(24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4,805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3,604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9"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0"/>
              <w:jc w:val="right"/>
              <w:rPr>
                <w:color w:val="000000"/>
              </w:rPr>
            </w:pPr>
            <w:r>
              <w:rPr>
                <w:color w:val="000000"/>
              </w:rPr>
              <w:t>1,201</w:t>
            </w:r>
          </w:p>
        </w:tc>
        <w:tc>
          <w:tcPr>
            <w:tcW w:w="141" w:type="dxa"/>
            <w:tcBorders/>
            <w:shd w:fill="CCEEFF" w:val="clear"/>
            <w:vAlign w:val="bottom"/>
          </w:tcPr>
          <w:p>
            <w:pPr>
              <w:pStyle w:val="TableContents"/>
              <w:bidi w:val="0"/>
              <w:spacing w:before="0" w:after="283"/>
              <w:jc w:val="left"/>
              <w:rPr/>
            </w:pPr>
            <w:r>
              <w:rPr/>
              <w:t> </w:t>
            </w:r>
          </w:p>
        </w:tc>
      </w:tr>
      <w:tr>
        <w:trPr/>
        <w:tc>
          <w:tcPr>
            <w:tcW w:w="2277" w:type="dxa"/>
            <w:tcBorders/>
            <w:vAlign w:val="bottom"/>
          </w:tcPr>
          <w:p>
            <w:pPr>
              <w:pStyle w:val="TableContents"/>
              <w:bidi w:val="0"/>
              <w:spacing w:before="0" w:after="0"/>
              <w:ind w:left="180" w:right="0" w:hanging="0"/>
              <w:jc w:val="left"/>
              <w:rPr>
                <w:color w:val="000000"/>
              </w:rPr>
            </w:pPr>
            <w:r>
              <w:rPr>
                <w:color w:val="000000"/>
              </w:rPr>
              <w:t>Marketing and development</w:t>
            </w:r>
          </w:p>
        </w:tc>
        <w:tc>
          <w:tcPr>
            <w:tcW w:w="9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color w:val="000000"/>
              </w:rPr>
            </w:pPr>
            <w:r>
              <w:rPr>
                <w:color w:val="000000"/>
              </w:rPr>
              <w:t>1,032</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color w:val="000000"/>
              </w:rPr>
            </w:pPr>
            <w:r>
              <w:rPr>
                <w:color w:val="000000"/>
              </w:rPr>
              <w:t>919</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349"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0"/>
              <w:jc w:val="right"/>
              <w:rPr>
                <w:color w:val="000000"/>
              </w:rPr>
            </w:pPr>
            <w:r>
              <w:rPr>
                <w:color w:val="000000"/>
              </w:rPr>
              <w:t>113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2,033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1,824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49"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0"/>
              <w:jc w:val="right"/>
              <w:rPr>
                <w:color w:val="000000"/>
              </w:rPr>
            </w:pPr>
            <w:r>
              <w:rPr>
                <w:color w:val="000000"/>
              </w:rPr>
              <w:t>209</w:t>
            </w:r>
          </w:p>
        </w:tc>
        <w:tc>
          <w:tcPr>
            <w:tcW w:w="141" w:type="dxa"/>
            <w:tcBorders/>
            <w:vAlign w:val="bottom"/>
          </w:tcPr>
          <w:p>
            <w:pPr>
              <w:pStyle w:val="TableContents"/>
              <w:bidi w:val="0"/>
              <w:spacing w:before="0" w:after="283"/>
              <w:jc w:val="left"/>
              <w:rPr/>
            </w:pPr>
            <w:r>
              <w:rPr/>
              <w:t> </w:t>
            </w:r>
          </w:p>
        </w:tc>
      </w:tr>
      <w:tr>
        <w:trPr/>
        <w:tc>
          <w:tcPr>
            <w:tcW w:w="2277" w:type="dxa"/>
            <w:tcBorders/>
            <w:shd w:fill="CCEEFF" w:val="clear"/>
            <w:vAlign w:val="bottom"/>
          </w:tcPr>
          <w:p>
            <w:pPr>
              <w:pStyle w:val="TableContents"/>
              <w:bidi w:val="0"/>
              <w:spacing w:before="0" w:after="0"/>
              <w:ind w:left="180" w:right="0" w:hanging="0"/>
              <w:jc w:val="left"/>
              <w:rPr>
                <w:color w:val="000000"/>
              </w:rPr>
            </w:pPr>
            <w:r>
              <w:rPr>
                <w:color w:val="000000"/>
              </w:rPr>
              <w:t>IT and data services</w:t>
            </w:r>
          </w:p>
        </w:tc>
        <w:tc>
          <w:tcPr>
            <w:tcW w:w="9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color w:val="000000"/>
              </w:rPr>
            </w:pPr>
            <w:r>
              <w:rPr>
                <w:color w:val="000000"/>
              </w:rPr>
              <w:t>1,968</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color w:val="000000"/>
              </w:rPr>
            </w:pPr>
            <w:r>
              <w:rPr>
                <w:color w:val="000000"/>
              </w:rPr>
              <w:t>1,181</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349"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0"/>
              <w:jc w:val="right"/>
              <w:rPr>
                <w:color w:val="000000"/>
              </w:rPr>
            </w:pPr>
            <w:r>
              <w:rPr>
                <w:color w:val="000000"/>
              </w:rPr>
              <w:t>787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3,349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2,345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9"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0"/>
              <w:jc w:val="right"/>
              <w:rPr>
                <w:color w:val="000000"/>
              </w:rPr>
            </w:pPr>
            <w:r>
              <w:rPr>
                <w:color w:val="000000"/>
              </w:rPr>
              <w:t>1,004</w:t>
            </w:r>
          </w:p>
        </w:tc>
        <w:tc>
          <w:tcPr>
            <w:tcW w:w="141" w:type="dxa"/>
            <w:tcBorders/>
            <w:shd w:fill="CCEEFF" w:val="clear"/>
            <w:vAlign w:val="bottom"/>
          </w:tcPr>
          <w:p>
            <w:pPr>
              <w:pStyle w:val="TableContents"/>
              <w:bidi w:val="0"/>
              <w:spacing w:before="0" w:after="283"/>
              <w:jc w:val="left"/>
              <w:rPr/>
            </w:pPr>
            <w:r>
              <w:rPr/>
              <w:t> </w:t>
            </w:r>
          </w:p>
        </w:tc>
      </w:tr>
      <w:tr>
        <w:trPr/>
        <w:tc>
          <w:tcPr>
            <w:tcW w:w="2277" w:type="dxa"/>
            <w:tcBorders/>
            <w:vAlign w:val="bottom"/>
          </w:tcPr>
          <w:p>
            <w:pPr>
              <w:pStyle w:val="TableContents"/>
              <w:bidi w:val="0"/>
              <w:spacing w:before="0" w:after="0"/>
              <w:ind w:left="180" w:right="0" w:hanging="0"/>
              <w:jc w:val="left"/>
              <w:rPr>
                <w:color w:val="000000"/>
              </w:rPr>
            </w:pPr>
            <w:r>
              <w:rPr>
                <w:color w:val="000000"/>
              </w:rPr>
              <w:t>Bankcard expenses</w:t>
            </w:r>
          </w:p>
        </w:tc>
        <w:tc>
          <w:tcPr>
            <w:tcW w:w="9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color w:val="000000"/>
              </w:rPr>
            </w:pPr>
            <w:r>
              <w:rPr>
                <w:color w:val="000000"/>
              </w:rPr>
              <w:t>1,616</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color w:val="000000"/>
              </w:rPr>
            </w:pPr>
            <w:r>
              <w:rPr>
                <w:color w:val="000000"/>
              </w:rPr>
              <w:t>1,579</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349"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0"/>
              <w:jc w:val="right"/>
              <w:rPr>
                <w:color w:val="000000"/>
              </w:rPr>
            </w:pPr>
            <w:r>
              <w:rPr>
                <w:color w:val="000000"/>
              </w:rPr>
              <w:t>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3,224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3,033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49"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0"/>
              <w:jc w:val="right"/>
              <w:rPr>
                <w:color w:val="000000"/>
              </w:rPr>
            </w:pPr>
            <w:r>
              <w:rPr>
                <w:color w:val="000000"/>
              </w:rPr>
              <w:t>191</w:t>
            </w:r>
          </w:p>
        </w:tc>
        <w:tc>
          <w:tcPr>
            <w:tcW w:w="141" w:type="dxa"/>
            <w:tcBorders/>
            <w:vAlign w:val="bottom"/>
          </w:tcPr>
          <w:p>
            <w:pPr>
              <w:pStyle w:val="TableContents"/>
              <w:bidi w:val="0"/>
              <w:spacing w:before="0" w:after="283"/>
              <w:jc w:val="left"/>
              <w:rPr/>
            </w:pPr>
            <w:r>
              <w:rPr/>
              <w:t> </w:t>
            </w:r>
          </w:p>
        </w:tc>
      </w:tr>
      <w:tr>
        <w:trPr/>
        <w:tc>
          <w:tcPr>
            <w:tcW w:w="2277" w:type="dxa"/>
            <w:tcBorders/>
            <w:shd w:fill="CCEEFF" w:val="clear"/>
            <w:vAlign w:val="bottom"/>
          </w:tcPr>
          <w:p>
            <w:pPr>
              <w:pStyle w:val="TableContents"/>
              <w:bidi w:val="0"/>
              <w:spacing w:before="0" w:after="0"/>
              <w:ind w:left="180" w:right="0" w:hanging="0"/>
              <w:jc w:val="left"/>
              <w:rPr>
                <w:color w:val="000000"/>
              </w:rPr>
            </w:pPr>
            <w:r>
              <w:rPr>
                <w:color w:val="000000"/>
              </w:rPr>
              <w:t>Appraisal expenses</w:t>
            </w:r>
          </w:p>
        </w:tc>
        <w:tc>
          <w:tcPr>
            <w:tcW w:w="9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color w:val="000000"/>
              </w:rPr>
            </w:pPr>
            <w:r>
              <w:rPr>
                <w:color w:val="000000"/>
              </w:rPr>
              <w:t>375</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0"/>
              <w:jc w:val="right"/>
              <w:rPr>
                <w:color w:val="000000"/>
              </w:rPr>
            </w:pPr>
            <w:r>
              <w:rPr>
                <w:color w:val="000000"/>
              </w:rPr>
              <w:t>236</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349"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0"/>
              <w:jc w:val="right"/>
              <w:rPr>
                <w:color w:val="000000"/>
              </w:rPr>
            </w:pPr>
            <w:r>
              <w:rPr>
                <w:color w:val="000000"/>
              </w:rPr>
              <w:t>139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566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428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9"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0"/>
              <w:jc w:val="right"/>
              <w:rPr>
                <w:color w:val="000000"/>
              </w:rPr>
            </w:pPr>
            <w:r>
              <w:rPr>
                <w:color w:val="000000"/>
              </w:rPr>
              <w:t>138</w:t>
            </w:r>
          </w:p>
        </w:tc>
        <w:tc>
          <w:tcPr>
            <w:tcW w:w="141" w:type="dxa"/>
            <w:tcBorders/>
            <w:shd w:fill="CCEEFF" w:val="clear"/>
            <w:vAlign w:val="bottom"/>
          </w:tcPr>
          <w:p>
            <w:pPr>
              <w:pStyle w:val="TableContents"/>
              <w:bidi w:val="0"/>
              <w:spacing w:before="0" w:after="283"/>
              <w:jc w:val="left"/>
              <w:rPr/>
            </w:pPr>
            <w:r>
              <w:rPr/>
              <w:t> </w:t>
            </w:r>
          </w:p>
        </w:tc>
      </w:tr>
      <w:tr>
        <w:trPr/>
        <w:tc>
          <w:tcPr>
            <w:tcW w:w="2277" w:type="dxa"/>
            <w:tcBorders/>
            <w:vAlign w:val="bottom"/>
          </w:tcPr>
          <w:p>
            <w:pPr>
              <w:pStyle w:val="TableContents"/>
              <w:bidi w:val="0"/>
              <w:spacing w:lineRule="auto" w:line="240" w:before="0" w:after="0"/>
              <w:ind w:left="180" w:right="0" w:hanging="0"/>
              <w:jc w:val="left"/>
              <w:rPr>
                <w:color w:val="000000"/>
              </w:rPr>
            </w:pPr>
            <w:r>
              <w:rPr>
                <w:color w:val="000000"/>
              </w:rPr>
              <w:t>Other expenses(1)</w:t>
            </w:r>
          </w:p>
        </w:tc>
        <w:tc>
          <w:tcPr>
            <w:tcW w:w="90"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74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5,176</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74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4,074</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3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1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9,459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8,191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3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1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1,268</w:t>
            </w:r>
          </w:p>
        </w:tc>
        <w:tc>
          <w:tcPr>
            <w:tcW w:w="141" w:type="dxa"/>
            <w:tcBorders/>
            <w:vAlign w:val="bottom"/>
          </w:tcPr>
          <w:p>
            <w:pPr>
              <w:pStyle w:val="TableContents"/>
              <w:bidi w:val="0"/>
              <w:spacing w:before="0" w:after="283"/>
              <w:jc w:val="left"/>
              <w:rPr/>
            </w:pPr>
            <w:r>
              <w:rPr/>
              <w:t> </w:t>
            </w:r>
          </w:p>
        </w:tc>
      </w:tr>
      <w:tr>
        <w:trPr/>
        <w:tc>
          <w:tcPr>
            <w:tcW w:w="2277" w:type="dxa"/>
            <w:tcBorders/>
            <w:shd w:fill="CCEEFF" w:val="clear"/>
            <w:vAlign w:val="bottom"/>
          </w:tcPr>
          <w:p>
            <w:pPr>
              <w:pStyle w:val="TableContents"/>
              <w:bidi w:val="0"/>
              <w:spacing w:before="0" w:after="0"/>
              <w:ind w:left="360" w:right="0" w:hanging="0"/>
              <w:jc w:val="left"/>
              <w:rPr>
                <w:color w:val="000000"/>
              </w:rPr>
            </w:pPr>
            <w:r>
              <w:rPr>
                <w:color w:val="000000"/>
              </w:rPr>
              <w:t>Total noninterest expense</w:t>
            </w:r>
          </w:p>
        </w:tc>
        <w:tc>
          <w:tcPr>
            <w:tcW w:w="90" w:type="dxa"/>
            <w:tcBorders/>
            <w:shd w:fill="CCEEFF" w:val="clear"/>
            <w:vAlign w:val="bottom"/>
          </w:tcPr>
          <w:p>
            <w:pPr>
              <w:pStyle w:val="TableContents"/>
              <w:bidi w:val="0"/>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39,864</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33,543</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34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1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75,390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66,573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4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1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8,817</w:t>
            </w:r>
          </w:p>
        </w:tc>
        <w:tc>
          <w:tcPr>
            <w:tcW w:w="14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5" w:name="z0bcd7a4a29bd464699047a5df8d18f83"/>
      <w:bookmarkStart w:id="216" w:name="z0bcd7a4a29bd464699047a5df8d18f83"/>
      <w:bookmarkEnd w:id="216"/>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color w:val="000000"/>
              </w:rPr>
            </w:pPr>
            <w:r>
              <w:rPr>
                <w:color w:val="000000"/>
              </w:rPr>
              <w:t>(1)</w:t>
            </w:r>
          </w:p>
        </w:tc>
        <w:tc>
          <w:tcPr>
            <w:tcW w:w="9910" w:type="dxa"/>
            <w:tcBorders/>
            <w:vAlign w:val="center"/>
          </w:tcPr>
          <w:p>
            <w:pPr>
              <w:pStyle w:val="TableContents"/>
              <w:bidi w:val="0"/>
              <w:spacing w:before="0" w:after="0"/>
              <w:jc w:val="left"/>
              <w:rPr>
                <w:color w:val="000000"/>
              </w:rPr>
            </w:pPr>
            <w:r>
              <w:rPr>
                <w:color w:val="000000"/>
              </w:rPr>
              <w:t>Other expenses include items such as banking regulatory assessments, intangible asset amortization, data conversion expenses, telephone expenses, postage, courier fees, directors’ fees, and insurance.</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Noninterest expense for the three months ended June 30, 2026 was $39.9 million compared to $33.5 million for the three months ended June 30, 2025, an increase of $6.3 million, or 18.8%. Significant changes in the components of noninterest expense are detailed below. There was a total of $1.1 million of acquisition related expenses recorded in the three months ended June 30, 2026. This total was comprised of $708 thousand in personnel expenses and $343 thousand in data conversion expenses.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Salaries and employee benefits</w:t>
      </w:r>
      <w:r>
        <w:rPr>
          <w:rFonts w:ascii="Times New Roman" w:hAnsi="Times New Roman"/>
          <w:color w:val="000000"/>
          <w:sz w:val="20"/>
          <w:shd w:fill="FFFFFF" w:val="clear"/>
        </w:rPr>
        <w:t xml:space="preserve"> - Salaries and employee benefits increased $3.8 million, or 19.3%, from $19.8 million for the three months ended June 30, 2025 to $23.5 million for the three months ended June 30, 2026. This increase was primarily driven by personnel expenses related to the BOH acquisition - both recurring core and one-time expenses, annual salary adjustments, and new lender hires during the last twelve months.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Occupancy and equipment, net</w:t>
      </w:r>
      <w:r>
        <w:rPr>
          <w:rFonts w:ascii="Times New Roman" w:hAnsi="Times New Roman"/>
          <w:color w:val="000000"/>
          <w:sz w:val="20"/>
          <w:shd w:fill="FFFFFF" w:val="clear"/>
        </w:rPr>
        <w:t xml:space="preserve"> - Occupancy expenses increased $358 thousand or 9.0%, from $4.0 million for the three months ended June 30, 2025 to $4.3 million for the three months ended June 30, 2026. This increase was primarily related to new costs related to the acquisition of BOH.</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 xml:space="preserve">IT and data services - </w:t>
      </w:r>
      <w:r>
        <w:rPr>
          <w:rFonts w:ascii="Times New Roman" w:hAnsi="Times New Roman"/>
          <w:color w:val="000000"/>
          <w:sz w:val="20"/>
          <w:shd w:fill="FFFFFF" w:val="clear"/>
        </w:rPr>
        <w:t>IT and data services increased $787 thousand or 66.6%, to $2.0 million for the three months ended June 30, 2026 from $1.2 million for the three months ended June 30, 2025. This increase was largely related to the acquisition of BOH, in addition to rising software costs and costs related to the implementation of a new loan origination system.</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 xml:space="preserve">Other expenses - </w:t>
      </w:r>
      <w:r>
        <w:rPr>
          <w:rFonts w:ascii="Times New Roman" w:hAnsi="Times New Roman"/>
          <w:color w:val="000000"/>
          <w:sz w:val="20"/>
          <w:shd w:fill="FFFFFF" w:val="clear"/>
        </w:rPr>
        <w:t>Other expenses increased $1.1 million, or 27.0%, from $4.0 million for the three months ended June 30, 2025 to $5.2 million for the three months ended June 30, 2026. This was primarily the result of increases for data conversion expenses related to the BOH acquisition and new core expenses after the acquisition of BOH.</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Noninterest expense for the six months ended June 30, 2026 was $75.4 million, compared to $66.6 million for the six months ended June 30, 2025, an increase of $8.8 million, or 13.2%. Significant changes in the components of noninterest expense are detailed below. There was a total of $2.6 million of acquisition related expenses recorded in the six months ended June 30, 2026. This total was comprised of $708 thousand in personnel expenses, $1.2 million in professional services expense, and $693 thousand in data conversion expenses.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Salaries and employee benefits</w:t>
      </w:r>
      <w:r>
        <w:rPr>
          <w:rFonts w:ascii="Times New Roman" w:hAnsi="Times New Roman"/>
          <w:color w:val="000000"/>
          <w:sz w:val="20"/>
          <w:shd w:fill="FFFFFF" w:val="clear"/>
        </w:rPr>
        <w:t xml:space="preserve"> - Salaries and employee benefits increased $4.5 million, or 11.6%, from $39.1 million for the six months ended June 30, 2025 to $43.7 million for the six months ended June 30, 2026. This increase was primarily driven by personnel expenses related to the BOH acquisition - both recurring core and one-time expenses, annual salary adjustments and new lender hires during the last twelve months.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Professional services</w:t>
      </w:r>
      <w:r>
        <w:rPr>
          <w:rFonts w:ascii="Times New Roman" w:hAnsi="Times New Roman"/>
          <w:color w:val="000000"/>
          <w:sz w:val="20"/>
          <w:shd w:fill="FFFFFF" w:val="clear"/>
        </w:rPr>
        <w:t xml:space="preserve"> - Professional services increased $1.2 million, or 33.3% from $3.6 million for the three months ended June 30, 2025 to $4.8 million for the three months ended June 30, 2026. This increase was driven by the $1.2 million of acquisition related expenses in the first quarter of 2026.</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 xml:space="preserve">IT and data services - </w:t>
      </w:r>
      <w:r>
        <w:rPr>
          <w:rFonts w:ascii="Times New Roman" w:hAnsi="Times New Roman"/>
          <w:color w:val="000000"/>
          <w:sz w:val="20"/>
          <w:shd w:fill="FFFFFF" w:val="clear"/>
        </w:rPr>
        <w:t>IT and data services increased $1.0 million, or 42.8%, from $2.3 million for six months ended June 30, 2025 to $3.3 million for the six months ended June 30, 2026. The increase is primarily a result of the acquisition of BOH, additionally, there has been continued rising cost of technology services and new costs related to the implementation of a new loan origination system.</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Other expenses - </w:t>
      </w:r>
      <w:r>
        <w:rPr>
          <w:rFonts w:ascii="Times New Roman" w:hAnsi="Times New Roman"/>
          <w:color w:val="000000"/>
          <w:sz w:val="20"/>
          <w:shd w:fill="FFFFFF" w:val="clear"/>
        </w:rPr>
        <w:t>Other expenses increased $1.3 million, or 15.5%, from $8.2 million for the six months ended June 30, 2025 to $9.5 million for the six months ended June 30, 2026. This was primarily the result of increases for data conversion expenses related to the BOH acquisition and new core expenses after the acquisition of BOH.</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total assets increased $910.7 million, or 20.3%, to $5.39 billion at June 30, 2026, compared to $4.48 billion at December 31, 2025. Our loans held for investment increased $626.9 million, or 19.9%, to $3.77 billion at June 30, 2026, compared to $3.14 billion at December 31, 2025. Our securities portfolio decreased $12.1 million, or 2.1%, to $555.4 million at June 30, 2026, compared to $567.5 million at December 31, 2025. Total deposits increased $766.5 million, or 19.8%, to $4.64 billion at June 30, 2026, compared to $3.87 billion at December 31, 2025.</w:t>
      </w:r>
    </w:p>
    <w:p>
      <w:pPr>
        <w:pStyle w:val="TextBody"/>
        <w:bidi w:val="0"/>
        <w:spacing w:before="0" w:after="0"/>
        <w:jc w:val="both"/>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Loan Portfolio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held for investment increased $626.9 million, or 19.9%, to $3.77 billion at June 30, 2026, compared to $3.14 billion at December 31, 2025. The increase in loans was primarily a result of an increase of $631.9 million in loans from the BOH acquisition.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contractual maturities of our loans held for investment portfolio at June 30, 2026:</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17" w:name="z8284d1dcb16c44b09c3d1bcf7bbb3a29"/>
      <w:bookmarkStart w:id="218" w:name="z8284d1dcb16c44b09c3d1bcf7bbb3a29"/>
      <w:bookmarkEnd w:id="218"/>
    </w:p>
    <w:tbl>
      <w:tblPr>
        <w:tblW w:w="10205" w:type="dxa"/>
        <w:jc w:val="left"/>
        <w:tblInd w:w="0" w:type="dxa"/>
        <w:tblLayout w:type="fixed"/>
        <w:tblCellMar>
          <w:top w:w="0" w:type="dxa"/>
          <w:left w:w="0" w:type="dxa"/>
          <w:bottom w:w="0" w:type="dxa"/>
          <w:right w:w="0" w:type="dxa"/>
        </w:tblCellMar>
      </w:tblPr>
      <w:tblGrid>
        <w:gridCol w:w="2406"/>
        <w:gridCol w:w="90"/>
        <w:gridCol w:w="222"/>
        <w:gridCol w:w="1089"/>
        <w:gridCol w:w="90"/>
        <w:gridCol w:w="90"/>
        <w:gridCol w:w="212"/>
        <w:gridCol w:w="1265"/>
        <w:gridCol w:w="90"/>
        <w:gridCol w:w="90"/>
        <w:gridCol w:w="251"/>
        <w:gridCol w:w="1233"/>
        <w:gridCol w:w="90"/>
        <w:gridCol w:w="90"/>
        <w:gridCol w:w="237"/>
        <w:gridCol w:w="1161"/>
        <w:gridCol w:w="90"/>
        <w:gridCol w:w="90"/>
        <w:gridCol w:w="170"/>
        <w:gridCol w:w="1010"/>
        <w:gridCol w:w="139"/>
      </w:tblGrid>
      <w:tr>
        <w:trPr/>
        <w:tc>
          <w:tcPr>
            <w:tcW w:w="240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11"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Due in</w:t>
            </w:r>
          </w:p>
          <w:p>
            <w:pPr>
              <w:pStyle w:val="TableContents"/>
              <w:bidi w:val="0"/>
              <w:spacing w:before="0" w:after="0"/>
              <w:jc w:val="center"/>
              <w:rPr>
                <w:b/>
                <w:color w:val="000000"/>
              </w:rPr>
            </w:pPr>
            <w:r>
              <w:rPr>
                <w:b/>
                <w:color w:val="000000"/>
              </w:rPr>
              <w:t>One Year or</w:t>
            </w:r>
          </w:p>
          <w:p>
            <w:pPr>
              <w:pStyle w:val="TableContents"/>
              <w:bidi w:val="0"/>
              <w:spacing w:before="0" w:after="0"/>
              <w:jc w:val="center"/>
              <w:rPr>
                <w:b/>
                <w:color w:val="000000"/>
              </w:rPr>
            </w:pPr>
            <w:r>
              <w:rPr>
                <w:b/>
                <w:color w:val="000000"/>
              </w:rPr>
              <w:t>Less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77"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Due after One</w:t>
            </w:r>
          </w:p>
          <w:p>
            <w:pPr>
              <w:pStyle w:val="TableContents"/>
              <w:bidi w:val="0"/>
              <w:spacing w:before="0" w:after="0"/>
              <w:jc w:val="center"/>
              <w:rPr>
                <w:b/>
                <w:color w:val="000000"/>
              </w:rPr>
            </w:pPr>
            <w:r>
              <w:rPr>
                <w:b/>
                <w:color w:val="000000"/>
              </w:rPr>
              <w:t>Year</w:t>
            </w:r>
          </w:p>
          <w:p>
            <w:pPr>
              <w:pStyle w:val="TableContents"/>
              <w:bidi w:val="0"/>
              <w:spacing w:before="0" w:after="0"/>
              <w:jc w:val="center"/>
              <w:rPr>
                <w:b/>
                <w:color w:val="000000"/>
              </w:rPr>
            </w:pPr>
            <w:r>
              <w:rPr>
                <w:b/>
                <w:color w:val="000000"/>
              </w:rPr>
              <w:t>Through Five</w:t>
            </w:r>
          </w:p>
          <w:p>
            <w:pPr>
              <w:pStyle w:val="TableContents"/>
              <w:bidi w:val="0"/>
              <w:spacing w:before="0" w:after="0"/>
              <w:jc w:val="center"/>
              <w:rPr>
                <w:b/>
                <w:color w:val="000000"/>
              </w:rPr>
            </w:pPr>
            <w:r>
              <w:rPr>
                <w:b/>
                <w:color w:val="000000"/>
              </w:rPr>
              <w:t>Years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84"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Due after Five</w:t>
            </w:r>
          </w:p>
          <w:p>
            <w:pPr>
              <w:pStyle w:val="TableContents"/>
              <w:bidi w:val="0"/>
              <w:spacing w:before="0" w:after="0"/>
              <w:jc w:val="center"/>
              <w:rPr>
                <w:b/>
                <w:color w:val="000000"/>
              </w:rPr>
            </w:pPr>
            <w:r>
              <w:rPr>
                <w:b/>
                <w:color w:val="000000"/>
              </w:rPr>
              <w:t>Years</w:t>
            </w:r>
          </w:p>
          <w:p>
            <w:pPr>
              <w:pStyle w:val="TableContents"/>
              <w:bidi w:val="0"/>
              <w:spacing w:before="0" w:after="0"/>
              <w:jc w:val="center"/>
              <w:rPr>
                <w:b/>
                <w:color w:val="000000"/>
              </w:rPr>
            </w:pPr>
            <w:r>
              <w:rPr>
                <w:b/>
                <w:color w:val="000000"/>
              </w:rPr>
              <w:t>Through</w:t>
            </w:r>
          </w:p>
          <w:p>
            <w:pPr>
              <w:pStyle w:val="TableContents"/>
              <w:bidi w:val="0"/>
              <w:spacing w:before="0" w:after="0"/>
              <w:jc w:val="center"/>
              <w:rPr>
                <w:b/>
                <w:color w:val="000000"/>
              </w:rPr>
            </w:pPr>
            <w:r>
              <w:rPr>
                <w:b/>
                <w:color w:val="000000"/>
              </w:rPr>
              <w:t>Fifteen Years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98"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Due after</w:t>
            </w:r>
          </w:p>
          <w:p>
            <w:pPr>
              <w:pStyle w:val="TableContents"/>
              <w:bidi w:val="0"/>
              <w:spacing w:before="0" w:after="0"/>
              <w:jc w:val="center"/>
              <w:rPr>
                <w:b/>
                <w:color w:val="000000"/>
              </w:rPr>
            </w:pPr>
            <w:r>
              <w:rPr>
                <w:b/>
                <w:color w:val="000000"/>
              </w:rPr>
              <w:t>Fifteen Years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Total</w:t>
            </w:r>
          </w:p>
        </w:tc>
        <w:tc>
          <w:tcPr>
            <w:tcW w:w="139" w:type="dxa"/>
            <w:tcBorders/>
            <w:vAlign w:val="bottom"/>
          </w:tcPr>
          <w:p>
            <w:pPr>
              <w:pStyle w:val="TableContents"/>
              <w:bidi w:val="0"/>
              <w:spacing w:before="0" w:after="283"/>
              <w:jc w:val="left"/>
              <w:rPr/>
            </w:pPr>
            <w:r>
              <w:rPr/>
              <w:t> </w:t>
            </w:r>
          </w:p>
        </w:tc>
      </w:tr>
      <w:tr>
        <w:trPr/>
        <w:tc>
          <w:tcPr>
            <w:tcW w:w="240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570" w:type="dxa"/>
            <w:gridSpan w:val="18"/>
            <w:tcBorders/>
            <w:vAlign w:val="bottom"/>
          </w:tcPr>
          <w:p>
            <w:pPr>
              <w:pStyle w:val="TableContents"/>
              <w:bidi w:val="0"/>
              <w:spacing w:before="0" w:after="0"/>
              <w:jc w:val="center"/>
              <w:rPr>
                <w:b/>
                <w:color w:val="000000"/>
              </w:rPr>
            </w:pPr>
            <w:r>
              <w:rPr>
                <w:b/>
                <w:color w:val="000000"/>
              </w:rPr>
              <w:t>(Dollars in thousands)</w:t>
            </w:r>
          </w:p>
        </w:tc>
        <w:tc>
          <w:tcPr>
            <w:tcW w:w="139" w:type="dxa"/>
            <w:tcBorders/>
            <w:vAlign w:val="bottom"/>
          </w:tcPr>
          <w:p>
            <w:pPr>
              <w:pStyle w:val="TableContents"/>
              <w:bidi w:val="0"/>
              <w:spacing w:before="0" w:after="283"/>
              <w:jc w:val="left"/>
              <w:rPr/>
            </w:pPr>
            <w:r>
              <w:rPr/>
              <w:t> </w:t>
            </w:r>
          </w:p>
        </w:tc>
      </w:tr>
      <w:tr>
        <w:trPr/>
        <w:tc>
          <w:tcPr>
            <w:tcW w:w="2406"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0"/>
              <w:jc w:val="left"/>
              <w:rPr>
                <w:color w:val="000000"/>
              </w:rPr>
            </w:pPr>
            <w:r>
              <w:rPr>
                <w:color w:val="000000"/>
              </w:rPr>
              <w:t>$</w:t>
            </w:r>
          </w:p>
        </w:tc>
        <w:tc>
          <w:tcPr>
            <w:tcW w:w="1089" w:type="dxa"/>
            <w:tcBorders/>
            <w:shd w:fill="CCEEFF" w:val="clear"/>
            <w:vAlign w:val="bottom"/>
          </w:tcPr>
          <w:p>
            <w:pPr>
              <w:pStyle w:val="TableContents"/>
              <w:bidi w:val="0"/>
              <w:spacing w:before="0" w:after="0"/>
              <w:jc w:val="right"/>
              <w:rPr>
                <w:color w:val="000000"/>
              </w:rPr>
            </w:pPr>
            <w:r>
              <w:rPr>
                <w:color w:val="000000"/>
              </w:rPr>
              <w:t>324,181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0"/>
              <w:jc w:val="left"/>
              <w:rPr>
                <w:color w:val="000000"/>
              </w:rPr>
            </w:pPr>
            <w:r>
              <w:rPr>
                <w:color w:val="000000"/>
              </w:rPr>
              <w:t>$</w:t>
            </w:r>
          </w:p>
        </w:tc>
        <w:tc>
          <w:tcPr>
            <w:tcW w:w="1265" w:type="dxa"/>
            <w:tcBorders/>
            <w:shd w:fill="CCEEFF" w:val="clear"/>
            <w:vAlign w:val="bottom"/>
          </w:tcPr>
          <w:p>
            <w:pPr>
              <w:pStyle w:val="TableContents"/>
              <w:bidi w:val="0"/>
              <w:spacing w:before="0" w:after="0"/>
              <w:jc w:val="right"/>
              <w:rPr>
                <w:color w:val="000000"/>
              </w:rPr>
            </w:pPr>
            <w:r>
              <w:rPr>
                <w:color w:val="000000"/>
              </w:rPr>
              <w:t>724,554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0"/>
              <w:jc w:val="left"/>
              <w:rPr>
                <w:color w:val="000000"/>
              </w:rPr>
            </w:pPr>
            <w:r>
              <w:rPr>
                <w:color w:val="000000"/>
              </w:rPr>
              <w:t>$</w:t>
            </w:r>
          </w:p>
        </w:tc>
        <w:tc>
          <w:tcPr>
            <w:tcW w:w="1233" w:type="dxa"/>
            <w:tcBorders/>
            <w:shd w:fill="CCEEFF" w:val="clear"/>
            <w:vAlign w:val="bottom"/>
          </w:tcPr>
          <w:p>
            <w:pPr>
              <w:pStyle w:val="TableContents"/>
              <w:bidi w:val="0"/>
              <w:spacing w:before="0" w:after="0"/>
              <w:jc w:val="right"/>
              <w:rPr>
                <w:color w:val="000000"/>
              </w:rPr>
            </w:pPr>
            <w:r>
              <w:rPr>
                <w:color w:val="000000"/>
              </w:rPr>
              <w:t>231,053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0"/>
              <w:jc w:val="left"/>
              <w:rPr>
                <w:color w:val="000000"/>
              </w:rPr>
            </w:pPr>
            <w:r>
              <w:rPr>
                <w:color w:val="000000"/>
              </w:rPr>
              <w:t>$</w:t>
            </w:r>
          </w:p>
        </w:tc>
        <w:tc>
          <w:tcPr>
            <w:tcW w:w="1161" w:type="dxa"/>
            <w:tcBorders/>
            <w:shd w:fill="CCEEFF" w:val="clear"/>
            <w:vAlign w:val="bottom"/>
          </w:tcPr>
          <w:p>
            <w:pPr>
              <w:pStyle w:val="TableContents"/>
              <w:bidi w:val="0"/>
              <w:spacing w:before="0" w:after="0"/>
              <w:jc w:val="right"/>
              <w:rPr>
                <w:color w:val="000000"/>
              </w:rPr>
            </w:pPr>
            <w:r>
              <w:rPr>
                <w:color w:val="000000"/>
              </w:rPr>
              <w:t>52,732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1,332,520</w:t>
            </w:r>
          </w:p>
        </w:tc>
        <w:tc>
          <w:tcPr>
            <w:tcW w:w="139" w:type="dxa"/>
            <w:tcBorders/>
            <w:shd w:fill="CCEEFF" w:val="clear"/>
            <w:vAlign w:val="bottom"/>
          </w:tcPr>
          <w:p>
            <w:pPr>
              <w:pStyle w:val="TableContents"/>
              <w:bidi w:val="0"/>
              <w:spacing w:before="0" w:after="283"/>
              <w:jc w:val="left"/>
              <w:rPr/>
            </w:pPr>
            <w:r>
              <w:rPr/>
              <w:t> </w:t>
            </w:r>
          </w:p>
        </w:tc>
      </w:tr>
      <w:tr>
        <w:trPr/>
        <w:tc>
          <w:tcPr>
            <w:tcW w:w="2406"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color w:val="000000"/>
              </w:rPr>
            </w:pPr>
            <w:r>
              <w:rPr>
                <w:color w:val="000000"/>
              </w:rPr>
              <w:t>117,558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0"/>
              <w:jc w:val="right"/>
              <w:rPr>
                <w:color w:val="000000"/>
              </w:rPr>
            </w:pPr>
            <w:r>
              <w:rPr>
                <w:color w:val="000000"/>
              </w:rPr>
              <w:t>208,404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0"/>
              <w:jc w:val="right"/>
              <w:rPr>
                <w:color w:val="000000"/>
              </w:rPr>
            </w:pPr>
            <w:r>
              <w:rPr>
                <w:color w:val="000000"/>
              </w:rPr>
              <w:t>70,989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0"/>
              <w:jc w:val="right"/>
              <w:rPr>
                <w:color w:val="000000"/>
              </w:rPr>
            </w:pPr>
            <w:r>
              <w:rPr>
                <w:color w:val="000000"/>
              </w:rPr>
              <w:t>32,429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429,380</w:t>
            </w:r>
          </w:p>
        </w:tc>
        <w:tc>
          <w:tcPr>
            <w:tcW w:w="139" w:type="dxa"/>
            <w:tcBorders/>
            <w:vAlign w:val="bottom"/>
          </w:tcPr>
          <w:p>
            <w:pPr>
              <w:pStyle w:val="TableContents"/>
              <w:bidi w:val="0"/>
              <w:spacing w:before="0" w:after="283"/>
              <w:jc w:val="left"/>
              <w:rPr/>
            </w:pPr>
            <w:r>
              <w:rPr/>
              <w:t> </w:t>
            </w:r>
          </w:p>
        </w:tc>
      </w:tr>
      <w:tr>
        <w:trPr/>
        <w:tc>
          <w:tcPr>
            <w:tcW w:w="2406"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color w:val="000000"/>
              </w:rPr>
            </w:pPr>
            <w:r>
              <w:rPr>
                <w:color w:val="000000"/>
              </w:rPr>
              <w:t>202,434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0"/>
              <w:jc w:val="right"/>
              <w:rPr>
                <w:color w:val="000000"/>
              </w:rPr>
            </w:pPr>
            <w:r>
              <w:rPr>
                <w:color w:val="000000"/>
              </w:rPr>
              <w:t>387,516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0"/>
              <w:jc w:val="right"/>
              <w:rPr>
                <w:color w:val="000000"/>
              </w:rPr>
            </w:pPr>
            <w:r>
              <w:rPr>
                <w:color w:val="000000"/>
              </w:rPr>
              <w:t>158,280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0"/>
              <w:jc w:val="right"/>
              <w:rPr>
                <w:color w:val="000000"/>
              </w:rPr>
            </w:pPr>
            <w:r>
              <w:rPr>
                <w:color w:val="000000"/>
              </w:rPr>
              <w:t>79,222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827,452</w:t>
            </w:r>
          </w:p>
        </w:tc>
        <w:tc>
          <w:tcPr>
            <w:tcW w:w="139" w:type="dxa"/>
            <w:tcBorders/>
            <w:shd w:fill="CCEEFF" w:val="clear"/>
            <w:vAlign w:val="bottom"/>
          </w:tcPr>
          <w:p>
            <w:pPr>
              <w:pStyle w:val="TableContents"/>
              <w:bidi w:val="0"/>
              <w:spacing w:before="0" w:after="283"/>
              <w:jc w:val="left"/>
              <w:rPr/>
            </w:pPr>
            <w:r>
              <w:rPr/>
              <w:t> </w:t>
            </w:r>
          </w:p>
        </w:tc>
      </w:tr>
      <w:tr>
        <w:trPr/>
        <w:tc>
          <w:tcPr>
            <w:tcW w:w="2406"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r>
      <w:tr>
        <w:trPr/>
        <w:tc>
          <w:tcPr>
            <w:tcW w:w="2406"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color w:val="000000"/>
              </w:rPr>
            </w:pPr>
            <w:r>
              <w:rPr>
                <w:color w:val="000000"/>
              </w:rPr>
              <w:t>72,973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0"/>
              <w:jc w:val="right"/>
              <w:rPr>
                <w:color w:val="000000"/>
              </w:rPr>
            </w:pPr>
            <w:r>
              <w:rPr>
                <w:color w:val="000000"/>
              </w:rPr>
              <w:t>162,820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0"/>
              <w:jc w:val="right"/>
              <w:rPr>
                <w:color w:val="000000"/>
              </w:rPr>
            </w:pPr>
            <w:r>
              <w:rPr>
                <w:color w:val="000000"/>
              </w:rPr>
              <w:t>109,443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0"/>
              <w:jc w:val="right"/>
              <w:rPr>
                <w:color w:val="000000"/>
              </w:rPr>
            </w:pPr>
            <w:r>
              <w:rPr>
                <w:color w:val="000000"/>
              </w:rPr>
              <w:t>368,778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714,014</w:t>
            </w:r>
          </w:p>
        </w:tc>
        <w:tc>
          <w:tcPr>
            <w:tcW w:w="139" w:type="dxa"/>
            <w:tcBorders/>
            <w:shd w:fill="CCEEFF" w:val="clear"/>
            <w:vAlign w:val="bottom"/>
          </w:tcPr>
          <w:p>
            <w:pPr>
              <w:pStyle w:val="TableContents"/>
              <w:bidi w:val="0"/>
              <w:spacing w:before="0" w:after="283"/>
              <w:jc w:val="left"/>
              <w:rPr/>
            </w:pPr>
            <w:r>
              <w:rPr/>
              <w:t> </w:t>
            </w:r>
          </w:p>
        </w:tc>
      </w:tr>
      <w:tr>
        <w:trPr/>
        <w:tc>
          <w:tcPr>
            <w:tcW w:w="2406"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color w:val="000000"/>
              </w:rPr>
            </w:pPr>
            <w:r>
              <w:rPr>
                <w:color w:val="000000"/>
              </w:rPr>
              <w:t>4,018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0"/>
              <w:jc w:val="right"/>
              <w:rPr>
                <w:color w:val="000000"/>
              </w:rPr>
            </w:pPr>
            <w:r>
              <w:rPr>
                <w:color w:val="000000"/>
              </w:rPr>
              <w:t>159,309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0"/>
              <w:jc w:val="right"/>
              <w:rPr>
                <w:color w:val="000000"/>
              </w:rPr>
            </w:pPr>
            <w:r>
              <w:rPr>
                <w:color w:val="000000"/>
              </w:rPr>
              <w:t>100,483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263,810</w:t>
            </w:r>
          </w:p>
        </w:tc>
        <w:tc>
          <w:tcPr>
            <w:tcW w:w="139" w:type="dxa"/>
            <w:tcBorders/>
            <w:vAlign w:val="bottom"/>
          </w:tcPr>
          <w:p>
            <w:pPr>
              <w:pStyle w:val="TableContents"/>
              <w:bidi w:val="0"/>
              <w:spacing w:before="0" w:after="283"/>
              <w:jc w:val="left"/>
              <w:rPr/>
            </w:pPr>
            <w:r>
              <w:rPr/>
              <w:t> </w:t>
            </w:r>
          </w:p>
        </w:tc>
      </w:tr>
      <w:tr>
        <w:trPr/>
        <w:tc>
          <w:tcPr>
            <w:tcW w:w="2406"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color w:val="000000"/>
              </w:rPr>
            </w:pPr>
            <w:r>
              <w:rPr>
                <w:color w:val="000000"/>
              </w:rPr>
              <w:t>8,369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0"/>
              <w:jc w:val="right"/>
              <w:rPr>
                <w:color w:val="000000"/>
              </w:rPr>
            </w:pPr>
            <w:r>
              <w:rPr>
                <w:color w:val="000000"/>
              </w:rPr>
              <w:t>39,620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0"/>
              <w:jc w:val="right"/>
              <w:rPr>
                <w:color w:val="000000"/>
              </w:rPr>
            </w:pPr>
            <w:r>
              <w:rPr>
                <w:color w:val="000000"/>
              </w:rPr>
              <w:t>13,071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61,060</w:t>
            </w:r>
          </w:p>
        </w:tc>
        <w:tc>
          <w:tcPr>
            <w:tcW w:w="139" w:type="dxa"/>
            <w:tcBorders/>
            <w:shd w:fill="CCEEFF" w:val="clear"/>
            <w:vAlign w:val="bottom"/>
          </w:tcPr>
          <w:p>
            <w:pPr>
              <w:pStyle w:val="TableContents"/>
              <w:bidi w:val="0"/>
              <w:spacing w:before="0" w:after="283"/>
              <w:jc w:val="left"/>
              <w:rPr/>
            </w:pPr>
            <w:r>
              <w:rPr/>
              <w:t> </w:t>
            </w:r>
          </w:p>
        </w:tc>
      </w:tr>
      <w:tr>
        <w:trPr/>
        <w:tc>
          <w:tcPr>
            <w:tcW w:w="2406"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116,557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22,400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143,198</w:t>
            </w:r>
          </w:p>
        </w:tc>
        <w:tc>
          <w:tcPr>
            <w:tcW w:w="139" w:type="dxa"/>
            <w:tcBorders/>
            <w:vAlign w:val="bottom"/>
          </w:tcPr>
          <w:p>
            <w:pPr>
              <w:pStyle w:val="TableContents"/>
              <w:bidi w:val="0"/>
              <w:spacing w:before="0" w:after="283"/>
              <w:jc w:val="left"/>
              <w:rPr/>
            </w:pPr>
            <w:r>
              <w:rPr/>
              <w:t> </w:t>
            </w:r>
          </w:p>
        </w:tc>
      </w:tr>
      <w:tr>
        <w:trPr/>
        <w:tc>
          <w:tcPr>
            <w:tcW w:w="2406" w:type="dxa"/>
            <w:tcBorders/>
            <w:shd w:fill="CCEEFF" w:val="clear"/>
            <w:vAlign w:val="bottom"/>
          </w:tcPr>
          <w:p>
            <w:pPr>
              <w:pStyle w:val="TableContents"/>
              <w:bidi w:val="0"/>
              <w:spacing w:before="0" w:after="0"/>
              <w:ind w:left="360" w:right="0" w:hanging="0"/>
              <w:jc w:val="left"/>
              <w:rPr>
                <w:color w:val="000000"/>
              </w:rPr>
            </w:pPr>
            <w:r>
              <w:rPr>
                <w:color w:val="000000"/>
              </w:rPr>
              <w:t>Total loans</w:t>
            </w:r>
          </w:p>
        </w:tc>
        <w:tc>
          <w:tcPr>
            <w:tcW w:w="90" w:type="dxa"/>
            <w:tcBorders/>
            <w:shd w:fill="CCEEFF" w:val="clear"/>
            <w:vAlign w:val="bottom"/>
          </w:tcPr>
          <w:p>
            <w:pPr>
              <w:pStyle w:val="TableContents"/>
              <w:bidi w:val="0"/>
              <w:spacing w:before="0" w:after="283"/>
              <w:jc w:val="left"/>
              <w:rPr/>
            </w:pPr>
            <w:r>
              <w:rPr/>
              <w:t> </w:t>
            </w:r>
          </w:p>
        </w:tc>
        <w:tc>
          <w:tcPr>
            <w:tcW w:w="22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846,090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6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1,704,623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3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685,414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6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535,307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3,771,434</w:t>
            </w:r>
          </w:p>
        </w:tc>
        <w:tc>
          <w:tcPr>
            <w:tcW w:w="139"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shows the distribution between fixed and adjustable interest rate loans for maturities greater than one year as of June 30, 2026:</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19" w:name="z0244a3dab5a042ea9686c007d5a2657d"/>
      <w:bookmarkStart w:id="220" w:name="z0244a3dab5a042ea9686c007d5a2657d"/>
      <w:bookmarkEnd w:id="220"/>
    </w:p>
    <w:tbl>
      <w:tblPr>
        <w:tblW w:w="5215" w:type="dxa"/>
        <w:jc w:val="left"/>
        <w:tblInd w:w="0" w:type="dxa"/>
        <w:tblLayout w:type="fixed"/>
        <w:tblCellMar>
          <w:top w:w="0" w:type="dxa"/>
          <w:left w:w="0" w:type="dxa"/>
          <w:bottom w:w="0" w:type="dxa"/>
          <w:right w:w="0" w:type="dxa"/>
        </w:tblCellMar>
      </w:tblPr>
      <w:tblGrid>
        <w:gridCol w:w="2450"/>
        <w:gridCol w:w="90"/>
        <w:gridCol w:w="170"/>
        <w:gridCol w:w="1010"/>
        <w:gridCol w:w="90"/>
        <w:gridCol w:w="90"/>
        <w:gridCol w:w="170"/>
        <w:gridCol w:w="1010"/>
        <w:gridCol w:w="135"/>
      </w:tblGrid>
      <w:tr>
        <w:trPr/>
        <w:tc>
          <w:tcPr>
            <w:tcW w:w="24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Fixed</w:t>
            </w:r>
          </w:p>
          <w:p>
            <w:pPr>
              <w:pStyle w:val="TableContents"/>
              <w:bidi w:val="0"/>
              <w:spacing w:before="0" w:after="0"/>
              <w:jc w:val="center"/>
              <w:rPr>
                <w:b/>
                <w:color w:val="000000"/>
              </w:rPr>
            </w:pPr>
            <w:r>
              <w:rPr>
                <w:b/>
                <w:color w:val="000000"/>
              </w:rPr>
              <w:t>Rate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Adjustable</w:t>
            </w:r>
          </w:p>
          <w:p>
            <w:pPr>
              <w:pStyle w:val="TableContents"/>
              <w:bidi w:val="0"/>
              <w:spacing w:before="0" w:after="0"/>
              <w:jc w:val="center"/>
              <w:rPr>
                <w:b/>
                <w:color w:val="000000"/>
              </w:rPr>
            </w:pPr>
            <w:r>
              <w:rPr>
                <w:b/>
                <w:color w:val="000000"/>
              </w:rPr>
              <w:t>Rate</w:t>
            </w:r>
          </w:p>
        </w:tc>
        <w:tc>
          <w:tcPr>
            <w:tcW w:w="135" w:type="dxa"/>
            <w:tcBorders/>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40" w:type="dxa"/>
            <w:gridSpan w:val="6"/>
            <w:tcBorders/>
            <w:vAlign w:val="bottom"/>
          </w:tcPr>
          <w:p>
            <w:pPr>
              <w:pStyle w:val="TableContents"/>
              <w:bidi w:val="0"/>
              <w:spacing w:before="0" w:after="0"/>
              <w:jc w:val="center"/>
              <w:rPr>
                <w:b/>
                <w:color w:val="000000"/>
              </w:rPr>
            </w:pPr>
            <w:r>
              <w:rPr>
                <w:b/>
                <w:color w:val="000000"/>
              </w:rPr>
              <w:t>(Dollars in thousands)</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381,887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626,452</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121,172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190,650</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242,322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382,696</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369,601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271,440</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259,792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52,691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35" w:type="dxa"/>
            <w:tcBorders/>
            <w:shd w:fill="CCEEFF" w:val="clear"/>
            <w:vAlign w:val="bottom"/>
          </w:tcPr>
          <w:p>
            <w:pPr>
              <w:pStyle w:val="TableContents"/>
              <w:bidi w:val="0"/>
              <w:spacing w:before="0" w:after="283"/>
              <w:jc w:val="left"/>
              <w:rPr/>
            </w:pPr>
            <w:r>
              <w:rPr/>
              <w:t> </w:t>
            </w:r>
          </w:p>
        </w:tc>
      </w:tr>
      <w:tr>
        <w:trPr/>
        <w:tc>
          <w:tcPr>
            <w:tcW w:w="2450"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18,757</w:t>
            </w:r>
          </w:p>
        </w:tc>
        <w:tc>
          <w:tcPr>
            <w:tcW w:w="135" w:type="dxa"/>
            <w:tcBorders/>
            <w:vAlign w:val="bottom"/>
          </w:tcPr>
          <w:p>
            <w:pPr>
              <w:pStyle w:val="TableContents"/>
              <w:bidi w:val="0"/>
              <w:spacing w:before="0" w:after="283"/>
              <w:jc w:val="left"/>
              <w:rPr/>
            </w:pPr>
            <w:r>
              <w:rPr/>
              <w:t> </w:t>
            </w:r>
          </w:p>
        </w:tc>
      </w:tr>
      <w:tr>
        <w:trPr/>
        <w:tc>
          <w:tcPr>
            <w:tcW w:w="2450" w:type="dxa"/>
            <w:tcBorders/>
            <w:shd w:fill="CCEEFF" w:val="clear"/>
            <w:vAlign w:val="bottom"/>
          </w:tcPr>
          <w:p>
            <w:pPr>
              <w:pStyle w:val="TableContents"/>
              <w:bidi w:val="0"/>
              <w:spacing w:before="0" w:after="0"/>
              <w:ind w:left="360" w:right="0" w:hanging="0"/>
              <w:jc w:val="left"/>
              <w:rPr>
                <w:color w:val="000000"/>
              </w:rPr>
            </w:pPr>
            <w:r>
              <w:rPr>
                <w:color w:val="000000"/>
              </w:rPr>
              <w:t>Total loans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1,435,349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1,489,995</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At June 30, 2026, there was $1.94 billion in adjustable rate loans, with $1.23 billion of these loans that mature or reprice in the next twelve months. Of these loans that mature or reprice in the next twelve months, $695.8 million will reprice immediately upon changes in the underlying index rate, with the remaining $532.9 million being subject to rate ceilings, floors above the current index or a future repricing date. The </w:t>
      </w:r>
      <w:r>
        <w:rPr>
          <w:rFonts w:ascii="Times New Roman" w:hAnsi="Times New Roman"/>
          <w:i/>
          <w:color w:val="000000"/>
          <w:sz w:val="20"/>
          <w:shd w:fill="FFFFFF" w:val="clear"/>
        </w:rPr>
        <w:t>Wall Street Journal</w:t>
      </w:r>
      <w:r>
        <w:rPr>
          <w:rFonts w:ascii="Times New Roman" w:hAnsi="Times New Roman"/>
          <w:color w:val="000000"/>
          <w:sz w:val="20"/>
          <w:shd w:fill="FFFFFF" w:val="clear"/>
        </w:rPr>
        <w:t xml:space="preserve"> prime rate is the predominate index used by the Bank.</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Bank is primarily involved in real estate, commercial, agricultural and consumer lending activities with customers throughout Texas and Eastern New Mexico. We have a collateral concentration, as 74.6% of our loans were secured by real property as of June 30, 2026, compared to 71.6% as of December 31, 2025.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and residential construction loans represent 39.2% of loans held for investment as of June 30, 2026 and represented 37.0% of loans held for investment as of December 31, 2025. Further, 95% of the total dollar amount of these loans are secured by collateral located in the state of Texas.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Commercial Real Estate</w:t>
      </w:r>
      <w:r>
        <w:rPr>
          <w:rFonts w:ascii="Times New Roman" w:hAnsi="Times New Roman"/>
          <w:color w:val="000000"/>
          <w:sz w:val="20"/>
          <w:shd w:fill="FFFFFF" w:val="clear"/>
        </w:rPr>
        <w:t>. Our commercial real estate portfolio includes loans for commercial property that is owned by real estate investors, construction loans to build owner-occupied properties, and loans to developers of commercial real estate investment properties and residential developments. Residential construction loans are broken out separately below.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Commercial real estate loans increased $267.9 million, or 25.2%, to $1.33 billion as of June 30, 2026 from $1.06 billion as of December 31, 2025. The increase was primarily due to increases broadly across this segment related to the BOH acquisition.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Commercial – General and Specialized</w:t>
      </w:r>
      <w:r>
        <w:rPr>
          <w:rFonts w:ascii="Times New Roman" w:hAnsi="Times New Roman"/>
          <w:color w:val="000000"/>
          <w:sz w:val="20"/>
          <w:shd w:fill="FFFFFF" w:val="clear"/>
        </w:rPr>
        <w:t>. Commercial loans are underwritten after evaluating and understanding the borrower’s ability to operate profitably. 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Commercial specialized loans increased $20.0 million, or 4.9%, to $429.4 million as of June 30, 2026 from $409.4 million as of December 31, 2025. The increase was primarily due to increases in loans to finance and investment companies as a result of the BOH acquisition, partially offset by net repayments of $14.0 million in seasonal agricultural-related loans.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Commercial general loans increased $168.1 million, or 25.5%, to $827.5 million as of June 30, 2026 from $659.3 million as of December 31, 2025. The increase was primarily due to increases broadly across this segment related to the BOH acquisition.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Consumer</w:t>
      </w:r>
      <w:r>
        <w:rPr>
          <w:rFonts w:ascii="Times New Roman" w:hAnsi="Times New Roman"/>
          <w:color w:val="000000"/>
          <w:sz w:val="20"/>
          <w:shd w:fill="FFFFFF" w:val="clear"/>
        </w:rPr>
        <w:t>. We utilize a computer-based credit scoring analysis to supplement our policies and procedures in underwriting 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debt-to-income ratio, employment and income stability, the loan-to-value ratio, and the age, condition and marketability of the collateral.</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Consumer and other loans increased $127.8 million, or 14.0%, to $1.04 billion as of June 30, 2026, from $911.1 million as of December 31, 2025. The growth in these loans was primarily a result of an increase of $124.2 million in residential mortgage loans, mostly related to the BOH acquisition. As of June 30, 2026, our consumer loan portfolio was comprised of $714.0 million in 1-4 family residential loans, $263.8 million in auto loans, and $61.1 million in other consumer loans.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Construction</w:t>
      </w:r>
      <w:r>
        <w:rPr>
          <w:rFonts w:ascii="Times New Roman" w:hAnsi="Times New Roman"/>
          <w:color w:val="000000"/>
          <w:sz w:val="20"/>
          <w:shd w:fill="FFFFFF" w:val="clear"/>
        </w:rPr>
        <w:t>.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Construction loans increased $43.1 million, or 43.1%, to $143.2 million as of June 30, 2026 from $100.1 million as of December 31, 2025. This increase was primarily due to the acquisition of BOH.</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commercial real estate and construction categories comprise the Company’s nonowner-occupied real estate loans. Total nonowner-occupied real estate loans were $1.48 billion at June 30, 2026 and $1.16 billion at December 31, 2025. Nonowner-occupied commercial real estate loans are made up of income-producing commercial real estate property loans and construction, acquisition, and development property loans. As of June 30, 2026, total income-producing commercial real estate property loans totaled $993.6 million and was comprised of $229.8 million of multi-family property loans, $277.2 million of retail property loans, $182.9 million of office property loans, $160.4 in industrial and warehouse loans, $45.6 million in storage facilities loans, $41.5 million in hospitality loans, and $56.2 million in other property loans. Other property loans include types such as RV parks and convenience stores. As of June 30, 2026, total construction, acquisition, and development property loans totaled $482.2 million and was comprised of $143.8 million in residential construction property loans and $338.4 million of commercial construction and other land development loans. The weighted average loan-to-value of income-producing nonowner-occupied commercial real estate loans was approximately 57% at June 30, 2026. The weighted average loan-to-value of nonowner-occupied office commercial real estate loans was approximately 56% at June 30, 2026.</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Owner-occupied commercial real estate loans totaled $538.9 million at June 30, 2026 and $419.0 million at December 31,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commitments we have made as of the dates presented.</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21" w:name="zd0e91c2cc02047fcb99c5365eb53b545"/>
      <w:bookmarkStart w:id="222" w:name="zd0e91c2cc02047fcb99c5365eb53b545"/>
      <w:bookmarkEnd w:id="222"/>
    </w:p>
    <w:tbl>
      <w:tblPr>
        <w:tblW w:w="10205" w:type="dxa"/>
        <w:jc w:val="left"/>
        <w:tblInd w:w="0" w:type="dxa"/>
        <w:tblLayout w:type="fixed"/>
        <w:tblCellMar>
          <w:top w:w="0" w:type="dxa"/>
          <w:left w:w="0" w:type="dxa"/>
          <w:bottom w:w="0" w:type="dxa"/>
          <w:right w:w="0" w:type="dxa"/>
        </w:tblCellMar>
      </w:tblPr>
      <w:tblGrid>
        <w:gridCol w:w="6550"/>
        <w:gridCol w:w="90"/>
        <w:gridCol w:w="235"/>
        <w:gridCol w:w="1150"/>
        <w:gridCol w:w="90"/>
        <w:gridCol w:w="90"/>
        <w:gridCol w:w="315"/>
        <w:gridCol w:w="1548"/>
        <w:gridCol w:w="137"/>
      </w:tblGrid>
      <w:tr>
        <w:trPr/>
        <w:tc>
          <w:tcPr>
            <w:tcW w:w="65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137" w:type="dxa"/>
            <w:tcBorders/>
            <w:vAlign w:val="bottom"/>
          </w:tcPr>
          <w:p>
            <w:pPr>
              <w:pStyle w:val="TableContents"/>
              <w:bidi w:val="0"/>
              <w:spacing w:before="0" w:after="283"/>
              <w:jc w:val="left"/>
              <w:rPr/>
            </w:pPr>
            <w:r>
              <w:rPr/>
              <w:t> </w:t>
            </w:r>
          </w:p>
        </w:tc>
      </w:tr>
      <w:tr>
        <w:trPr/>
        <w:tc>
          <w:tcPr>
            <w:tcW w:w="65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28" w:type="dxa"/>
            <w:gridSpan w:val="6"/>
            <w:tcBorders/>
            <w:vAlign w:val="bottom"/>
          </w:tcPr>
          <w:p>
            <w:pPr>
              <w:pStyle w:val="TableContents"/>
              <w:bidi w:val="0"/>
              <w:spacing w:before="0" w:after="0"/>
              <w:jc w:val="center"/>
              <w:rPr>
                <w:b/>
                <w:color w:val="000000"/>
              </w:rPr>
            </w:pPr>
            <w:r>
              <w:rPr>
                <w:b/>
                <w:color w:val="000000"/>
              </w:rPr>
              <w:t>(Dollars in thousands)</w:t>
            </w:r>
          </w:p>
        </w:tc>
        <w:tc>
          <w:tcPr>
            <w:tcW w:w="137" w:type="dxa"/>
            <w:tcBorders/>
            <w:vAlign w:val="bottom"/>
          </w:tcPr>
          <w:p>
            <w:pPr>
              <w:pStyle w:val="TableContents"/>
              <w:bidi w:val="0"/>
              <w:spacing w:before="0" w:after="283"/>
              <w:jc w:val="left"/>
              <w:rPr/>
            </w:pPr>
            <w:r>
              <w:rPr/>
              <w:t> </w:t>
            </w:r>
          </w:p>
        </w:tc>
      </w:tr>
      <w:tr>
        <w:trPr/>
        <w:tc>
          <w:tcPr>
            <w:tcW w:w="6550" w:type="dxa"/>
            <w:tcBorders/>
            <w:shd w:fill="CCEEFF" w:val="clear"/>
            <w:vAlign w:val="bottom"/>
          </w:tcPr>
          <w:p>
            <w:pPr>
              <w:pStyle w:val="TableContents"/>
              <w:bidi w:val="0"/>
              <w:spacing w:before="0" w:after="0"/>
              <w:jc w:val="left"/>
              <w:rPr>
                <w:color w:val="000000"/>
              </w:rPr>
            </w:pPr>
            <w:r>
              <w:rPr>
                <w:color w:val="000000"/>
              </w:rPr>
              <w:t>Commitments to grant loans and unfunded commitments under lines of credit</w:t>
            </w:r>
          </w:p>
        </w:tc>
        <w:tc>
          <w:tcPr>
            <w:tcW w:w="9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color w:val="000000"/>
              </w:rPr>
            </w:pPr>
            <w:r>
              <w:rPr>
                <w:color w:val="000000"/>
              </w:rPr>
              <w:t>$</w:t>
            </w:r>
          </w:p>
        </w:tc>
        <w:tc>
          <w:tcPr>
            <w:tcW w:w="1150" w:type="dxa"/>
            <w:tcBorders/>
            <w:shd w:fill="CCEEFF" w:val="clear"/>
            <w:vAlign w:val="bottom"/>
          </w:tcPr>
          <w:p>
            <w:pPr>
              <w:pStyle w:val="TableContents"/>
              <w:bidi w:val="0"/>
              <w:spacing w:before="0" w:after="0"/>
              <w:jc w:val="right"/>
              <w:rPr>
                <w:color w:val="000000"/>
              </w:rPr>
            </w:pPr>
            <w:r>
              <w:rPr>
                <w:color w:val="000000"/>
              </w:rPr>
              <w:t>737,832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0"/>
              <w:jc w:val="left"/>
              <w:rPr>
                <w:color w:val="000000"/>
              </w:rPr>
            </w:pPr>
            <w:r>
              <w:rPr>
                <w:color w:val="000000"/>
              </w:rPr>
              <w:t>$</w:t>
            </w:r>
          </w:p>
        </w:tc>
        <w:tc>
          <w:tcPr>
            <w:tcW w:w="1548" w:type="dxa"/>
            <w:tcBorders/>
            <w:shd w:fill="CCEEFF" w:val="clear"/>
            <w:vAlign w:val="bottom"/>
          </w:tcPr>
          <w:p>
            <w:pPr>
              <w:pStyle w:val="TableContents"/>
              <w:bidi w:val="0"/>
              <w:spacing w:before="0" w:after="0"/>
              <w:jc w:val="right"/>
              <w:rPr>
                <w:color w:val="000000"/>
              </w:rPr>
            </w:pPr>
            <w:r>
              <w:rPr>
                <w:color w:val="000000"/>
              </w:rPr>
              <w:t>554,286</w:t>
            </w:r>
          </w:p>
        </w:tc>
        <w:tc>
          <w:tcPr>
            <w:tcW w:w="137" w:type="dxa"/>
            <w:tcBorders/>
            <w:shd w:fill="CCEEFF" w:val="clear"/>
            <w:vAlign w:val="bottom"/>
          </w:tcPr>
          <w:p>
            <w:pPr>
              <w:pStyle w:val="TableContents"/>
              <w:bidi w:val="0"/>
              <w:spacing w:before="0" w:after="283"/>
              <w:jc w:val="left"/>
              <w:rPr/>
            </w:pPr>
            <w:r>
              <w:rPr/>
              <w:t> </w:t>
            </w:r>
          </w:p>
        </w:tc>
      </w:tr>
      <w:tr>
        <w:trPr/>
        <w:tc>
          <w:tcPr>
            <w:tcW w:w="6550" w:type="dxa"/>
            <w:tcBorders/>
            <w:vAlign w:val="bottom"/>
          </w:tcPr>
          <w:p>
            <w:pPr>
              <w:pStyle w:val="TableContents"/>
              <w:bidi w:val="0"/>
              <w:spacing w:before="0" w:after="0"/>
              <w:jc w:val="left"/>
              <w:rPr>
                <w:color w:val="000000"/>
              </w:rPr>
            </w:pPr>
            <w:r>
              <w:rPr>
                <w:color w:val="000000"/>
              </w:rPr>
              <w:t>Standby letters of credit</w:t>
            </w:r>
          </w:p>
        </w:tc>
        <w:tc>
          <w:tcPr>
            <w:tcW w:w="90" w:type="dxa"/>
            <w:tcBorders/>
            <w:vAlign w:val="bottom"/>
          </w:tcPr>
          <w:p>
            <w:pPr>
              <w:pStyle w:val="TableContents"/>
              <w:bidi w:val="0"/>
              <w:spacing w:before="0" w:after="283"/>
              <w:jc w:val="lef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36,348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30,681</w:t>
            </w:r>
          </w:p>
        </w:tc>
        <w:tc>
          <w:tcPr>
            <w:tcW w:w="137" w:type="dxa"/>
            <w:tcBorders/>
            <w:vAlign w:val="bottom"/>
          </w:tcPr>
          <w:p>
            <w:pPr>
              <w:pStyle w:val="TableContents"/>
              <w:bidi w:val="0"/>
              <w:spacing w:before="0" w:after="283"/>
              <w:jc w:val="left"/>
              <w:rPr/>
            </w:pPr>
            <w:r>
              <w:rPr/>
              <w:t> </w:t>
            </w:r>
          </w:p>
        </w:tc>
      </w:tr>
      <w:tr>
        <w:trPr/>
        <w:tc>
          <w:tcPr>
            <w:tcW w:w="6550" w:type="dxa"/>
            <w:tcBorders/>
            <w:shd w:fill="CCEEFF" w:val="clear"/>
            <w:vAlign w:val="bottom"/>
          </w:tcPr>
          <w:p>
            <w:pPr>
              <w:pStyle w:val="TableContents"/>
              <w:bidi w:val="0"/>
              <w:spacing w:before="0" w:after="0"/>
              <w:jc w:val="left"/>
              <w:rPr>
                <w:color w:val="000000"/>
              </w:rPr>
            </w:pPr>
            <w:r>
              <w:rPr>
                <w:color w:val="000000"/>
              </w:rPr>
              <w:t>Total</w:t>
            </w:r>
          </w:p>
        </w:tc>
        <w:tc>
          <w:tcPr>
            <w:tcW w:w="90" w:type="dxa"/>
            <w:tcBorders/>
            <w:shd w:fill="CCEEFF" w:val="clear"/>
            <w:vAlign w:val="bottom"/>
          </w:tcPr>
          <w:p>
            <w:pPr>
              <w:pStyle w:val="TableContents"/>
              <w:bidi w:val="0"/>
              <w:spacing w:before="0" w:after="283"/>
              <w:jc w:val="lef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774,180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4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584,967</w:t>
            </w:r>
          </w:p>
        </w:tc>
        <w:tc>
          <w:tcPr>
            <w:tcW w:w="13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Allowance for Credit Losses for Loans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ACL for loans is established for future expected credit losses through a provision for credit losses charged to earnings. Management evaluates the appropriate level of the ACL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perceived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ACL for loans was $53.1 million at June 30, 2026, compared to $45.1 million at December 31, 2025, an increase of $7.9 million, or 17.6%. The increase was largely driven by $8.5 million of ACL recorded for loans acquired in the BOH acquisition and a $350 thousand provision for ACL being recorded during the six months ended June 30, 2026, partially offset by net charge-offs of $878 thousand during the period. The Company continues to closely monitor credit quality in light of the ongoing economic uncertainty caused by, among other factors, the uncertain impacts of tariffs, sanctions and other trade policies of the United States and its global trading counterparts, the prolonged elevated interest rate environment and the lingering inflationary pressures, and the risk of the resurgence of elevated levels of inflation, in the United States and our market areas. Accordingly, additional provisions for credit losses may be necessary in future periods.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an analysis of the ACL for loans and other data during the periods indicated.</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23" w:name="z7c494a11e8d6440cbbdb0907972dfbf4"/>
      <w:bookmarkStart w:id="224" w:name="z7c494a11e8d6440cbbdb0907972dfbf4"/>
      <w:bookmarkEnd w:id="224"/>
    </w:p>
    <w:tbl>
      <w:tblPr>
        <w:tblW w:w="10205" w:type="dxa"/>
        <w:jc w:val="left"/>
        <w:tblInd w:w="0" w:type="dxa"/>
        <w:tblLayout w:type="fixed"/>
        <w:tblCellMar>
          <w:top w:w="0" w:type="dxa"/>
          <w:left w:w="0" w:type="dxa"/>
          <w:bottom w:w="0" w:type="dxa"/>
          <w:right w:w="0" w:type="dxa"/>
        </w:tblCellMar>
      </w:tblPr>
      <w:tblGrid>
        <w:gridCol w:w="3994"/>
        <w:gridCol w:w="90"/>
        <w:gridCol w:w="170"/>
        <w:gridCol w:w="1010"/>
        <w:gridCol w:w="245"/>
        <w:gridCol w:w="90"/>
        <w:gridCol w:w="170"/>
        <w:gridCol w:w="1010"/>
        <w:gridCol w:w="280"/>
        <w:gridCol w:w="90"/>
        <w:gridCol w:w="170"/>
        <w:gridCol w:w="1010"/>
        <w:gridCol w:w="280"/>
        <w:gridCol w:w="90"/>
        <w:gridCol w:w="170"/>
        <w:gridCol w:w="1010"/>
        <w:gridCol w:w="326"/>
      </w:tblGrid>
      <w:tr>
        <w:trPr/>
        <w:tc>
          <w:tcPr>
            <w:tcW w:w="3994"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69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3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326" w:type="dxa"/>
            <w:tcBorders/>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326" w:type="dxa"/>
            <w:tcBorders/>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4245" w:type="dxa"/>
            <w:gridSpan w:val="10"/>
            <w:tcBorders/>
            <w:vAlign w:val="bottom"/>
          </w:tcPr>
          <w:p>
            <w:pPr>
              <w:pStyle w:val="TableContents"/>
              <w:bidi w:val="0"/>
              <w:spacing w:before="0" w:after="0"/>
              <w:jc w:val="center"/>
              <w:rPr>
                <w:b/>
                <w:color w:val="000000"/>
              </w:rPr>
            </w:pPr>
            <w:r>
              <w:rPr>
                <w:b/>
                <w:color w:val="000000"/>
              </w:rPr>
              <w:t>(Dollars in thousands)</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180" w:right="0" w:hanging="180"/>
              <w:jc w:val="left"/>
              <w:rPr>
                <w:color w:val="000000"/>
              </w:rPr>
            </w:pPr>
            <w:r>
              <w:rPr>
                <w:color w:val="000000"/>
              </w:rPr>
              <w:t>Average loans outstanding during periods</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r>
      <w:tr>
        <w:trPr/>
        <w:tc>
          <w:tcPr>
            <w:tcW w:w="3994" w:type="dxa"/>
            <w:tcBorders/>
            <w:shd w:fill="CCEEFF" w:val="clear"/>
            <w:vAlign w:val="bottom"/>
          </w:tcPr>
          <w:p>
            <w:pPr>
              <w:pStyle w:val="TableContents"/>
              <w:bidi w:val="0"/>
              <w:spacing w:before="0" w:after="0"/>
              <w:ind w:left="360" w:right="0" w:hanging="18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1,490,081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1,096,884</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1,272,021</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1,112,634</w:t>
            </w:r>
          </w:p>
        </w:tc>
        <w:tc>
          <w:tcPr>
            <w:tcW w:w="326" w:type="dxa"/>
            <w:tcBorders/>
            <w:shd w:fill="CCEEFF" w:val="clear"/>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360" w:right="0" w:hanging="18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418,472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378,668</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407,695</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379,246</w:t>
            </w:r>
          </w:p>
        </w:tc>
        <w:tc>
          <w:tcPr>
            <w:tcW w:w="326" w:type="dxa"/>
            <w:tcBorders/>
            <w:vAlign w:val="bottom"/>
          </w:tcPr>
          <w:p>
            <w:pPr>
              <w:pStyle w:val="TableContents"/>
              <w:bidi w:val="0"/>
              <w:spacing w:before="0" w:after="283"/>
              <w:jc w:val="left"/>
              <w:rPr/>
            </w:pPr>
            <w:r>
              <w:rPr/>
              <w:t> </w:t>
            </w:r>
          </w:p>
        </w:tc>
      </w:tr>
      <w:tr>
        <w:trPr/>
        <w:tc>
          <w:tcPr>
            <w:tcW w:w="3994" w:type="dxa"/>
            <w:tcBorders/>
            <w:shd w:fill="CCEEFF" w:val="clear"/>
            <w:vAlign w:val="bottom"/>
          </w:tcPr>
          <w:p>
            <w:pPr>
              <w:pStyle w:val="TableContents"/>
              <w:bidi w:val="0"/>
              <w:spacing w:before="0" w:after="0"/>
              <w:ind w:left="360" w:right="0" w:hanging="18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743,403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598,036</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698,459</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580,014</w:t>
            </w:r>
          </w:p>
        </w:tc>
        <w:tc>
          <w:tcPr>
            <w:tcW w:w="326" w:type="dxa"/>
            <w:tcBorders/>
            <w:shd w:fill="CCEEFF" w:val="clear"/>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360" w:right="0" w:hanging="18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r>
      <w:tr>
        <w:trPr/>
        <w:tc>
          <w:tcPr>
            <w:tcW w:w="3994" w:type="dxa"/>
            <w:tcBorders/>
            <w:shd w:fill="CCEEFF" w:val="clear"/>
            <w:vAlign w:val="bottom"/>
          </w:tcPr>
          <w:p>
            <w:pPr>
              <w:pStyle w:val="TableContents"/>
              <w:bidi w:val="0"/>
              <w:spacing w:before="0" w:after="0"/>
              <w:ind w:left="540" w:right="0" w:hanging="18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663,854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583,520</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627,705</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574,743</w:t>
            </w:r>
          </w:p>
        </w:tc>
        <w:tc>
          <w:tcPr>
            <w:tcW w:w="326" w:type="dxa"/>
            <w:tcBorders/>
            <w:shd w:fill="CCEEFF" w:val="clear"/>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540" w:right="0" w:hanging="18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259,206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261,078</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258,447</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260,010</w:t>
            </w:r>
          </w:p>
        </w:tc>
        <w:tc>
          <w:tcPr>
            <w:tcW w:w="326" w:type="dxa"/>
            <w:tcBorders/>
            <w:vAlign w:val="bottom"/>
          </w:tcPr>
          <w:p>
            <w:pPr>
              <w:pStyle w:val="TableContents"/>
              <w:bidi w:val="0"/>
              <w:spacing w:before="0" w:after="283"/>
              <w:jc w:val="left"/>
              <w:rPr/>
            </w:pPr>
            <w:r>
              <w:rPr/>
              <w:t> </w:t>
            </w:r>
          </w:p>
        </w:tc>
      </w:tr>
      <w:tr>
        <w:trPr/>
        <w:tc>
          <w:tcPr>
            <w:tcW w:w="3994" w:type="dxa"/>
            <w:tcBorders/>
            <w:shd w:fill="CCEEFF" w:val="clear"/>
            <w:vAlign w:val="bottom"/>
          </w:tcPr>
          <w:p>
            <w:pPr>
              <w:pStyle w:val="TableContents"/>
              <w:bidi w:val="0"/>
              <w:spacing w:before="0" w:after="0"/>
              <w:ind w:left="540" w:right="0" w:hanging="18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61,918</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64,236</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62,004</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64,278</w:t>
            </w:r>
          </w:p>
        </w:tc>
        <w:tc>
          <w:tcPr>
            <w:tcW w:w="326" w:type="dxa"/>
            <w:tcBorders/>
            <w:shd w:fill="CCEEFF" w:val="clear"/>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360" w:right="0" w:hanging="18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124,519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100,254</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113,787</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101,288</w:t>
            </w:r>
          </w:p>
        </w:tc>
        <w:tc>
          <w:tcPr>
            <w:tcW w:w="326" w:type="dxa"/>
            <w:tcBorders/>
            <w:vAlign w:val="bottom"/>
          </w:tcPr>
          <w:p>
            <w:pPr>
              <w:pStyle w:val="TableContents"/>
              <w:bidi w:val="0"/>
              <w:spacing w:before="0" w:after="283"/>
              <w:jc w:val="left"/>
              <w:rPr/>
            </w:pPr>
            <w:r>
              <w:rPr/>
              <w:t> </w:t>
            </w:r>
          </w:p>
        </w:tc>
      </w:tr>
      <w:tr>
        <w:trPr/>
        <w:tc>
          <w:tcPr>
            <w:tcW w:w="3994" w:type="dxa"/>
            <w:tcBorders/>
            <w:shd w:fill="CCEEFF" w:val="clear"/>
            <w:vAlign w:val="bottom"/>
          </w:tcPr>
          <w:p>
            <w:pPr>
              <w:pStyle w:val="TableContents"/>
              <w:bidi w:val="0"/>
              <w:spacing w:before="0" w:after="0"/>
              <w:ind w:left="180" w:right="0" w:hanging="180"/>
              <w:jc w:val="left"/>
              <w:rPr>
                <w:color w:val="000000"/>
              </w:rPr>
            </w:pPr>
            <w:r>
              <w:rPr>
                <w:color w:val="000000"/>
              </w:rPr>
              <w:t>Loans held for sale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16,137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11,882</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13,760</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12,350</w:t>
            </w:r>
          </w:p>
        </w:tc>
        <w:tc>
          <w:tcPr>
            <w:tcW w:w="326" w:type="dxa"/>
            <w:tcBorders/>
            <w:shd w:fill="CCEEFF" w:val="clear"/>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180" w:right="0" w:hanging="180"/>
              <w:jc w:val="left"/>
              <w:rPr>
                <w:color w:val="000000"/>
              </w:rPr>
            </w:pPr>
            <w:r>
              <w:rPr>
                <w:color w:val="000000"/>
              </w:rPr>
              <w:t>Total average loans outstanding during the periods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3,777,590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3,094,558</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3,453,878</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3,084,563</w:t>
            </w:r>
          </w:p>
        </w:tc>
        <w:tc>
          <w:tcPr>
            <w:tcW w:w="326" w:type="dxa"/>
            <w:tcBorders/>
            <w:vAlign w:val="bottom"/>
          </w:tcPr>
          <w:p>
            <w:pPr>
              <w:pStyle w:val="TableContents"/>
              <w:bidi w:val="0"/>
              <w:spacing w:before="0" w:after="283"/>
              <w:jc w:val="left"/>
              <w:rPr/>
            </w:pPr>
            <w:r>
              <w:rPr/>
              <w:t> </w:t>
            </w:r>
          </w:p>
        </w:tc>
      </w:tr>
      <w:tr>
        <w:trPr/>
        <w:tc>
          <w:tcPr>
            <w:tcW w:w="3994"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326" w:type="dxa"/>
            <w:tcBorders/>
            <w:shd w:fill="CCEEFF" w:val="clear"/>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180" w:right="0" w:hanging="180"/>
              <w:jc w:val="left"/>
              <w:rPr>
                <w:color w:val="000000"/>
              </w:rPr>
            </w:pPr>
            <w:r>
              <w:rPr>
                <w:color w:val="000000"/>
              </w:rPr>
              <w:t>Net charge-offs (recoveries) during the periods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r>
      <w:tr>
        <w:trPr/>
        <w:tc>
          <w:tcPr>
            <w:tcW w:w="3994" w:type="dxa"/>
            <w:tcBorders/>
            <w:shd w:fill="CCEEFF" w:val="clear"/>
            <w:vAlign w:val="bottom"/>
          </w:tcPr>
          <w:p>
            <w:pPr>
              <w:pStyle w:val="TableContents"/>
              <w:bidi w:val="0"/>
              <w:spacing w:before="0" w:after="0"/>
              <w:ind w:left="360" w:right="0" w:hanging="18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64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64</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326" w:type="dxa"/>
            <w:tcBorders/>
            <w:shd w:fill="CCEEFF" w:val="clear"/>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360" w:right="0" w:hanging="18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(47</w:t>
            </w:r>
          </w:p>
        </w:tc>
        <w:tc>
          <w:tcPr>
            <w:tcW w:w="280"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9</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(81</w:t>
            </w:r>
          </w:p>
        </w:tc>
        <w:tc>
          <w:tcPr>
            <w:tcW w:w="326" w:type="dxa"/>
            <w:tcBorders/>
            <w:vAlign w:val="bottom"/>
          </w:tcPr>
          <w:p>
            <w:pPr>
              <w:pStyle w:val="TableContents"/>
              <w:bidi w:val="0"/>
              <w:spacing w:before="0" w:after="0"/>
              <w:jc w:val="left"/>
              <w:rPr>
                <w:color w:val="000000"/>
              </w:rPr>
            </w:pPr>
            <w:r>
              <w:rPr>
                <w:color w:val="000000"/>
              </w:rPr>
              <w:t>)</w:t>
            </w:r>
          </w:p>
        </w:tc>
      </w:tr>
      <w:tr>
        <w:trPr/>
        <w:tc>
          <w:tcPr>
            <w:tcW w:w="3994" w:type="dxa"/>
            <w:tcBorders/>
            <w:shd w:fill="CCEEFF" w:val="clear"/>
            <w:vAlign w:val="bottom"/>
          </w:tcPr>
          <w:p>
            <w:pPr>
              <w:pStyle w:val="TableContents"/>
              <w:bidi w:val="0"/>
              <w:spacing w:before="0" w:after="0"/>
              <w:ind w:left="360" w:right="0" w:hanging="18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237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31</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397</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85</w:t>
            </w:r>
          </w:p>
        </w:tc>
        <w:tc>
          <w:tcPr>
            <w:tcW w:w="326" w:type="dxa"/>
            <w:tcBorders/>
            <w:shd w:fill="CCEEFF" w:val="clear"/>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360" w:right="0" w:hanging="18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r>
      <w:tr>
        <w:trPr/>
        <w:tc>
          <w:tcPr>
            <w:tcW w:w="3994" w:type="dxa"/>
            <w:tcBorders/>
            <w:shd w:fill="CCEEFF" w:val="clear"/>
            <w:vAlign w:val="bottom"/>
          </w:tcPr>
          <w:p>
            <w:pPr>
              <w:pStyle w:val="TableContents"/>
              <w:bidi w:val="0"/>
              <w:spacing w:before="0" w:after="0"/>
              <w:ind w:left="540" w:right="0" w:hanging="18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(41</w:t>
            </w:r>
          </w:p>
        </w:tc>
        <w:tc>
          <w:tcPr>
            <w:tcW w:w="280"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(299</w:t>
            </w:r>
          </w:p>
        </w:tc>
        <w:tc>
          <w:tcPr>
            <w:tcW w:w="280"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(48</w:t>
            </w:r>
          </w:p>
        </w:tc>
        <w:tc>
          <w:tcPr>
            <w:tcW w:w="326" w:type="dxa"/>
            <w:tcBorders/>
            <w:shd w:fill="CCEEFF" w:val="clear"/>
            <w:vAlign w:val="bottom"/>
          </w:tcPr>
          <w:p>
            <w:pPr>
              <w:pStyle w:val="TableContents"/>
              <w:bidi w:val="0"/>
              <w:spacing w:before="0" w:after="0"/>
              <w:jc w:val="left"/>
              <w:rPr>
                <w:color w:val="000000"/>
              </w:rPr>
            </w:pPr>
            <w:r>
              <w:rPr>
                <w:color w:val="000000"/>
              </w:rPr>
              <w:t>)</w:t>
            </w:r>
          </w:p>
        </w:tc>
      </w:tr>
      <w:tr>
        <w:trPr/>
        <w:tc>
          <w:tcPr>
            <w:tcW w:w="3994" w:type="dxa"/>
            <w:tcBorders/>
            <w:vAlign w:val="bottom"/>
          </w:tcPr>
          <w:p>
            <w:pPr>
              <w:pStyle w:val="TableContents"/>
              <w:bidi w:val="0"/>
              <w:spacing w:before="0" w:after="0"/>
              <w:ind w:left="540" w:right="0" w:hanging="18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75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353</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325</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603</w:t>
            </w:r>
          </w:p>
        </w:tc>
        <w:tc>
          <w:tcPr>
            <w:tcW w:w="326" w:type="dxa"/>
            <w:tcBorders/>
            <w:vAlign w:val="bottom"/>
          </w:tcPr>
          <w:p>
            <w:pPr>
              <w:pStyle w:val="TableContents"/>
              <w:bidi w:val="0"/>
              <w:spacing w:before="0" w:after="283"/>
              <w:jc w:val="left"/>
              <w:rPr/>
            </w:pPr>
            <w:r>
              <w:rPr/>
              <w:t> </w:t>
            </w:r>
          </w:p>
        </w:tc>
      </w:tr>
      <w:tr>
        <w:trPr/>
        <w:tc>
          <w:tcPr>
            <w:tcW w:w="3994" w:type="dxa"/>
            <w:tcBorders/>
            <w:shd w:fill="CCEEFF" w:val="clear"/>
            <w:vAlign w:val="bottom"/>
          </w:tcPr>
          <w:p>
            <w:pPr>
              <w:pStyle w:val="TableContents"/>
              <w:bidi w:val="0"/>
              <w:spacing w:before="0" w:after="0"/>
              <w:ind w:left="540" w:right="0" w:hanging="18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159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162</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382</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423</w:t>
            </w:r>
          </w:p>
        </w:tc>
        <w:tc>
          <w:tcPr>
            <w:tcW w:w="326" w:type="dxa"/>
            <w:tcBorders/>
            <w:shd w:fill="CCEEFF" w:val="clear"/>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360" w:right="0" w:hanging="18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w:t>
            </w:r>
          </w:p>
        </w:tc>
        <w:tc>
          <w:tcPr>
            <w:tcW w:w="326" w:type="dxa"/>
            <w:tcBorders/>
            <w:vAlign w:val="bottom"/>
          </w:tcPr>
          <w:p>
            <w:pPr>
              <w:pStyle w:val="TableContents"/>
              <w:bidi w:val="0"/>
              <w:spacing w:before="0" w:after="0"/>
              <w:jc w:val="left"/>
              <w:rPr>
                <w:color w:val="000000"/>
              </w:rPr>
            </w:pPr>
            <w:r>
              <w:rPr>
                <w:color w:val="000000"/>
              </w:rPr>
              <w:t>)</w:t>
            </w:r>
          </w:p>
        </w:tc>
      </w:tr>
      <w:tr>
        <w:trPr/>
        <w:tc>
          <w:tcPr>
            <w:tcW w:w="3994" w:type="dxa"/>
            <w:tcBorders/>
            <w:shd w:fill="CCEEFF" w:val="clear"/>
            <w:vAlign w:val="bottom"/>
          </w:tcPr>
          <w:p>
            <w:pPr>
              <w:pStyle w:val="TableContents"/>
              <w:bidi w:val="0"/>
              <w:spacing w:before="0" w:after="0"/>
              <w:ind w:left="180" w:right="0" w:hanging="180"/>
              <w:jc w:val="left"/>
              <w:rPr>
                <w:color w:val="000000"/>
              </w:rPr>
            </w:pPr>
            <w:r>
              <w:rPr>
                <w:color w:val="000000"/>
              </w:rPr>
              <w:t>Total net charge-offs (recoveries) during the periods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458</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878</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977</w:t>
            </w:r>
          </w:p>
        </w:tc>
        <w:tc>
          <w:tcPr>
            <w:tcW w:w="326" w:type="dxa"/>
            <w:tcBorders/>
            <w:shd w:fill="CCEEFF" w:val="clear"/>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326" w:type="dxa"/>
            <w:tcBorders/>
            <w:vAlign w:val="bottom"/>
          </w:tcPr>
          <w:p>
            <w:pPr>
              <w:pStyle w:val="TableContents"/>
              <w:bidi w:val="0"/>
              <w:spacing w:before="0" w:after="283"/>
              <w:jc w:val="left"/>
              <w:rPr/>
            </w:pPr>
            <w:r>
              <w:rPr/>
              <w:t> </w:t>
            </w:r>
          </w:p>
        </w:tc>
      </w:tr>
      <w:tr>
        <w:trPr/>
        <w:tc>
          <w:tcPr>
            <w:tcW w:w="3994" w:type="dxa"/>
            <w:tcBorders/>
            <w:shd w:fill="CCEEFF" w:val="clear"/>
            <w:vAlign w:val="bottom"/>
          </w:tcPr>
          <w:p>
            <w:pPr>
              <w:pStyle w:val="TableContents"/>
              <w:bidi w:val="0"/>
              <w:spacing w:before="0" w:after="0"/>
              <w:ind w:left="180" w:right="0" w:hanging="180"/>
              <w:jc w:val="left"/>
              <w:rPr>
                <w:color w:val="000000"/>
              </w:rPr>
            </w:pPr>
            <w:r>
              <w:rPr>
                <w:color w:val="000000"/>
              </w:rPr>
              <w:t>Ratio of net charge-offs (recoveries) to average loans during the periods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326" w:type="dxa"/>
            <w:tcBorders/>
            <w:shd w:fill="CCEEFF" w:val="clear"/>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180" w:right="0" w:hanging="180"/>
              <w:jc w:val="left"/>
              <w:rPr>
                <w:color w:val="000000"/>
              </w:rPr>
            </w:pPr>
            <w:r>
              <w:rPr>
                <w:color w:val="000000"/>
              </w:rPr>
              <w:t>Commercial real estate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0.00</w:t>
            </w:r>
          </w:p>
        </w:tc>
        <w:tc>
          <w:tcPr>
            <w:tcW w:w="280"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0.01</w:t>
            </w:r>
          </w:p>
        </w:tc>
        <w:tc>
          <w:tcPr>
            <w:tcW w:w="280"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0.00</w:t>
            </w:r>
          </w:p>
        </w:tc>
        <w:tc>
          <w:tcPr>
            <w:tcW w:w="326" w:type="dxa"/>
            <w:tcBorders/>
            <w:vAlign w:val="bottom"/>
          </w:tcPr>
          <w:p>
            <w:pPr>
              <w:pStyle w:val="TableContents"/>
              <w:bidi w:val="0"/>
              <w:spacing w:before="0" w:after="0"/>
              <w:jc w:val="left"/>
              <w:rPr>
                <w:color w:val="000000"/>
              </w:rPr>
            </w:pPr>
            <w:r>
              <w:rPr>
                <w:color w:val="000000"/>
              </w:rPr>
              <w:t>%</w:t>
            </w:r>
          </w:p>
        </w:tc>
      </w:tr>
      <w:tr>
        <w:trPr/>
        <w:tc>
          <w:tcPr>
            <w:tcW w:w="3994" w:type="dxa"/>
            <w:tcBorders/>
            <w:shd w:fill="CCEEFF" w:val="clear"/>
            <w:vAlign w:val="bottom"/>
          </w:tcPr>
          <w:p>
            <w:pPr>
              <w:pStyle w:val="TableContents"/>
              <w:bidi w:val="0"/>
              <w:spacing w:before="0" w:after="0"/>
              <w:ind w:left="360" w:right="0" w:hanging="180"/>
              <w:jc w:val="left"/>
              <w:rPr>
                <w:color w:val="000000"/>
              </w:rPr>
            </w:pPr>
            <w:r>
              <w:rPr>
                <w:color w:val="000000"/>
              </w:rPr>
              <w:t>Commercial – specialized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0.01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(0.01</w:t>
            </w:r>
          </w:p>
        </w:tc>
        <w:tc>
          <w:tcPr>
            <w:tcW w:w="280"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0.00</w:t>
            </w:r>
          </w:p>
        </w:tc>
        <w:tc>
          <w:tcPr>
            <w:tcW w:w="280"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(0.02</w:t>
            </w:r>
          </w:p>
        </w:tc>
        <w:tc>
          <w:tcPr>
            <w:tcW w:w="326" w:type="dxa"/>
            <w:tcBorders/>
            <w:shd w:fill="CCEEFF" w:val="clear"/>
            <w:vAlign w:val="bottom"/>
          </w:tcPr>
          <w:p>
            <w:pPr>
              <w:pStyle w:val="TableContents"/>
              <w:bidi w:val="0"/>
              <w:spacing w:before="0" w:after="0"/>
              <w:jc w:val="left"/>
              <w:rPr>
                <w:color w:val="000000"/>
              </w:rPr>
            </w:pPr>
            <w:r>
              <w:rPr>
                <w:color w:val="000000"/>
              </w:rPr>
              <w:t>)%</w:t>
            </w:r>
          </w:p>
        </w:tc>
      </w:tr>
      <w:tr>
        <w:trPr/>
        <w:tc>
          <w:tcPr>
            <w:tcW w:w="3994" w:type="dxa"/>
            <w:tcBorders/>
            <w:vAlign w:val="bottom"/>
          </w:tcPr>
          <w:p>
            <w:pPr>
              <w:pStyle w:val="TableContents"/>
              <w:bidi w:val="0"/>
              <w:spacing w:before="0" w:after="0"/>
              <w:ind w:left="360" w:right="0" w:hanging="180"/>
              <w:jc w:val="left"/>
              <w:rPr>
                <w:color w:val="000000"/>
              </w:rPr>
            </w:pPr>
            <w:r>
              <w:rPr>
                <w:color w:val="000000"/>
              </w:rPr>
              <w:t>Commercial – general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0.01</w:t>
            </w:r>
          </w:p>
        </w:tc>
        <w:tc>
          <w:tcPr>
            <w:tcW w:w="280"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0.06</w:t>
            </w:r>
          </w:p>
        </w:tc>
        <w:tc>
          <w:tcPr>
            <w:tcW w:w="280"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0.01</w:t>
            </w:r>
          </w:p>
        </w:tc>
        <w:tc>
          <w:tcPr>
            <w:tcW w:w="326" w:type="dxa"/>
            <w:tcBorders/>
            <w:vAlign w:val="bottom"/>
          </w:tcPr>
          <w:p>
            <w:pPr>
              <w:pStyle w:val="TableContents"/>
              <w:bidi w:val="0"/>
              <w:spacing w:before="0" w:after="0"/>
              <w:jc w:val="left"/>
              <w:rPr>
                <w:color w:val="000000"/>
              </w:rPr>
            </w:pPr>
            <w:r>
              <w:rPr>
                <w:color w:val="000000"/>
              </w:rPr>
              <w:t>%</w:t>
            </w:r>
          </w:p>
        </w:tc>
      </w:tr>
      <w:tr>
        <w:trPr/>
        <w:tc>
          <w:tcPr>
            <w:tcW w:w="3994" w:type="dxa"/>
            <w:tcBorders/>
            <w:shd w:fill="CCEEFF" w:val="clear"/>
            <w:vAlign w:val="bottom"/>
          </w:tcPr>
          <w:p>
            <w:pPr>
              <w:pStyle w:val="TableContents"/>
              <w:bidi w:val="0"/>
              <w:spacing w:before="0" w:after="0"/>
              <w:ind w:left="360" w:right="0" w:hanging="180"/>
              <w:jc w:val="left"/>
              <w:rPr>
                <w:color w:val="000000"/>
              </w:rPr>
            </w:pPr>
            <w:r>
              <w:rPr>
                <w:color w:val="000000"/>
              </w:rPr>
              <w:t>Consumer: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326" w:type="dxa"/>
            <w:tcBorders/>
            <w:shd w:fill="CCEEFF" w:val="clear"/>
            <w:vAlign w:val="bottom"/>
          </w:tcPr>
          <w:p>
            <w:pPr>
              <w:pStyle w:val="TableContents"/>
              <w:bidi w:val="0"/>
              <w:spacing w:before="0" w:after="283"/>
              <w:jc w:val="left"/>
              <w:rPr/>
            </w:pPr>
            <w:r>
              <w:rPr/>
              <w:t> </w:t>
            </w:r>
          </w:p>
        </w:tc>
      </w:tr>
      <w:tr>
        <w:trPr/>
        <w:tc>
          <w:tcPr>
            <w:tcW w:w="3994" w:type="dxa"/>
            <w:tcBorders/>
            <w:vAlign w:val="bottom"/>
          </w:tcPr>
          <w:p>
            <w:pPr>
              <w:pStyle w:val="TableContents"/>
              <w:bidi w:val="0"/>
              <w:spacing w:before="0" w:after="0"/>
              <w:ind w:left="540" w:right="0" w:hanging="180"/>
              <w:jc w:val="left"/>
              <w:rPr>
                <w:color w:val="000000"/>
              </w:rPr>
            </w:pPr>
            <w:r>
              <w:rPr>
                <w:color w:val="000000"/>
              </w:rPr>
              <w:t>1-4 family residential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(0.01</w:t>
            </w:r>
          </w:p>
        </w:tc>
        <w:tc>
          <w:tcPr>
            <w:tcW w:w="280"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(0.05</w:t>
            </w:r>
          </w:p>
        </w:tc>
        <w:tc>
          <w:tcPr>
            <w:tcW w:w="280"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(0.01</w:t>
            </w:r>
          </w:p>
        </w:tc>
        <w:tc>
          <w:tcPr>
            <w:tcW w:w="326" w:type="dxa"/>
            <w:tcBorders/>
            <w:vAlign w:val="bottom"/>
          </w:tcPr>
          <w:p>
            <w:pPr>
              <w:pStyle w:val="TableContents"/>
              <w:bidi w:val="0"/>
              <w:spacing w:before="0" w:after="0"/>
              <w:jc w:val="left"/>
              <w:rPr>
                <w:color w:val="000000"/>
              </w:rPr>
            </w:pPr>
            <w:r>
              <w:rPr>
                <w:color w:val="000000"/>
              </w:rPr>
              <w:t>)%</w:t>
            </w:r>
          </w:p>
        </w:tc>
      </w:tr>
      <w:tr>
        <w:trPr/>
        <w:tc>
          <w:tcPr>
            <w:tcW w:w="3994" w:type="dxa"/>
            <w:tcBorders/>
            <w:shd w:fill="CCEEFF" w:val="clear"/>
            <w:vAlign w:val="bottom"/>
          </w:tcPr>
          <w:p>
            <w:pPr>
              <w:pStyle w:val="TableContents"/>
              <w:bidi w:val="0"/>
              <w:spacing w:before="0" w:after="0"/>
              <w:ind w:left="540" w:right="0" w:hanging="180"/>
              <w:jc w:val="left"/>
              <w:rPr>
                <w:color w:val="000000"/>
              </w:rPr>
            </w:pPr>
            <w:r>
              <w:rPr>
                <w:color w:val="000000"/>
              </w:rPr>
              <w:t>Auto loans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0.03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0.14</w:t>
            </w:r>
          </w:p>
        </w:tc>
        <w:tc>
          <w:tcPr>
            <w:tcW w:w="280"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0.13</w:t>
            </w:r>
          </w:p>
        </w:tc>
        <w:tc>
          <w:tcPr>
            <w:tcW w:w="280"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0.23</w:t>
            </w:r>
          </w:p>
        </w:tc>
        <w:tc>
          <w:tcPr>
            <w:tcW w:w="326" w:type="dxa"/>
            <w:tcBorders/>
            <w:shd w:fill="CCEEFF" w:val="clear"/>
            <w:vAlign w:val="bottom"/>
          </w:tcPr>
          <w:p>
            <w:pPr>
              <w:pStyle w:val="TableContents"/>
              <w:bidi w:val="0"/>
              <w:spacing w:before="0" w:after="0"/>
              <w:jc w:val="left"/>
              <w:rPr>
                <w:color w:val="000000"/>
              </w:rPr>
            </w:pPr>
            <w:r>
              <w:rPr>
                <w:color w:val="000000"/>
              </w:rPr>
              <w:t>%</w:t>
            </w:r>
          </w:p>
        </w:tc>
      </w:tr>
      <w:tr>
        <w:trPr/>
        <w:tc>
          <w:tcPr>
            <w:tcW w:w="3994" w:type="dxa"/>
            <w:tcBorders/>
            <w:vAlign w:val="bottom"/>
          </w:tcPr>
          <w:p>
            <w:pPr>
              <w:pStyle w:val="TableContents"/>
              <w:bidi w:val="0"/>
              <w:spacing w:before="0" w:after="0"/>
              <w:ind w:left="540" w:right="0" w:hanging="180"/>
              <w:jc w:val="left"/>
              <w:rPr>
                <w:color w:val="000000"/>
              </w:rPr>
            </w:pPr>
            <w:r>
              <w:rPr>
                <w:color w:val="000000"/>
              </w:rPr>
              <w:t>Other consumer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0.26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0.25</w:t>
            </w:r>
          </w:p>
        </w:tc>
        <w:tc>
          <w:tcPr>
            <w:tcW w:w="280"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0.62</w:t>
            </w:r>
          </w:p>
        </w:tc>
        <w:tc>
          <w:tcPr>
            <w:tcW w:w="280"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0.66</w:t>
            </w:r>
          </w:p>
        </w:tc>
        <w:tc>
          <w:tcPr>
            <w:tcW w:w="326" w:type="dxa"/>
            <w:tcBorders/>
            <w:vAlign w:val="bottom"/>
          </w:tcPr>
          <w:p>
            <w:pPr>
              <w:pStyle w:val="TableContents"/>
              <w:bidi w:val="0"/>
              <w:spacing w:before="0" w:after="0"/>
              <w:jc w:val="left"/>
              <w:rPr>
                <w:color w:val="000000"/>
              </w:rPr>
            </w:pPr>
            <w:r>
              <w:rPr>
                <w:color w:val="000000"/>
              </w:rPr>
              <w:t>%</w:t>
            </w:r>
          </w:p>
        </w:tc>
      </w:tr>
      <w:tr>
        <w:trPr/>
        <w:tc>
          <w:tcPr>
            <w:tcW w:w="3994" w:type="dxa"/>
            <w:tcBorders/>
            <w:shd w:fill="CCEEFF" w:val="clear"/>
            <w:vAlign w:val="bottom"/>
          </w:tcPr>
          <w:p>
            <w:pPr>
              <w:pStyle w:val="TableContents"/>
              <w:bidi w:val="0"/>
              <w:spacing w:before="0" w:after="0"/>
              <w:ind w:left="360" w:right="0" w:hanging="180"/>
              <w:jc w:val="left"/>
              <w:rPr>
                <w:color w:val="000000"/>
              </w:rPr>
            </w:pPr>
            <w:r>
              <w:rPr>
                <w:color w:val="000000"/>
              </w:rPr>
              <w:t>Construction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0.00</w:t>
            </w:r>
          </w:p>
        </w:tc>
        <w:tc>
          <w:tcPr>
            <w:tcW w:w="280"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0.00</w:t>
            </w:r>
          </w:p>
        </w:tc>
        <w:tc>
          <w:tcPr>
            <w:tcW w:w="280"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0.00</w:t>
            </w:r>
          </w:p>
        </w:tc>
        <w:tc>
          <w:tcPr>
            <w:tcW w:w="326" w:type="dxa"/>
            <w:tcBorders/>
            <w:shd w:fill="CCEEFF" w:val="clear"/>
            <w:vAlign w:val="bottom"/>
          </w:tcPr>
          <w:p>
            <w:pPr>
              <w:pStyle w:val="TableContents"/>
              <w:bidi w:val="0"/>
              <w:spacing w:before="0" w:after="0"/>
              <w:jc w:val="left"/>
              <w:rPr>
                <w:color w:val="000000"/>
              </w:rPr>
            </w:pPr>
            <w:r>
              <w:rPr>
                <w:color w:val="000000"/>
              </w:rPr>
              <w:t>%</w:t>
            </w:r>
          </w:p>
        </w:tc>
      </w:tr>
      <w:tr>
        <w:trPr/>
        <w:tc>
          <w:tcPr>
            <w:tcW w:w="3994" w:type="dxa"/>
            <w:tcBorders/>
            <w:vAlign w:val="bottom"/>
          </w:tcPr>
          <w:p>
            <w:pPr>
              <w:pStyle w:val="TableContents"/>
              <w:bidi w:val="0"/>
              <w:spacing w:before="0" w:after="0"/>
              <w:ind w:left="180" w:right="0" w:hanging="180"/>
              <w:jc w:val="left"/>
              <w:rPr>
                <w:color w:val="000000"/>
              </w:rPr>
            </w:pPr>
            <w:r>
              <w:rPr>
                <w:color w:val="000000"/>
              </w:rPr>
              <w:t>Total ratio of net charge-offs (recoveries) to average loans during the periods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0.01</w:t>
            </w:r>
          </w:p>
        </w:tc>
        <w:tc>
          <w:tcPr>
            <w:tcW w:w="280"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0.03</w:t>
            </w:r>
          </w:p>
        </w:tc>
        <w:tc>
          <w:tcPr>
            <w:tcW w:w="280"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0.03</w:t>
            </w:r>
          </w:p>
        </w:tc>
        <w:tc>
          <w:tcPr>
            <w:tcW w:w="326"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provides other loan data as of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5" w:name="z226eaaba59c44a7eb7db250f0a2d297a"/>
      <w:bookmarkStart w:id="226" w:name="z226eaaba59c44a7eb7db250f0a2d297a"/>
      <w:bookmarkEnd w:id="226"/>
    </w:p>
    <w:tbl>
      <w:tblPr>
        <w:tblW w:w="9758" w:type="dxa"/>
        <w:jc w:val="left"/>
        <w:tblInd w:w="0" w:type="dxa"/>
        <w:tblLayout w:type="fixed"/>
        <w:tblCellMar>
          <w:top w:w="0" w:type="dxa"/>
          <w:left w:w="0" w:type="dxa"/>
          <w:bottom w:w="0" w:type="dxa"/>
          <w:right w:w="0" w:type="dxa"/>
        </w:tblCellMar>
      </w:tblPr>
      <w:tblGrid>
        <w:gridCol w:w="5615"/>
        <w:gridCol w:w="90"/>
        <w:gridCol w:w="208"/>
        <w:gridCol w:w="1236"/>
        <w:gridCol w:w="245"/>
        <w:gridCol w:w="90"/>
        <w:gridCol w:w="285"/>
        <w:gridCol w:w="1699"/>
        <w:gridCol w:w="290"/>
      </w:tblGrid>
      <w:tr>
        <w:trPr/>
        <w:tc>
          <w:tcPr>
            <w:tcW w:w="56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290" w:type="dxa"/>
            <w:tcBorders/>
            <w:vAlign w:val="bottom"/>
          </w:tcPr>
          <w:p>
            <w:pPr>
              <w:pStyle w:val="TableContents"/>
              <w:bidi w:val="0"/>
              <w:spacing w:before="0" w:after="283"/>
              <w:jc w:val="left"/>
              <w:rPr/>
            </w:pPr>
            <w:r>
              <w:rPr/>
              <w:t> </w:t>
            </w:r>
          </w:p>
        </w:tc>
      </w:tr>
      <w:tr>
        <w:trPr/>
        <w:tc>
          <w:tcPr>
            <w:tcW w:w="56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763" w:type="dxa"/>
            <w:gridSpan w:val="6"/>
            <w:tcBorders/>
            <w:vAlign w:val="bottom"/>
          </w:tcPr>
          <w:p>
            <w:pPr>
              <w:pStyle w:val="TableContents"/>
              <w:bidi w:val="0"/>
              <w:spacing w:before="0" w:after="0"/>
              <w:jc w:val="center"/>
              <w:rPr>
                <w:b/>
                <w:color w:val="000000"/>
              </w:rPr>
            </w:pPr>
            <w:r>
              <w:rPr>
                <w:b/>
                <w:color w:val="000000"/>
              </w:rPr>
              <w:t>(Dollars in thousands)</w:t>
            </w:r>
          </w:p>
        </w:tc>
        <w:tc>
          <w:tcPr>
            <w:tcW w:w="290" w:type="dxa"/>
            <w:tcBorders/>
            <w:vAlign w:val="bottom"/>
          </w:tcPr>
          <w:p>
            <w:pPr>
              <w:pStyle w:val="TableContents"/>
              <w:bidi w:val="0"/>
              <w:spacing w:before="0" w:after="283"/>
              <w:jc w:val="left"/>
              <w:rPr/>
            </w:pPr>
            <w:r>
              <w:rPr/>
              <w:t> </w:t>
            </w:r>
          </w:p>
        </w:tc>
      </w:tr>
      <w:tr>
        <w:trPr/>
        <w:tc>
          <w:tcPr>
            <w:tcW w:w="5615" w:type="dxa"/>
            <w:tcBorders/>
            <w:shd w:fill="CCEEFF" w:val="clear"/>
            <w:vAlign w:val="bottom"/>
          </w:tcPr>
          <w:p>
            <w:pPr>
              <w:pStyle w:val="TableContents"/>
              <w:bidi w:val="0"/>
              <w:spacing w:before="0" w:after="0"/>
              <w:jc w:val="left"/>
              <w:rPr>
                <w:color w:val="000000"/>
              </w:rPr>
            </w:pPr>
            <w:r>
              <w:rPr>
                <w:color w:val="000000"/>
              </w:rPr>
              <w:t>Total loans held for investment outstanding</w:t>
            </w:r>
          </w:p>
        </w:tc>
        <w:tc>
          <w:tcPr>
            <w:tcW w:w="9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0"/>
              <w:jc w:val="left"/>
              <w:rPr>
                <w:color w:val="000000"/>
              </w:rPr>
            </w:pPr>
            <w:r>
              <w:rPr>
                <w:color w:val="000000"/>
              </w:rPr>
              <w:t>$</w:t>
            </w:r>
          </w:p>
        </w:tc>
        <w:tc>
          <w:tcPr>
            <w:tcW w:w="1236" w:type="dxa"/>
            <w:tcBorders/>
            <w:shd w:fill="CCEEFF" w:val="clear"/>
            <w:vAlign w:val="bottom"/>
          </w:tcPr>
          <w:p>
            <w:pPr>
              <w:pStyle w:val="TableContents"/>
              <w:bidi w:val="0"/>
              <w:spacing w:before="0" w:after="0"/>
              <w:jc w:val="right"/>
              <w:rPr>
                <w:color w:val="000000"/>
              </w:rPr>
            </w:pPr>
            <w:r>
              <w:rPr>
                <w:color w:val="000000"/>
              </w:rPr>
              <w:t>3,771,434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0"/>
              <w:jc w:val="left"/>
              <w:rPr>
                <w:color w:val="000000"/>
              </w:rPr>
            </w:pPr>
            <w:r>
              <w:rPr>
                <w:color w:val="000000"/>
              </w:rPr>
              <w:t>$</w:t>
            </w:r>
          </w:p>
        </w:tc>
        <w:tc>
          <w:tcPr>
            <w:tcW w:w="1699" w:type="dxa"/>
            <w:tcBorders/>
            <w:shd w:fill="CCEEFF" w:val="clear"/>
            <w:vAlign w:val="bottom"/>
          </w:tcPr>
          <w:p>
            <w:pPr>
              <w:pStyle w:val="TableContents"/>
              <w:bidi w:val="0"/>
              <w:spacing w:before="0" w:after="0"/>
              <w:jc w:val="right"/>
              <w:rPr>
                <w:color w:val="000000"/>
              </w:rPr>
            </w:pPr>
            <w:r>
              <w:rPr>
                <w:color w:val="000000"/>
              </w:rPr>
              <w:t>3,144,502</w:t>
            </w:r>
          </w:p>
        </w:tc>
        <w:tc>
          <w:tcPr>
            <w:tcW w:w="290" w:type="dxa"/>
            <w:tcBorders/>
            <w:shd w:fill="CCEEFF" w:val="clear"/>
            <w:vAlign w:val="bottom"/>
          </w:tcPr>
          <w:p>
            <w:pPr>
              <w:pStyle w:val="TableContents"/>
              <w:bidi w:val="0"/>
              <w:spacing w:before="0" w:after="283"/>
              <w:jc w:val="left"/>
              <w:rPr/>
            </w:pPr>
            <w:r>
              <w:rPr/>
              <w:t> </w:t>
            </w:r>
          </w:p>
        </w:tc>
      </w:tr>
      <w:tr>
        <w:trPr/>
        <w:tc>
          <w:tcPr>
            <w:tcW w:w="5615" w:type="dxa"/>
            <w:tcBorders/>
            <w:vAlign w:val="bottom"/>
          </w:tcPr>
          <w:p>
            <w:pPr>
              <w:pStyle w:val="TableContents"/>
              <w:bidi w:val="0"/>
              <w:spacing w:before="0" w:after="0"/>
              <w:jc w:val="left"/>
              <w:rPr>
                <w:color w:val="000000"/>
              </w:rPr>
            </w:pPr>
            <w:r>
              <w:rPr>
                <w:color w:val="000000"/>
              </w:rPr>
              <w:t>Nonaccrual loans</w:t>
            </w:r>
          </w:p>
        </w:tc>
        <w:tc>
          <w:tcPr>
            <w:tcW w:w="9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0"/>
              <w:jc w:val="left"/>
              <w:rPr>
                <w:color w:val="000000"/>
              </w:rPr>
            </w:pPr>
            <w:r>
              <w:rPr>
                <w:color w:val="000000"/>
              </w:rPr>
              <w:t>$</w:t>
            </w:r>
          </w:p>
        </w:tc>
        <w:tc>
          <w:tcPr>
            <w:tcW w:w="1236" w:type="dxa"/>
            <w:tcBorders/>
            <w:vAlign w:val="bottom"/>
          </w:tcPr>
          <w:p>
            <w:pPr>
              <w:pStyle w:val="TableContents"/>
              <w:bidi w:val="0"/>
              <w:spacing w:before="0" w:after="0"/>
              <w:jc w:val="right"/>
              <w:rPr>
                <w:color w:val="000000"/>
              </w:rPr>
            </w:pPr>
            <w:r>
              <w:rPr>
                <w:color w:val="000000"/>
              </w:rPr>
              <w:t>6,857</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0"/>
              <w:jc w:val="left"/>
              <w:rPr>
                <w:color w:val="000000"/>
              </w:rPr>
            </w:pPr>
            <w:r>
              <w:rPr>
                <w:color w:val="000000"/>
              </w:rPr>
              <w:t>$</w:t>
            </w:r>
          </w:p>
        </w:tc>
        <w:tc>
          <w:tcPr>
            <w:tcW w:w="1699" w:type="dxa"/>
            <w:tcBorders/>
            <w:vAlign w:val="bottom"/>
          </w:tcPr>
          <w:p>
            <w:pPr>
              <w:pStyle w:val="TableContents"/>
              <w:bidi w:val="0"/>
              <w:spacing w:before="0" w:after="0"/>
              <w:jc w:val="right"/>
              <w:rPr>
                <w:color w:val="000000"/>
              </w:rPr>
            </w:pPr>
            <w:r>
              <w:rPr>
                <w:color w:val="000000"/>
              </w:rPr>
              <w:t>7,070</w:t>
            </w:r>
          </w:p>
        </w:tc>
        <w:tc>
          <w:tcPr>
            <w:tcW w:w="290" w:type="dxa"/>
            <w:tcBorders/>
            <w:vAlign w:val="bottom"/>
          </w:tcPr>
          <w:p>
            <w:pPr>
              <w:pStyle w:val="TableContents"/>
              <w:bidi w:val="0"/>
              <w:spacing w:before="0" w:after="283"/>
              <w:jc w:val="left"/>
              <w:rPr/>
            </w:pPr>
            <w:r>
              <w:rPr/>
              <w:t> </w:t>
            </w:r>
          </w:p>
        </w:tc>
      </w:tr>
      <w:tr>
        <w:trPr/>
        <w:tc>
          <w:tcPr>
            <w:tcW w:w="5615" w:type="dxa"/>
            <w:tcBorders/>
            <w:shd w:fill="CCEEFF" w:val="clear"/>
            <w:vAlign w:val="bottom"/>
          </w:tcPr>
          <w:p>
            <w:pPr>
              <w:pStyle w:val="TableContents"/>
              <w:bidi w:val="0"/>
              <w:spacing w:before="0" w:after="0"/>
              <w:jc w:val="left"/>
              <w:rPr>
                <w:color w:val="000000"/>
              </w:rPr>
            </w:pPr>
            <w:r>
              <w:rPr>
                <w:color w:val="000000"/>
              </w:rPr>
              <w:t>Allowance for credit losses on loans</w:t>
            </w:r>
          </w:p>
        </w:tc>
        <w:tc>
          <w:tcPr>
            <w:tcW w:w="9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0"/>
              <w:jc w:val="left"/>
              <w:rPr>
                <w:color w:val="000000"/>
              </w:rPr>
            </w:pPr>
            <w:r>
              <w:rPr>
                <w:color w:val="000000"/>
              </w:rPr>
              <w:t>$</w:t>
            </w:r>
          </w:p>
        </w:tc>
        <w:tc>
          <w:tcPr>
            <w:tcW w:w="1236" w:type="dxa"/>
            <w:tcBorders/>
            <w:shd w:fill="CCEEFF" w:val="clear"/>
            <w:vAlign w:val="bottom"/>
          </w:tcPr>
          <w:p>
            <w:pPr>
              <w:pStyle w:val="TableContents"/>
              <w:bidi w:val="0"/>
              <w:spacing w:before="0" w:after="0"/>
              <w:jc w:val="right"/>
              <w:rPr>
                <w:color w:val="000000"/>
              </w:rPr>
            </w:pPr>
            <w:r>
              <w:rPr>
                <w:color w:val="000000"/>
              </w:rPr>
              <w:t>53,076</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0"/>
              <w:jc w:val="left"/>
              <w:rPr>
                <w:color w:val="000000"/>
              </w:rPr>
            </w:pPr>
            <w:r>
              <w:rPr>
                <w:color w:val="000000"/>
              </w:rPr>
              <w:t>$</w:t>
            </w:r>
          </w:p>
        </w:tc>
        <w:tc>
          <w:tcPr>
            <w:tcW w:w="1699" w:type="dxa"/>
            <w:tcBorders/>
            <w:shd w:fill="CCEEFF" w:val="clear"/>
            <w:vAlign w:val="bottom"/>
          </w:tcPr>
          <w:p>
            <w:pPr>
              <w:pStyle w:val="TableContents"/>
              <w:bidi w:val="0"/>
              <w:spacing w:before="0" w:after="0"/>
              <w:jc w:val="right"/>
              <w:rPr>
                <w:color w:val="000000"/>
              </w:rPr>
            </w:pPr>
            <w:r>
              <w:rPr>
                <w:color w:val="000000"/>
              </w:rPr>
              <w:t>45,131</w:t>
            </w:r>
          </w:p>
        </w:tc>
        <w:tc>
          <w:tcPr>
            <w:tcW w:w="290" w:type="dxa"/>
            <w:tcBorders/>
            <w:shd w:fill="CCEEFF" w:val="clear"/>
            <w:vAlign w:val="bottom"/>
          </w:tcPr>
          <w:p>
            <w:pPr>
              <w:pStyle w:val="TableContents"/>
              <w:bidi w:val="0"/>
              <w:spacing w:before="0" w:after="283"/>
              <w:jc w:val="left"/>
              <w:rPr/>
            </w:pPr>
            <w:r>
              <w:rPr/>
              <w:t> </w:t>
            </w:r>
          </w:p>
        </w:tc>
      </w:tr>
      <w:tr>
        <w:trPr/>
        <w:tc>
          <w:tcPr>
            <w:tcW w:w="5615" w:type="dxa"/>
            <w:tcBorders/>
            <w:vAlign w:val="bottom"/>
          </w:tcPr>
          <w:p>
            <w:pPr>
              <w:pStyle w:val="TableContents"/>
              <w:bidi w:val="0"/>
              <w:spacing w:before="0" w:after="0"/>
              <w:jc w:val="left"/>
              <w:rPr>
                <w:color w:val="000000"/>
              </w:rPr>
            </w:pPr>
            <w:r>
              <w:rPr>
                <w:color w:val="000000"/>
              </w:rPr>
              <w:t>Ratio of allowance to total loans held for investment</w:t>
            </w:r>
          </w:p>
        </w:tc>
        <w:tc>
          <w:tcPr>
            <w:tcW w:w="9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0"/>
              <w:jc w:val="right"/>
              <w:rPr>
                <w:color w:val="000000"/>
              </w:rPr>
            </w:pPr>
            <w:r>
              <w:rPr>
                <w:color w:val="000000"/>
              </w:rPr>
              <w:t>1.41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699" w:type="dxa"/>
            <w:tcBorders/>
            <w:vAlign w:val="bottom"/>
          </w:tcPr>
          <w:p>
            <w:pPr>
              <w:pStyle w:val="TableContents"/>
              <w:bidi w:val="0"/>
              <w:spacing w:before="0" w:after="0"/>
              <w:jc w:val="right"/>
              <w:rPr>
                <w:color w:val="000000"/>
              </w:rPr>
            </w:pPr>
            <w:r>
              <w:rPr>
                <w:color w:val="000000"/>
              </w:rPr>
              <w:t>1.44</w:t>
            </w:r>
          </w:p>
        </w:tc>
        <w:tc>
          <w:tcPr>
            <w:tcW w:w="290" w:type="dxa"/>
            <w:tcBorders/>
            <w:vAlign w:val="bottom"/>
          </w:tcPr>
          <w:p>
            <w:pPr>
              <w:pStyle w:val="TableContents"/>
              <w:bidi w:val="0"/>
              <w:spacing w:before="0" w:after="0"/>
              <w:jc w:val="left"/>
              <w:rPr>
                <w:color w:val="000000"/>
              </w:rPr>
            </w:pPr>
            <w:r>
              <w:rPr>
                <w:color w:val="000000"/>
              </w:rPr>
              <w:t>%</w:t>
            </w:r>
          </w:p>
        </w:tc>
      </w:tr>
      <w:tr>
        <w:trPr/>
        <w:tc>
          <w:tcPr>
            <w:tcW w:w="5615" w:type="dxa"/>
            <w:tcBorders/>
            <w:shd w:fill="CCEEFF" w:val="clear"/>
            <w:vAlign w:val="bottom"/>
          </w:tcPr>
          <w:p>
            <w:pPr>
              <w:pStyle w:val="TableContents"/>
              <w:bidi w:val="0"/>
              <w:spacing w:before="0" w:after="0"/>
              <w:jc w:val="left"/>
              <w:rPr>
                <w:color w:val="000000"/>
              </w:rPr>
            </w:pPr>
            <w:r>
              <w:rPr>
                <w:color w:val="000000"/>
              </w:rPr>
              <w:t>Ratio of allowance to nonaccrual loans</w:t>
            </w:r>
          </w:p>
        </w:tc>
        <w:tc>
          <w:tcPr>
            <w:tcW w:w="9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0"/>
              <w:jc w:val="right"/>
              <w:rPr>
                <w:color w:val="000000"/>
              </w:rPr>
            </w:pPr>
            <w:r>
              <w:rPr>
                <w:color w:val="000000"/>
              </w:rPr>
              <w:t>774.04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699" w:type="dxa"/>
            <w:tcBorders/>
            <w:shd w:fill="CCEEFF" w:val="clear"/>
            <w:vAlign w:val="bottom"/>
          </w:tcPr>
          <w:p>
            <w:pPr>
              <w:pStyle w:val="TableContents"/>
              <w:bidi w:val="0"/>
              <w:spacing w:before="0" w:after="0"/>
              <w:jc w:val="right"/>
              <w:rPr>
                <w:color w:val="000000"/>
              </w:rPr>
            </w:pPr>
            <w:r>
              <w:rPr>
                <w:color w:val="000000"/>
              </w:rPr>
              <w:t>638.35</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5615" w:type="dxa"/>
            <w:tcBorders/>
            <w:vAlign w:val="bottom"/>
          </w:tcPr>
          <w:p>
            <w:pPr>
              <w:pStyle w:val="TableContents"/>
              <w:bidi w:val="0"/>
              <w:spacing w:before="0" w:after="0"/>
              <w:jc w:val="left"/>
              <w:rPr>
                <w:color w:val="000000"/>
              </w:rPr>
            </w:pPr>
            <w:r>
              <w:rPr>
                <w:color w:val="000000"/>
              </w:rPr>
              <w:t>Ratio of nonaccrual loans to total loans held for investment</w:t>
            </w:r>
          </w:p>
        </w:tc>
        <w:tc>
          <w:tcPr>
            <w:tcW w:w="9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0"/>
              <w:jc w:val="right"/>
              <w:rPr>
                <w:color w:val="000000"/>
              </w:rPr>
            </w:pPr>
            <w:r>
              <w:rPr>
                <w:color w:val="000000"/>
              </w:rPr>
              <w:t>0.18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699" w:type="dxa"/>
            <w:tcBorders/>
            <w:vAlign w:val="bottom"/>
          </w:tcPr>
          <w:p>
            <w:pPr>
              <w:pStyle w:val="TableContents"/>
              <w:bidi w:val="0"/>
              <w:spacing w:before="0" w:after="0"/>
              <w:jc w:val="right"/>
              <w:rPr>
                <w:color w:val="000000"/>
              </w:rPr>
            </w:pPr>
            <w:r>
              <w:rPr>
                <w:color w:val="000000"/>
              </w:rPr>
              <w:t>0.22</w:t>
            </w:r>
          </w:p>
        </w:tc>
        <w:tc>
          <w:tcPr>
            <w:tcW w:w="29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charge-offs totaled $569 thousand and were 0.06% (annualized) of average loans outstanding for the three months ended June 30, 2026, which is comparable to $458 thousand and 0.06% (annualized) for the three months ended June 30, 2025. Net charge-offs totaled $878 thousand and were 0.05% (annualized) of average loans outstanding for the six months ended June 30, 2026, which is comparable to $977 thousand and 0.06% (annualized) for the six months ended June 30, 2025. The allowance for credit losses on loans as a percentage of loans held for investment was 1.41% at June 30, 2026 and 1.44% at December 31, 2025.</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While the entire ACL for loans is available to absorb losses from any part of our loan portfolio, the following table sets forth the allocation of the ACL for loans for the periods presented and the percentage of allowance in each classification to total allowance:</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227" w:name="zc918a17ec4cd48f087b36a99a33bab8a"/>
      <w:bookmarkStart w:id="228" w:name="zc918a17ec4cd48f087b36a99a33bab8a"/>
      <w:bookmarkEnd w:id="228"/>
    </w:p>
    <w:tbl>
      <w:tblPr>
        <w:tblW w:w="7556" w:type="dxa"/>
        <w:jc w:val="left"/>
        <w:tblInd w:w="0" w:type="dxa"/>
        <w:tblLayout w:type="fixed"/>
        <w:tblCellMar>
          <w:top w:w="0" w:type="dxa"/>
          <w:left w:w="0" w:type="dxa"/>
          <w:bottom w:w="0" w:type="dxa"/>
          <w:right w:w="0" w:type="dxa"/>
        </w:tblCellMar>
      </w:tblPr>
      <w:tblGrid>
        <w:gridCol w:w="3110"/>
        <w:gridCol w:w="90"/>
        <w:gridCol w:w="171"/>
        <w:gridCol w:w="719"/>
        <w:gridCol w:w="90"/>
        <w:gridCol w:w="90"/>
        <w:gridCol w:w="90"/>
        <w:gridCol w:w="590"/>
        <w:gridCol w:w="245"/>
        <w:gridCol w:w="90"/>
        <w:gridCol w:w="193"/>
        <w:gridCol w:w="809"/>
        <w:gridCol w:w="102"/>
        <w:gridCol w:w="102"/>
        <w:gridCol w:w="102"/>
        <w:gridCol w:w="673"/>
        <w:gridCol w:w="290"/>
      </w:tblGrid>
      <w:tr>
        <w:trPr/>
        <w:tc>
          <w:tcPr>
            <w:tcW w:w="3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290" w:type="dxa"/>
            <w:tcBorders/>
            <w:vAlign w:val="bottom"/>
          </w:tcPr>
          <w:p>
            <w:pPr>
              <w:pStyle w:val="TableContents"/>
              <w:bidi w:val="0"/>
              <w:spacing w:before="0" w:after="283"/>
              <w:jc w:val="left"/>
              <w:rPr/>
            </w:pPr>
            <w:r>
              <w:rPr/>
              <w:t> </w:t>
            </w:r>
          </w:p>
        </w:tc>
      </w:tr>
      <w:tr>
        <w:trPr/>
        <w:tc>
          <w:tcPr>
            <w:tcW w:w="3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Amount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 of</w:t>
            </w:r>
          </w:p>
          <w:p>
            <w:pPr>
              <w:pStyle w:val="TableContents"/>
              <w:bidi w:val="0"/>
              <w:spacing w:before="0" w:after="0"/>
              <w:jc w:val="center"/>
              <w:rPr>
                <w:b/>
                <w:color w:val="000000"/>
              </w:rPr>
            </w:pPr>
            <w:r>
              <w:rPr>
                <w:b/>
                <w:color w:val="000000"/>
              </w:rPr>
              <w:t>Total</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2"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Amount</w:t>
            </w:r>
          </w:p>
        </w:tc>
        <w:tc>
          <w:tcPr>
            <w:tcW w:w="102" w:type="dxa"/>
            <w:tcBorders/>
            <w:vAlign w:val="center"/>
          </w:tcPr>
          <w:p>
            <w:pPr>
              <w:pStyle w:val="TableContents"/>
              <w:bidi w:val="0"/>
              <w:spacing w:before="0" w:after="283"/>
              <w:jc w:val="center"/>
              <w:rPr/>
            </w:pPr>
            <w:r>
              <w:rPr/>
              <w:t> </w:t>
            </w:r>
          </w:p>
        </w:tc>
        <w:tc>
          <w:tcPr>
            <w:tcW w:w="102" w:type="dxa"/>
            <w:tcBorders/>
            <w:vAlign w:val="center"/>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 of</w:t>
            </w:r>
          </w:p>
          <w:p>
            <w:pPr>
              <w:pStyle w:val="TableContents"/>
              <w:bidi w:val="0"/>
              <w:spacing w:before="0" w:after="0"/>
              <w:jc w:val="center"/>
              <w:rPr>
                <w:b/>
                <w:color w:val="000000"/>
              </w:rPr>
            </w:pPr>
            <w:r>
              <w:rPr>
                <w:b/>
                <w:color w:val="000000"/>
              </w:rPr>
              <w:t>Total</w:t>
            </w:r>
          </w:p>
        </w:tc>
        <w:tc>
          <w:tcPr>
            <w:tcW w:w="290" w:type="dxa"/>
            <w:tcBorders/>
            <w:vAlign w:val="bottom"/>
          </w:tcPr>
          <w:p>
            <w:pPr>
              <w:pStyle w:val="TableContents"/>
              <w:bidi w:val="0"/>
              <w:spacing w:before="0" w:after="283"/>
              <w:jc w:val="left"/>
              <w:rPr/>
            </w:pPr>
            <w:r>
              <w:rPr/>
              <w:t> </w:t>
            </w:r>
          </w:p>
        </w:tc>
      </w:tr>
      <w:tr>
        <w:trPr/>
        <w:tc>
          <w:tcPr>
            <w:tcW w:w="31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66" w:type="dxa"/>
            <w:gridSpan w:val="14"/>
            <w:tcBorders/>
            <w:vAlign w:val="bottom"/>
          </w:tcPr>
          <w:p>
            <w:pPr>
              <w:pStyle w:val="TableContents"/>
              <w:bidi w:val="0"/>
              <w:spacing w:before="0" w:after="0"/>
              <w:jc w:val="center"/>
              <w:rPr>
                <w:b/>
                <w:color w:val="000000"/>
              </w:rPr>
            </w:pPr>
            <w:r>
              <w:rPr>
                <w:b/>
                <w:color w:val="000000"/>
              </w:rPr>
              <w:t>(Dollars in thousands)</w:t>
            </w:r>
          </w:p>
        </w:tc>
        <w:tc>
          <w:tcPr>
            <w:tcW w:w="290" w:type="dxa"/>
            <w:tcBorders/>
            <w:vAlign w:val="bottom"/>
          </w:tcPr>
          <w:p>
            <w:pPr>
              <w:pStyle w:val="TableContents"/>
              <w:bidi w:val="0"/>
              <w:spacing w:before="0" w:after="283"/>
              <w:jc w:val="left"/>
              <w:rPr/>
            </w:pPr>
            <w:r>
              <w:rPr/>
              <w:t> </w:t>
            </w:r>
          </w:p>
        </w:tc>
      </w:tr>
      <w:tr>
        <w:trPr/>
        <w:tc>
          <w:tcPr>
            <w:tcW w:w="3110" w:type="dxa"/>
            <w:tcBorders/>
            <w:shd w:fill="CCEEFF" w:val="clear"/>
            <w:vAlign w:val="bottom"/>
          </w:tcPr>
          <w:p>
            <w:pPr>
              <w:pStyle w:val="TableContents"/>
              <w:bidi w:val="0"/>
              <w:spacing w:before="0" w:after="0"/>
              <w:jc w:val="left"/>
              <w:rPr>
                <w:color w:val="000000"/>
              </w:rPr>
            </w:pPr>
            <w:r>
              <w:rPr>
                <w:color w:val="000000"/>
              </w:rPr>
              <w:t>Commercial real estate</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719" w:type="dxa"/>
            <w:tcBorders/>
            <w:shd w:fill="CCEEFF" w:val="clear"/>
            <w:vAlign w:val="bottom"/>
          </w:tcPr>
          <w:p>
            <w:pPr>
              <w:pStyle w:val="TableContents"/>
              <w:bidi w:val="0"/>
              <w:spacing w:before="0" w:after="0"/>
              <w:jc w:val="right"/>
              <w:rPr>
                <w:color w:val="000000"/>
              </w:rPr>
            </w:pPr>
            <w:r>
              <w:rPr>
                <w:color w:val="000000"/>
              </w:rPr>
              <w:t>18,431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34.7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0"/>
              <w:jc w:val="left"/>
              <w:rPr>
                <w:color w:val="000000"/>
              </w:rPr>
            </w:pPr>
            <w:r>
              <w:rPr>
                <w:color w:val="000000"/>
              </w:rPr>
              <w:t>$</w:t>
            </w:r>
          </w:p>
        </w:tc>
        <w:tc>
          <w:tcPr>
            <w:tcW w:w="809" w:type="dxa"/>
            <w:tcBorders/>
            <w:shd w:fill="CCEEFF" w:val="clear"/>
            <w:vAlign w:val="bottom"/>
          </w:tcPr>
          <w:p>
            <w:pPr>
              <w:pStyle w:val="TableContents"/>
              <w:bidi w:val="0"/>
              <w:spacing w:before="0" w:after="0"/>
              <w:jc w:val="right"/>
              <w:rPr>
                <w:color w:val="000000"/>
              </w:rPr>
            </w:pPr>
            <w:r>
              <w:rPr>
                <w:color w:val="000000"/>
              </w:rPr>
              <w:t>15,214</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0"/>
              <w:jc w:val="right"/>
              <w:rPr>
                <w:color w:val="000000"/>
              </w:rPr>
            </w:pPr>
            <w:r>
              <w:rPr>
                <w:color w:val="000000"/>
              </w:rPr>
              <w:t>33.8</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110" w:type="dxa"/>
            <w:tcBorders/>
            <w:vAlign w:val="bottom"/>
          </w:tcPr>
          <w:p>
            <w:pPr>
              <w:pStyle w:val="TableContents"/>
              <w:bidi w:val="0"/>
              <w:spacing w:before="0" w:after="0"/>
              <w:jc w:val="left"/>
              <w:rPr>
                <w:color w:val="000000"/>
              </w:rPr>
            </w:pPr>
            <w:r>
              <w:rPr>
                <w:color w:val="000000"/>
              </w:rPr>
              <w:t>Commercial – specialized</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6,839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12.9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0"/>
              <w:jc w:val="right"/>
              <w:rPr>
                <w:color w:val="000000"/>
              </w:rPr>
            </w:pPr>
            <w:r>
              <w:rPr>
                <w:color w:val="000000"/>
              </w:rPr>
              <w:t>5,231</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0"/>
              <w:jc w:val="right"/>
              <w:rPr>
                <w:color w:val="000000"/>
              </w:rPr>
            </w:pPr>
            <w:r>
              <w:rPr>
                <w:color w:val="000000"/>
              </w:rPr>
              <w:t>11.6</w:t>
            </w:r>
          </w:p>
        </w:tc>
        <w:tc>
          <w:tcPr>
            <w:tcW w:w="290" w:type="dxa"/>
            <w:tcBorders/>
            <w:vAlign w:val="bottom"/>
          </w:tcPr>
          <w:p>
            <w:pPr>
              <w:pStyle w:val="TableContents"/>
              <w:bidi w:val="0"/>
              <w:spacing w:before="0" w:after="0"/>
              <w:jc w:val="left"/>
              <w:rPr>
                <w:color w:val="000000"/>
              </w:rPr>
            </w:pPr>
            <w:r>
              <w:rPr>
                <w:color w:val="000000"/>
              </w:rPr>
              <w:t>%</w:t>
            </w:r>
          </w:p>
        </w:tc>
      </w:tr>
      <w:tr>
        <w:trPr/>
        <w:tc>
          <w:tcPr>
            <w:tcW w:w="3110" w:type="dxa"/>
            <w:tcBorders/>
            <w:shd w:fill="CCEEFF" w:val="clear"/>
            <w:vAlign w:val="bottom"/>
          </w:tcPr>
          <w:p>
            <w:pPr>
              <w:pStyle w:val="TableContents"/>
              <w:bidi w:val="0"/>
              <w:spacing w:before="0" w:after="0"/>
              <w:jc w:val="left"/>
              <w:rPr>
                <w:color w:val="000000"/>
              </w:rPr>
            </w:pPr>
            <w:r>
              <w:rPr>
                <w:color w:val="000000"/>
              </w:rPr>
              <w:t>Commercial – general</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8,224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15.5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0"/>
              <w:jc w:val="right"/>
              <w:rPr>
                <w:color w:val="000000"/>
              </w:rPr>
            </w:pPr>
            <w:r>
              <w:rPr>
                <w:color w:val="000000"/>
              </w:rPr>
              <w:t>7,448</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0"/>
              <w:jc w:val="right"/>
              <w:rPr>
                <w:color w:val="000000"/>
              </w:rPr>
            </w:pPr>
            <w:r>
              <w:rPr>
                <w:color w:val="000000"/>
              </w:rPr>
              <w:t>16.5</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110" w:type="dxa"/>
            <w:tcBorders/>
            <w:vAlign w:val="bottom"/>
          </w:tcPr>
          <w:p>
            <w:pPr>
              <w:pStyle w:val="TableContents"/>
              <w:bidi w:val="0"/>
              <w:spacing w:before="0" w:after="0"/>
              <w:jc w:val="left"/>
              <w:rPr>
                <w:color w:val="000000"/>
              </w:rPr>
            </w:pPr>
            <w:r>
              <w:rPr>
                <w:color w:val="000000"/>
              </w:rPr>
              <w:t>Consumer:</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3110" w:type="dxa"/>
            <w:tcBorders/>
            <w:shd w:fill="CCEEFF" w:val="clear"/>
            <w:vAlign w:val="bottom"/>
          </w:tcPr>
          <w:p>
            <w:pPr>
              <w:pStyle w:val="TableContents"/>
              <w:bidi w:val="0"/>
              <w:spacing w:before="0" w:after="0"/>
              <w:ind w:left="180" w:right="0" w:hanging="0"/>
              <w:jc w:val="left"/>
              <w:rPr>
                <w:color w:val="000000"/>
              </w:rPr>
            </w:pPr>
            <w:r>
              <w:rPr>
                <w:color w:val="000000"/>
              </w:rPr>
              <w:t>1-4 family residential</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9,653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18.2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0"/>
              <w:jc w:val="right"/>
              <w:rPr>
                <w:color w:val="000000"/>
              </w:rPr>
            </w:pPr>
            <w:r>
              <w:rPr>
                <w:color w:val="000000"/>
              </w:rPr>
              <w:t>11,103</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0"/>
              <w:jc w:val="right"/>
              <w:rPr>
                <w:color w:val="000000"/>
              </w:rPr>
            </w:pPr>
            <w:r>
              <w:rPr>
                <w:color w:val="000000"/>
              </w:rPr>
              <w:t>24.6</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110" w:type="dxa"/>
            <w:tcBorders/>
            <w:vAlign w:val="bottom"/>
          </w:tcPr>
          <w:p>
            <w:pPr>
              <w:pStyle w:val="TableContents"/>
              <w:bidi w:val="0"/>
              <w:spacing w:before="0" w:after="0"/>
              <w:ind w:left="180" w:right="0" w:hanging="0"/>
              <w:jc w:val="left"/>
              <w:rPr>
                <w:color w:val="000000"/>
              </w:rPr>
            </w:pPr>
            <w:r>
              <w:rPr>
                <w:color w:val="000000"/>
              </w:rPr>
              <w:t>Auto loans</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color w:val="000000"/>
              </w:rPr>
            </w:pPr>
            <w:r>
              <w:rPr>
                <w:color w:val="000000"/>
              </w:rPr>
              <w:t>3,449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6.5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0"/>
              <w:jc w:val="right"/>
              <w:rPr>
                <w:color w:val="000000"/>
              </w:rPr>
            </w:pPr>
            <w:r>
              <w:rPr>
                <w:color w:val="000000"/>
              </w:rPr>
              <w:t>3,033</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0"/>
              <w:jc w:val="right"/>
              <w:rPr>
                <w:color w:val="000000"/>
              </w:rPr>
            </w:pPr>
            <w:r>
              <w:rPr>
                <w:color w:val="000000"/>
              </w:rPr>
              <w:t>6.7</w:t>
            </w:r>
          </w:p>
        </w:tc>
        <w:tc>
          <w:tcPr>
            <w:tcW w:w="290" w:type="dxa"/>
            <w:tcBorders/>
            <w:vAlign w:val="bottom"/>
          </w:tcPr>
          <w:p>
            <w:pPr>
              <w:pStyle w:val="TableContents"/>
              <w:bidi w:val="0"/>
              <w:spacing w:before="0" w:after="0"/>
              <w:jc w:val="left"/>
              <w:rPr>
                <w:color w:val="000000"/>
              </w:rPr>
            </w:pPr>
            <w:r>
              <w:rPr>
                <w:color w:val="000000"/>
              </w:rPr>
              <w:t>%</w:t>
            </w:r>
          </w:p>
        </w:tc>
      </w:tr>
      <w:tr>
        <w:trPr/>
        <w:tc>
          <w:tcPr>
            <w:tcW w:w="3110" w:type="dxa"/>
            <w:tcBorders/>
            <w:shd w:fill="CCEEFF" w:val="clear"/>
            <w:vAlign w:val="bottom"/>
          </w:tcPr>
          <w:p>
            <w:pPr>
              <w:pStyle w:val="TableContents"/>
              <w:bidi w:val="0"/>
              <w:spacing w:before="0" w:after="0"/>
              <w:ind w:left="180" w:right="0" w:hanging="0"/>
              <w:jc w:val="left"/>
              <w:rPr>
                <w:color w:val="000000"/>
              </w:rPr>
            </w:pPr>
            <w:r>
              <w:rPr>
                <w:color w:val="000000"/>
              </w:rPr>
              <w:t>Other consumer</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color w:val="000000"/>
              </w:rPr>
            </w:pPr>
            <w:r>
              <w:rPr>
                <w:color w:val="000000"/>
              </w:rPr>
              <w:t>1,004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0"/>
              <w:jc w:val="right"/>
              <w:rPr>
                <w:color w:val="000000"/>
              </w:rPr>
            </w:pPr>
            <w:r>
              <w:rPr>
                <w:color w:val="000000"/>
              </w:rPr>
              <w:t>1,150</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0"/>
              <w:jc w:val="right"/>
              <w:rPr>
                <w:color w:val="000000"/>
              </w:rPr>
            </w:pPr>
            <w:r>
              <w:rPr>
                <w:color w:val="000000"/>
              </w:rPr>
              <w:t>2.5</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110" w:type="dxa"/>
            <w:tcBorders/>
            <w:vAlign w:val="bottom"/>
          </w:tcPr>
          <w:p>
            <w:pPr>
              <w:pStyle w:val="TableContents"/>
              <w:bidi w:val="0"/>
              <w:spacing w:before="0" w:after="0"/>
              <w:jc w:val="left"/>
              <w:rPr>
                <w:color w:val="000000"/>
              </w:rPr>
            </w:pPr>
            <w:r>
              <w:rPr>
                <w:color w:val="000000"/>
              </w:rPr>
              <w:t>Construction</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93"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1,952</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w:t>
            </w:r>
          </w:p>
        </w:tc>
        <w:tc>
          <w:tcPr>
            <w:tcW w:w="290" w:type="dxa"/>
            <w:tcBorders/>
            <w:vAlign w:val="bottom"/>
          </w:tcPr>
          <w:p>
            <w:pPr>
              <w:pStyle w:val="TableContents"/>
              <w:bidi w:val="0"/>
              <w:spacing w:before="0" w:after="0"/>
              <w:jc w:val="left"/>
              <w:rPr>
                <w:color w:val="000000"/>
              </w:rPr>
            </w:pPr>
            <w:r>
              <w:rPr>
                <w:color w:val="000000"/>
              </w:rPr>
              <w:t>%</w:t>
            </w:r>
          </w:p>
        </w:tc>
      </w:tr>
      <w:tr>
        <w:trPr/>
        <w:tc>
          <w:tcPr>
            <w:tcW w:w="3110" w:type="dxa"/>
            <w:tcBorders/>
            <w:shd w:fill="CCEEFF" w:val="clear"/>
            <w:vAlign w:val="bottom"/>
          </w:tcPr>
          <w:p>
            <w:pPr>
              <w:pStyle w:val="TableContents"/>
              <w:bidi w:val="0"/>
              <w:spacing w:before="0" w:after="0"/>
              <w:jc w:val="left"/>
              <w:rPr>
                <w:color w:val="000000"/>
              </w:rPr>
            </w:pPr>
            <w:r>
              <w:rPr>
                <w:color w:val="000000"/>
              </w:rPr>
              <w:t>Total allowance for credit losses</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53,076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9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45,131</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7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9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Asset Quality</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Real estate we acquire as a result of foreclosure or by deed-in-lieu of foreclosure is classified as other real estate owned (“OREO”) until sold and is initially recorded at fair value less costs to sell when acquired, establishing a new cost basis. OREO and repossessed assets are reported as foreclosed assets.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Nonperforming loans include nonaccrual loans and loans past due 90 days or more. Nonperforming assets consist of nonperforming loans plus foreclosed assets.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June 30, 2026, our total nonaccrual loans were $6.9 million, or 0.18% of total loans held for investment, which is comparable to $7.1 million, or 0.22% of total loans held for investment, at December 31, 2025. Any loans within this amount that exceeded $250 thousand were specifically analyzed and specific valuation allowances were established as necessary and included in the ACL for loans to cover any probable loss.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Nonperforming loans were $9.5 million at June 30, 2026, which is comparable to $9.8 million at December 31, 2025.</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 borrower on a modified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Securities Portfolio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securities at June 30, 2026 were $555.4 million, representing a decrease of $12.1 million, or 2.1%, compared to $567.5 million at December 31, 2025. The decrease was primarily due to $21.0 million in maturities, net of purchases, prepayments and calls, partially offset by $6.8 million in securities acquired from BOH, and a $3.2 million increase in the fair value of securities available for sale at June 30, 2026 as compared to December 31, 2025.</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Certain securities have fair values less than amortized cost and, therefore, contain unrealized losses. At June 30, 2026, the fair value of the Company’s securities available for sale was $66.9 million lower than the amortized cost. At June 30, 2026,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ACL or losses have been recognized or realized in the consolidated financial statements for securities in the portfolio.</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certain information regarding contractual maturities and the weighted average yields of our investment securities as of the dates presented. Expected maturities may differ from contractual maturities if borrowers have the right to call or prepay an obligation with or without call or prepayment penalties.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9" w:name="z3e13d15081a3476693803aad41b9a0c1"/>
      <w:bookmarkStart w:id="230" w:name="z3e13d15081a3476693803aad41b9a0c1"/>
      <w:bookmarkEnd w:id="230"/>
    </w:p>
    <w:tbl>
      <w:tblPr>
        <w:tblW w:w="12410" w:type="dxa"/>
        <w:jc w:val="left"/>
        <w:tblInd w:w="0" w:type="dxa"/>
        <w:tblLayout w:type="fixed"/>
        <w:tblCellMar>
          <w:top w:w="0" w:type="dxa"/>
          <w:left w:w="0" w:type="dxa"/>
          <w:bottom w:w="0" w:type="dxa"/>
          <w:right w:w="0" w:type="dxa"/>
        </w:tblCellMar>
      </w:tblPr>
      <w:tblGrid>
        <w:gridCol w:w="1685"/>
        <w:gridCol w:w="90"/>
        <w:gridCol w:w="331"/>
        <w:gridCol w:w="799"/>
        <w:gridCol w:w="90"/>
        <w:gridCol w:w="90"/>
        <w:gridCol w:w="164"/>
        <w:gridCol w:w="861"/>
        <w:gridCol w:w="245"/>
        <w:gridCol w:w="90"/>
        <w:gridCol w:w="222"/>
        <w:gridCol w:w="908"/>
        <w:gridCol w:w="90"/>
        <w:gridCol w:w="90"/>
        <w:gridCol w:w="164"/>
        <w:gridCol w:w="861"/>
        <w:gridCol w:w="245"/>
        <w:gridCol w:w="90"/>
        <w:gridCol w:w="211"/>
        <w:gridCol w:w="919"/>
        <w:gridCol w:w="90"/>
        <w:gridCol w:w="90"/>
        <w:gridCol w:w="164"/>
        <w:gridCol w:w="861"/>
        <w:gridCol w:w="245"/>
        <w:gridCol w:w="90"/>
        <w:gridCol w:w="192"/>
        <w:gridCol w:w="938"/>
        <w:gridCol w:w="90"/>
        <w:gridCol w:w="90"/>
        <w:gridCol w:w="164"/>
        <w:gridCol w:w="861"/>
        <w:gridCol w:w="290"/>
      </w:tblGrid>
      <w:tr>
        <w:trPr/>
        <w:tc>
          <w:tcPr>
            <w:tcW w:w="168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335" w:type="dxa"/>
            <w:gridSpan w:val="6"/>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Due in</w:t>
            </w:r>
          </w:p>
          <w:p>
            <w:pPr>
              <w:pStyle w:val="TableContents"/>
              <w:bidi w:val="0"/>
              <w:spacing w:before="0" w:after="0"/>
              <w:jc w:val="center"/>
              <w:rPr>
                <w:b/>
                <w:color w:val="000000"/>
              </w:rPr>
            </w:pPr>
            <w:r>
              <w:rPr>
                <w:b/>
                <w:color w:val="000000"/>
              </w:rPr>
              <w:t>One Year or Less</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35" w:type="dxa"/>
            <w:gridSpan w:val="6"/>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Due after One Year</w:t>
            </w:r>
          </w:p>
          <w:p>
            <w:pPr>
              <w:pStyle w:val="TableContents"/>
              <w:bidi w:val="0"/>
              <w:spacing w:before="0" w:after="0"/>
              <w:jc w:val="center"/>
              <w:rPr>
                <w:b/>
                <w:color w:val="000000"/>
              </w:rPr>
            </w:pPr>
            <w:r>
              <w:rPr>
                <w:b/>
                <w:color w:val="000000"/>
              </w:rPr>
              <w:t>Through Five Years</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35" w:type="dxa"/>
            <w:gridSpan w:val="6"/>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Due after Five Years</w:t>
            </w:r>
          </w:p>
          <w:p>
            <w:pPr>
              <w:pStyle w:val="TableContents"/>
              <w:bidi w:val="0"/>
              <w:spacing w:before="0" w:after="0"/>
              <w:jc w:val="center"/>
              <w:rPr>
                <w:b/>
                <w:color w:val="000000"/>
              </w:rPr>
            </w:pPr>
            <w:r>
              <w:rPr>
                <w:b/>
                <w:color w:val="000000"/>
              </w:rPr>
              <w:t>Through Ten Years</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335" w:type="dxa"/>
            <w:gridSpan w:val="6"/>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Due after</w:t>
            </w:r>
          </w:p>
          <w:p>
            <w:pPr>
              <w:pStyle w:val="TableContents"/>
              <w:bidi w:val="0"/>
              <w:spacing w:before="0" w:after="0"/>
              <w:jc w:val="center"/>
              <w:rPr>
                <w:b/>
                <w:color w:val="000000"/>
              </w:rPr>
            </w:pPr>
            <w:r>
              <w:rPr>
                <w:b/>
                <w:color w:val="000000"/>
              </w:rPr>
              <w:t>Ten Years</w:t>
            </w:r>
          </w:p>
        </w:tc>
        <w:tc>
          <w:tcPr>
            <w:tcW w:w="290"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 Average Yield</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 Average Yield</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 Average Yield</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 Average Yield</w:t>
            </w:r>
          </w:p>
        </w:tc>
        <w:tc>
          <w:tcPr>
            <w:tcW w:w="290"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0"/>
              <w:ind w:left="180" w:right="0" w:hanging="180"/>
              <w:jc w:val="left"/>
              <w:rPr>
                <w:b/>
                <w:color w:val="000000"/>
                <w:u w:val="single"/>
              </w:rPr>
            </w:pPr>
            <w:r>
              <w:rPr>
                <w:b/>
                <w:color w:val="000000"/>
                <w:u w:val="single"/>
              </w:rPr>
              <w:t>June 30, 2026</w:t>
            </w:r>
          </w:p>
        </w:tc>
        <w:tc>
          <w:tcPr>
            <w:tcW w:w="90" w:type="dxa"/>
            <w:tcBorders/>
            <w:vAlign w:val="bottom"/>
          </w:tcPr>
          <w:p>
            <w:pPr>
              <w:pStyle w:val="TableContents"/>
              <w:bidi w:val="0"/>
              <w:spacing w:before="0" w:after="283"/>
              <w:jc w:val="left"/>
              <w:rPr/>
            </w:pPr>
            <w:r>
              <w:rPr/>
              <w:t> </w:t>
            </w:r>
          </w:p>
        </w:tc>
        <w:tc>
          <w:tcPr>
            <w:tcW w:w="10345" w:type="dxa"/>
            <w:gridSpan w:val="30"/>
            <w:tcBorders/>
            <w:vAlign w:val="bottom"/>
          </w:tcPr>
          <w:p>
            <w:pPr>
              <w:pStyle w:val="TableContents"/>
              <w:bidi w:val="0"/>
              <w:spacing w:before="0" w:after="0"/>
              <w:jc w:val="center"/>
              <w:rPr>
                <w:b/>
                <w:color w:val="000000"/>
              </w:rPr>
            </w:pPr>
            <w:r>
              <w:rPr>
                <w:b/>
                <w:color w:val="000000"/>
              </w:rPr>
              <w:t>(Dollars in thousands)</w:t>
            </w:r>
          </w:p>
        </w:tc>
        <w:tc>
          <w:tcPr>
            <w:tcW w:w="290" w:type="dxa"/>
            <w:tcBorders/>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0"/>
              <w:ind w:left="180" w:right="0" w:hanging="180"/>
              <w:jc w:val="left"/>
              <w:rPr>
                <w:b/>
                <w:color w:val="000000"/>
              </w:rPr>
            </w:pPr>
            <w:r>
              <w:rPr>
                <w:b/>
                <w:color w:val="000000"/>
              </w:rPr>
              <w:t>Available-for-sale</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1685" w:type="dxa"/>
            <w:tcBorders/>
            <w:shd w:fill="CCEEFF" w:val="clear"/>
            <w:vAlign w:val="bottom"/>
          </w:tcPr>
          <w:p>
            <w:pPr>
              <w:pStyle w:val="TableContents"/>
              <w:bidi w:val="0"/>
              <w:spacing w:before="0" w:after="0"/>
              <w:ind w:left="360" w:right="0" w:hanging="180"/>
              <w:jc w:val="left"/>
              <w:rPr>
                <w:color w:val="000000"/>
              </w:rPr>
            </w:pPr>
            <w:r>
              <w:rPr>
                <w:color w:val="000000"/>
              </w:rPr>
              <w:t>State and municipal</w:t>
            </w:r>
          </w:p>
        </w:tc>
        <w:tc>
          <w:tcPr>
            <w:tcW w:w="9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0"/>
              <w:jc w:val="left"/>
              <w:rPr>
                <w:color w:val="000000"/>
              </w:rPr>
            </w:pPr>
            <w:r>
              <w:rPr>
                <w:color w:val="000000"/>
              </w:rPr>
              <w:t>$</w:t>
            </w:r>
          </w:p>
        </w:tc>
        <w:tc>
          <w:tcPr>
            <w:tcW w:w="79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0"/>
              <w:jc w:val="left"/>
              <w:rPr>
                <w:color w:val="000000"/>
              </w:rPr>
            </w:pPr>
            <w:r>
              <w:rPr>
                <w:color w:val="000000"/>
              </w:rPr>
              <w:t>$</w:t>
            </w:r>
          </w:p>
        </w:tc>
        <w:tc>
          <w:tcPr>
            <w:tcW w:w="908" w:type="dxa"/>
            <w:tcBorders/>
            <w:shd w:fill="CCEEFF" w:val="clear"/>
            <w:vAlign w:val="bottom"/>
          </w:tcPr>
          <w:p>
            <w:pPr>
              <w:pStyle w:val="TableContents"/>
              <w:bidi w:val="0"/>
              <w:spacing w:before="0" w:after="0"/>
              <w:jc w:val="right"/>
              <w:rPr>
                <w:color w:val="000000"/>
              </w:rPr>
            </w:pPr>
            <w:r>
              <w:rPr>
                <w:color w:val="000000"/>
              </w:rPr>
              <w:t>5,064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3.01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0"/>
              <w:jc w:val="left"/>
              <w:rPr>
                <w:color w:val="000000"/>
              </w:rPr>
            </w:pPr>
            <w:r>
              <w:rPr>
                <w:color w:val="000000"/>
              </w:rPr>
              <w:t>$</w:t>
            </w:r>
          </w:p>
        </w:tc>
        <w:tc>
          <w:tcPr>
            <w:tcW w:w="919" w:type="dxa"/>
            <w:tcBorders/>
            <w:shd w:fill="CCEEFF" w:val="clear"/>
            <w:vAlign w:val="bottom"/>
          </w:tcPr>
          <w:p>
            <w:pPr>
              <w:pStyle w:val="TableContents"/>
              <w:bidi w:val="0"/>
              <w:spacing w:before="0" w:after="0"/>
              <w:jc w:val="right"/>
              <w:rPr>
                <w:color w:val="000000"/>
              </w:rPr>
            </w:pPr>
            <w:r>
              <w:rPr>
                <w:color w:val="000000"/>
              </w:rPr>
              <w:t>13,882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2.53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938" w:type="dxa"/>
            <w:tcBorders/>
            <w:shd w:fill="CCEEFF" w:val="clear"/>
            <w:vAlign w:val="bottom"/>
          </w:tcPr>
          <w:p>
            <w:pPr>
              <w:pStyle w:val="TableContents"/>
              <w:bidi w:val="0"/>
              <w:spacing w:before="0" w:after="0"/>
              <w:jc w:val="right"/>
              <w:rPr>
                <w:color w:val="000000"/>
              </w:rPr>
            </w:pPr>
            <w:r>
              <w:rPr>
                <w:color w:val="000000"/>
              </w:rPr>
              <w:t>178,729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2.37</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1685" w:type="dxa"/>
            <w:tcBorders/>
            <w:vAlign w:val="bottom"/>
          </w:tcPr>
          <w:p>
            <w:pPr>
              <w:pStyle w:val="TableContents"/>
              <w:bidi w:val="0"/>
              <w:spacing w:before="0" w:after="0"/>
              <w:ind w:left="360" w:right="0" w:hanging="180"/>
              <w:jc w:val="left"/>
              <w:rPr>
                <w:color w:val="000000"/>
              </w:rPr>
            </w:pPr>
            <w:r>
              <w:rPr>
                <w:color w:val="000000"/>
              </w:rPr>
              <w:t>Mortgage-backed securities - residential</w:t>
            </w:r>
          </w:p>
        </w:tc>
        <w:tc>
          <w:tcPr>
            <w:tcW w:w="90" w:type="dxa"/>
            <w:tcBorders/>
            <w:vAlign w:val="bottom"/>
          </w:tcPr>
          <w:p>
            <w:pPr>
              <w:pStyle w:val="TableContents"/>
              <w:bidi w:val="0"/>
              <w:spacing w:before="0" w:after="283"/>
              <w:jc w:val="right"/>
              <w:rPr/>
            </w:pPr>
            <w:r>
              <w:rPr/>
              <w:t> </w:t>
            </w:r>
          </w:p>
        </w:tc>
        <w:tc>
          <w:tcPr>
            <w:tcW w:w="33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0"/>
              <w:jc w:val="right"/>
              <w:rPr>
                <w:color w:val="000000"/>
              </w:rPr>
            </w:pPr>
            <w:r>
              <w:rPr>
                <w:color w:val="000000"/>
              </w:rPr>
              <w:t>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1.67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color w:val="000000"/>
              </w:rPr>
            </w:pPr>
            <w:r>
              <w:rPr>
                <w:color w:val="000000"/>
              </w:rPr>
              <w:t>997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2.33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color w:val="000000"/>
              </w:rPr>
            </w:pPr>
            <w:r>
              <w:rPr>
                <w:color w:val="000000"/>
              </w:rPr>
              <w:t>221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3.47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287,475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2.29</w:t>
            </w:r>
          </w:p>
        </w:tc>
        <w:tc>
          <w:tcPr>
            <w:tcW w:w="290" w:type="dxa"/>
            <w:tcBorders/>
            <w:vAlign w:val="bottom"/>
          </w:tcPr>
          <w:p>
            <w:pPr>
              <w:pStyle w:val="TableContents"/>
              <w:bidi w:val="0"/>
              <w:spacing w:before="0" w:after="0"/>
              <w:jc w:val="left"/>
              <w:rPr>
                <w:color w:val="000000"/>
              </w:rPr>
            </w:pPr>
            <w:r>
              <w:rPr>
                <w:color w:val="000000"/>
              </w:rPr>
              <w:t>%</w:t>
            </w:r>
          </w:p>
        </w:tc>
      </w:tr>
      <w:tr>
        <w:trPr/>
        <w:tc>
          <w:tcPr>
            <w:tcW w:w="1685" w:type="dxa"/>
            <w:tcBorders/>
            <w:shd w:fill="CCEEFF" w:val="clear"/>
            <w:vAlign w:val="bottom"/>
          </w:tcPr>
          <w:p>
            <w:pPr>
              <w:pStyle w:val="TableContents"/>
              <w:bidi w:val="0"/>
              <w:spacing w:before="0" w:after="0"/>
              <w:ind w:left="360" w:right="0" w:hanging="180"/>
              <w:jc w:val="left"/>
              <w:rPr>
                <w:color w:val="000000"/>
              </w:rPr>
            </w:pPr>
            <w:r>
              <w:rPr>
                <w:color w:val="000000"/>
              </w:rPr>
              <w:t>Mortgage-backed securities - commercial</w:t>
            </w:r>
          </w:p>
        </w:tc>
        <w:tc>
          <w:tcPr>
            <w:tcW w:w="9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color w:val="000000"/>
              </w:rPr>
            </w:pPr>
            <w:r>
              <w:rPr>
                <w:color w:val="000000"/>
              </w:rPr>
              <w:t>2,530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4.07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color w:val="000000"/>
              </w:rPr>
            </w:pPr>
            <w:r>
              <w:rPr>
                <w:color w:val="000000"/>
              </w:rPr>
              <w:t>46,558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2.31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1,499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4.55</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1685" w:type="dxa"/>
            <w:tcBorders/>
            <w:vAlign w:val="bottom"/>
          </w:tcPr>
          <w:p>
            <w:pPr>
              <w:pStyle w:val="TableContents"/>
              <w:bidi w:val="0"/>
              <w:spacing w:before="0" w:after="0"/>
              <w:ind w:left="360" w:right="0" w:hanging="180"/>
              <w:jc w:val="left"/>
              <w:rPr>
                <w:color w:val="000000"/>
              </w:rPr>
            </w:pPr>
            <w:r>
              <w:rPr>
                <w:color w:val="000000"/>
              </w:rPr>
              <w:t>Collateralized mortgage obligations</w:t>
            </w:r>
          </w:p>
        </w:tc>
        <w:tc>
          <w:tcPr>
            <w:tcW w:w="90" w:type="dxa"/>
            <w:tcBorders/>
            <w:vAlign w:val="bottom"/>
          </w:tcPr>
          <w:p>
            <w:pPr>
              <w:pStyle w:val="TableContents"/>
              <w:bidi w:val="0"/>
              <w:spacing w:before="0" w:after="283"/>
              <w:jc w:val="right"/>
              <w:rPr/>
            </w:pPr>
            <w:r>
              <w:rPr/>
              <w:t> </w:t>
            </w:r>
          </w:p>
        </w:tc>
        <w:tc>
          <w:tcPr>
            <w:tcW w:w="33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color w:val="000000"/>
              </w:rPr>
            </w:pPr>
            <w:r>
              <w:rPr>
                <w:color w:val="000000"/>
              </w:rPr>
              <w:t>62,876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4.26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3,814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5.21</w:t>
            </w:r>
          </w:p>
        </w:tc>
        <w:tc>
          <w:tcPr>
            <w:tcW w:w="290" w:type="dxa"/>
            <w:tcBorders/>
            <w:vAlign w:val="bottom"/>
          </w:tcPr>
          <w:p>
            <w:pPr>
              <w:pStyle w:val="TableContents"/>
              <w:bidi w:val="0"/>
              <w:spacing w:before="0" w:after="0"/>
              <w:jc w:val="left"/>
              <w:rPr>
                <w:color w:val="000000"/>
              </w:rPr>
            </w:pPr>
            <w:r>
              <w:rPr>
                <w:color w:val="000000"/>
              </w:rPr>
              <w:t>%</w:t>
            </w:r>
          </w:p>
        </w:tc>
      </w:tr>
      <w:tr>
        <w:trPr/>
        <w:tc>
          <w:tcPr>
            <w:tcW w:w="1685" w:type="dxa"/>
            <w:tcBorders/>
            <w:shd w:fill="CCEEFF" w:val="clear"/>
            <w:vAlign w:val="bottom"/>
          </w:tcPr>
          <w:p>
            <w:pPr>
              <w:pStyle w:val="TableContents"/>
              <w:bidi w:val="0"/>
              <w:spacing w:before="0" w:after="0"/>
              <w:ind w:left="360" w:right="0" w:hanging="180"/>
              <w:jc w:val="left"/>
              <w:rPr>
                <w:color w:val="000000"/>
              </w:rPr>
            </w:pPr>
            <w:r>
              <w:rPr>
                <w:color w:val="000000"/>
              </w:rPr>
              <w:t>Asset-backed and other amortizing securities</w:t>
            </w:r>
          </w:p>
        </w:tc>
        <w:tc>
          <w:tcPr>
            <w:tcW w:w="9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color w:val="000000"/>
              </w:rPr>
            </w:pPr>
            <w:r>
              <w:rPr>
                <w:color w:val="000000"/>
              </w:rPr>
              <w:t>227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3.00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color w:val="000000"/>
              </w:rPr>
            </w:pPr>
            <w:r>
              <w:rPr>
                <w:color w:val="000000"/>
              </w:rPr>
              <w:t>1,850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3.20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10,923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2.75</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1685" w:type="dxa"/>
            <w:tcBorders/>
            <w:vAlign w:val="bottom"/>
          </w:tcPr>
          <w:p>
            <w:pPr>
              <w:pStyle w:val="TableContents"/>
              <w:bidi w:val="0"/>
              <w:spacing w:before="0" w:after="0"/>
              <w:ind w:left="360" w:right="0" w:hanging="180"/>
              <w:jc w:val="left"/>
              <w:rPr>
                <w:color w:val="000000"/>
              </w:rPr>
            </w:pPr>
            <w:r>
              <w:rPr>
                <w:color w:val="000000"/>
              </w:rPr>
              <w:t>Other securities</w:t>
            </w:r>
          </w:p>
        </w:tc>
        <w:tc>
          <w:tcPr>
            <w:tcW w:w="90" w:type="dxa"/>
            <w:tcBorders/>
            <w:vAlign w:val="bottom"/>
          </w:tcPr>
          <w:p>
            <w:pPr>
              <w:pStyle w:val="TableContents"/>
              <w:bidi w:val="0"/>
              <w:spacing w:before="0" w:after="283"/>
              <w:jc w:val="right"/>
              <w:rPr/>
            </w:pPr>
            <w:r>
              <w:rPr/>
              <w:t> </w:t>
            </w:r>
          </w:p>
        </w:tc>
        <w:tc>
          <w:tcPr>
            <w:tcW w:w="331" w:type="dxa"/>
            <w:tcBorders>
              <w:bottom w:val="single" w:sz="12" w:space="0" w:color="000000"/>
            </w:tcBorders>
            <w:tcMar>
              <w:bottom w:w="28" w:type="dxa"/>
            </w:tcMar>
            <w:vAlign w:val="bottom"/>
          </w:tcPr>
          <w:p>
            <w:pPr>
              <w:pStyle w:val="TableContents"/>
              <w:bidi w:val="0"/>
              <w:spacing w:before="0" w:after="283"/>
              <w:jc w:val="left"/>
              <w:rPr/>
            </w:pPr>
            <w:r>
              <w:rPr/>
              <w:t> </w:t>
            </w:r>
          </w:p>
        </w:tc>
        <w:tc>
          <w:tcPr>
            <w:tcW w:w="7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90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9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5,599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7.49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0.00</w:t>
            </w:r>
          </w:p>
        </w:tc>
        <w:tc>
          <w:tcPr>
            <w:tcW w:w="290" w:type="dxa"/>
            <w:tcBorders/>
            <w:vAlign w:val="bottom"/>
          </w:tcPr>
          <w:p>
            <w:pPr>
              <w:pStyle w:val="TableContents"/>
              <w:bidi w:val="0"/>
              <w:spacing w:before="0" w:after="0"/>
              <w:jc w:val="left"/>
              <w:rPr>
                <w:color w:val="000000"/>
              </w:rPr>
            </w:pPr>
            <w:r>
              <w:rPr>
                <w:color w:val="000000"/>
              </w:rPr>
              <w:t>%</w:t>
            </w:r>
          </w:p>
        </w:tc>
      </w:tr>
      <w:tr>
        <w:trPr/>
        <w:tc>
          <w:tcPr>
            <w:tcW w:w="1685" w:type="dxa"/>
            <w:tcBorders/>
            <w:shd w:fill="CCEEFF" w:val="clear"/>
            <w:vAlign w:val="bottom"/>
          </w:tcPr>
          <w:p>
            <w:pPr>
              <w:pStyle w:val="TableContents"/>
              <w:bidi w:val="0"/>
              <w:spacing w:before="0" w:after="0"/>
              <w:ind w:left="540" w:right="0" w:hanging="180"/>
              <w:jc w:val="left"/>
              <w:rPr>
                <w:color w:val="000000"/>
              </w:rPr>
            </w:pPr>
            <w:r>
              <w:rPr>
                <w:color w:val="000000"/>
              </w:rPr>
              <w:t>Total available-for-sale</w:t>
            </w:r>
          </w:p>
        </w:tc>
        <w:tc>
          <w:tcPr>
            <w:tcW w:w="90" w:type="dxa"/>
            <w:tcBorders/>
            <w:shd w:fill="CCEEFF" w:val="clear"/>
            <w:vAlign w:val="bottom"/>
          </w:tcPr>
          <w:p>
            <w:pPr>
              <w:pStyle w:val="TableContents"/>
              <w:bidi w:val="0"/>
              <w:spacing w:before="0" w:after="283"/>
              <w:jc w:val="right"/>
              <w:rPr/>
            </w:pPr>
            <w:r>
              <w:rPr/>
              <w:t> </w:t>
            </w:r>
          </w:p>
        </w:tc>
        <w:tc>
          <w:tcPr>
            <w:tcW w:w="33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9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1.67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2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71,694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4.13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68,110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2.81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482,440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2.36</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168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right"/>
              <w:rPr/>
            </w:pPr>
            <w:r>
              <w:rPr/>
              <w:t> </w:t>
            </w:r>
          </w:p>
        </w:tc>
        <w:tc>
          <w:tcPr>
            <w:tcW w:w="33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168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0"/>
              <w:ind w:left="180" w:right="0" w:hanging="180"/>
              <w:jc w:val="left"/>
              <w:rPr>
                <w:b/>
                <w:color w:val="000000"/>
                <w:u w:val="single"/>
              </w:rPr>
            </w:pPr>
            <w:r>
              <w:rPr>
                <w:b/>
                <w:color w:val="000000"/>
                <w:u w:val="single"/>
              </w:rPr>
              <w:t>December 31, 2025</w:t>
            </w:r>
          </w:p>
        </w:tc>
        <w:tc>
          <w:tcPr>
            <w:tcW w:w="90" w:type="dxa"/>
            <w:tcBorders/>
            <w:vAlign w:val="bottom"/>
          </w:tcPr>
          <w:p>
            <w:pPr>
              <w:pStyle w:val="TableContents"/>
              <w:bidi w:val="0"/>
              <w:spacing w:before="0" w:after="283"/>
              <w:jc w:val="right"/>
              <w:rPr/>
            </w:pPr>
            <w:r>
              <w:rPr/>
              <w:t> </w:t>
            </w:r>
          </w:p>
        </w:tc>
        <w:tc>
          <w:tcPr>
            <w:tcW w:w="33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1685" w:type="dxa"/>
            <w:tcBorders/>
            <w:shd w:fill="CCEEFF" w:val="clear"/>
            <w:vAlign w:val="bottom"/>
          </w:tcPr>
          <w:p>
            <w:pPr>
              <w:pStyle w:val="TableContents"/>
              <w:bidi w:val="0"/>
              <w:spacing w:before="0" w:after="0"/>
              <w:ind w:left="180" w:right="0" w:hanging="180"/>
              <w:jc w:val="left"/>
              <w:rPr>
                <w:b/>
                <w:color w:val="000000"/>
              </w:rPr>
            </w:pPr>
            <w:r>
              <w:rPr>
                <w:b/>
                <w:color w:val="000000"/>
              </w:rPr>
              <w:t>Available-for-sale</w:t>
            </w:r>
          </w:p>
        </w:tc>
        <w:tc>
          <w:tcPr>
            <w:tcW w:w="9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1685" w:type="dxa"/>
            <w:tcBorders/>
            <w:vAlign w:val="bottom"/>
          </w:tcPr>
          <w:p>
            <w:pPr>
              <w:pStyle w:val="TableContents"/>
              <w:bidi w:val="0"/>
              <w:spacing w:before="0" w:after="0"/>
              <w:ind w:left="360" w:right="0" w:hanging="180"/>
              <w:jc w:val="left"/>
              <w:rPr>
                <w:color w:val="000000"/>
              </w:rPr>
            </w:pPr>
            <w:r>
              <w:rPr>
                <w:color w:val="000000"/>
              </w:rPr>
              <w:t>State and municipal</w:t>
            </w:r>
          </w:p>
        </w:tc>
        <w:tc>
          <w:tcPr>
            <w:tcW w:w="90" w:type="dxa"/>
            <w:tcBorders/>
            <w:vAlign w:val="bottom"/>
          </w:tcPr>
          <w:p>
            <w:pPr>
              <w:pStyle w:val="TableContents"/>
              <w:bidi w:val="0"/>
              <w:spacing w:before="0" w:after="283"/>
              <w:jc w:val="right"/>
              <w:rPr/>
            </w:pPr>
            <w:r>
              <w:rPr/>
              <w:t> </w:t>
            </w:r>
          </w:p>
        </w:tc>
        <w:tc>
          <w:tcPr>
            <w:tcW w:w="331" w:type="dxa"/>
            <w:tcBorders/>
            <w:vAlign w:val="bottom"/>
          </w:tcPr>
          <w:p>
            <w:pPr>
              <w:pStyle w:val="TableContents"/>
              <w:bidi w:val="0"/>
              <w:spacing w:before="0" w:after="0"/>
              <w:jc w:val="left"/>
              <w:rPr>
                <w:color w:val="000000"/>
              </w:rPr>
            </w:pPr>
            <w:r>
              <w:rPr>
                <w:color w:val="000000"/>
              </w:rPr>
              <w:t>$</w:t>
            </w:r>
          </w:p>
        </w:tc>
        <w:tc>
          <w:tcPr>
            <w:tcW w:w="799" w:type="dxa"/>
            <w:tcBorders/>
            <w:vAlign w:val="bottom"/>
          </w:tcPr>
          <w:p>
            <w:pPr>
              <w:pStyle w:val="TableContents"/>
              <w:bidi w:val="0"/>
              <w:spacing w:before="0" w:after="0"/>
              <w:jc w:val="right"/>
              <w:rPr>
                <w:color w:val="000000"/>
              </w:rPr>
            </w:pPr>
            <w:r>
              <w:rPr>
                <w:color w:val="000000"/>
              </w:rPr>
              <w:t>545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3.46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0"/>
              <w:jc w:val="left"/>
              <w:rPr>
                <w:color w:val="000000"/>
              </w:rPr>
            </w:pPr>
            <w:r>
              <w:rPr>
                <w:color w:val="000000"/>
              </w:rPr>
              <w:t>$</w:t>
            </w:r>
          </w:p>
        </w:tc>
        <w:tc>
          <w:tcPr>
            <w:tcW w:w="908" w:type="dxa"/>
            <w:tcBorders/>
            <w:vAlign w:val="bottom"/>
          </w:tcPr>
          <w:p>
            <w:pPr>
              <w:pStyle w:val="TableContents"/>
              <w:bidi w:val="0"/>
              <w:spacing w:before="0" w:after="0"/>
              <w:jc w:val="right"/>
              <w:rPr>
                <w:color w:val="000000"/>
              </w:rPr>
            </w:pPr>
            <w:r>
              <w:rPr>
                <w:color w:val="000000"/>
              </w:rPr>
              <w:t>5,079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2.72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0"/>
              <w:jc w:val="left"/>
              <w:rPr>
                <w:color w:val="000000"/>
              </w:rPr>
            </w:pPr>
            <w:r>
              <w:rPr>
                <w:color w:val="000000"/>
              </w:rPr>
              <w:t>$</w:t>
            </w:r>
          </w:p>
        </w:tc>
        <w:tc>
          <w:tcPr>
            <w:tcW w:w="919" w:type="dxa"/>
            <w:tcBorders/>
            <w:vAlign w:val="bottom"/>
          </w:tcPr>
          <w:p>
            <w:pPr>
              <w:pStyle w:val="TableContents"/>
              <w:bidi w:val="0"/>
              <w:spacing w:before="0" w:after="0"/>
              <w:jc w:val="right"/>
              <w:rPr>
                <w:color w:val="000000"/>
              </w:rPr>
            </w:pPr>
            <w:r>
              <w:rPr>
                <w:color w:val="000000"/>
              </w:rPr>
              <w:t>12,841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2.40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0"/>
              <w:jc w:val="left"/>
              <w:rPr>
                <w:color w:val="000000"/>
              </w:rPr>
            </w:pPr>
            <w:r>
              <w:rPr>
                <w:color w:val="000000"/>
              </w:rPr>
              <w:t>$</w:t>
            </w:r>
          </w:p>
        </w:tc>
        <w:tc>
          <w:tcPr>
            <w:tcW w:w="938" w:type="dxa"/>
            <w:tcBorders/>
            <w:vAlign w:val="bottom"/>
          </w:tcPr>
          <w:p>
            <w:pPr>
              <w:pStyle w:val="TableContents"/>
              <w:bidi w:val="0"/>
              <w:spacing w:before="0" w:after="0"/>
              <w:jc w:val="right"/>
              <w:rPr>
                <w:color w:val="000000"/>
              </w:rPr>
            </w:pPr>
            <w:r>
              <w:rPr>
                <w:color w:val="000000"/>
              </w:rPr>
              <w:t>180,951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2.38</w:t>
            </w:r>
          </w:p>
        </w:tc>
        <w:tc>
          <w:tcPr>
            <w:tcW w:w="290" w:type="dxa"/>
            <w:tcBorders/>
            <w:vAlign w:val="bottom"/>
          </w:tcPr>
          <w:p>
            <w:pPr>
              <w:pStyle w:val="TableContents"/>
              <w:bidi w:val="0"/>
              <w:spacing w:before="0" w:after="0"/>
              <w:jc w:val="left"/>
              <w:rPr>
                <w:color w:val="000000"/>
              </w:rPr>
            </w:pPr>
            <w:r>
              <w:rPr>
                <w:color w:val="000000"/>
              </w:rPr>
              <w:t>%</w:t>
            </w:r>
          </w:p>
        </w:tc>
      </w:tr>
      <w:tr>
        <w:trPr/>
        <w:tc>
          <w:tcPr>
            <w:tcW w:w="1685" w:type="dxa"/>
            <w:tcBorders/>
            <w:shd w:fill="CCEEFF" w:val="clear"/>
            <w:vAlign w:val="bottom"/>
          </w:tcPr>
          <w:p>
            <w:pPr>
              <w:pStyle w:val="TableContents"/>
              <w:bidi w:val="0"/>
              <w:spacing w:before="0" w:after="0"/>
              <w:ind w:left="360" w:right="0" w:hanging="180"/>
              <w:jc w:val="left"/>
              <w:rPr>
                <w:color w:val="000000"/>
              </w:rPr>
            </w:pPr>
            <w:r>
              <w:rPr>
                <w:color w:val="000000"/>
              </w:rPr>
              <w:t>Mortgage-backed securities - residential</w:t>
            </w:r>
          </w:p>
        </w:tc>
        <w:tc>
          <w:tcPr>
            <w:tcW w:w="9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0"/>
              <w:jc w:val="right"/>
              <w:rPr>
                <w:color w:val="000000"/>
              </w:rPr>
            </w:pPr>
            <w:r>
              <w:rPr>
                <w:color w:val="000000"/>
              </w:rPr>
              <w:t>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1.33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color w:val="000000"/>
              </w:rPr>
            </w:pPr>
            <w:r>
              <w:rPr>
                <w:color w:val="000000"/>
              </w:rPr>
              <w:t>1,040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2.06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color w:val="000000"/>
              </w:rPr>
            </w:pPr>
            <w:r>
              <w:rPr>
                <w:color w:val="000000"/>
              </w:rPr>
              <w:t>518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2.97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301,112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2.29</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1685" w:type="dxa"/>
            <w:tcBorders/>
            <w:vAlign w:val="bottom"/>
          </w:tcPr>
          <w:p>
            <w:pPr>
              <w:pStyle w:val="TableContents"/>
              <w:bidi w:val="0"/>
              <w:spacing w:before="0" w:after="0"/>
              <w:ind w:left="360" w:right="0" w:hanging="180"/>
              <w:jc w:val="left"/>
              <w:rPr>
                <w:color w:val="000000"/>
              </w:rPr>
            </w:pPr>
            <w:r>
              <w:rPr>
                <w:color w:val="000000"/>
              </w:rPr>
              <w:t>Mortgage-backed securities - commercial</w:t>
            </w:r>
          </w:p>
        </w:tc>
        <w:tc>
          <w:tcPr>
            <w:tcW w:w="90" w:type="dxa"/>
            <w:tcBorders/>
            <w:vAlign w:val="bottom"/>
          </w:tcPr>
          <w:p>
            <w:pPr>
              <w:pStyle w:val="TableContents"/>
              <w:bidi w:val="0"/>
              <w:spacing w:before="0" w:after="283"/>
              <w:jc w:val="right"/>
              <w:rPr/>
            </w:pPr>
            <w:r>
              <w:rPr/>
              <w:t> </w:t>
            </w:r>
          </w:p>
        </w:tc>
        <w:tc>
          <w:tcPr>
            <w:tcW w:w="33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color w:val="000000"/>
              </w:rPr>
            </w:pPr>
            <w:r>
              <w:rPr>
                <w:color w:val="000000"/>
              </w:rPr>
              <w:t>1,525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4.03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color w:val="000000"/>
              </w:rPr>
            </w:pPr>
            <w:r>
              <w:rPr>
                <w:color w:val="000000"/>
              </w:rPr>
              <w:t>47,244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2.31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0.00</w:t>
            </w:r>
          </w:p>
        </w:tc>
        <w:tc>
          <w:tcPr>
            <w:tcW w:w="290" w:type="dxa"/>
            <w:tcBorders/>
            <w:vAlign w:val="bottom"/>
          </w:tcPr>
          <w:p>
            <w:pPr>
              <w:pStyle w:val="TableContents"/>
              <w:bidi w:val="0"/>
              <w:spacing w:before="0" w:after="0"/>
              <w:jc w:val="left"/>
              <w:rPr>
                <w:color w:val="000000"/>
              </w:rPr>
            </w:pPr>
            <w:r>
              <w:rPr>
                <w:color w:val="000000"/>
              </w:rPr>
              <w:t>%</w:t>
            </w:r>
          </w:p>
        </w:tc>
      </w:tr>
      <w:tr>
        <w:trPr/>
        <w:tc>
          <w:tcPr>
            <w:tcW w:w="1685" w:type="dxa"/>
            <w:tcBorders/>
            <w:shd w:fill="CCEEFF" w:val="clear"/>
            <w:vAlign w:val="bottom"/>
          </w:tcPr>
          <w:p>
            <w:pPr>
              <w:pStyle w:val="TableContents"/>
              <w:bidi w:val="0"/>
              <w:spacing w:before="0" w:after="0"/>
              <w:ind w:left="360" w:right="0" w:hanging="180"/>
              <w:jc w:val="left"/>
              <w:rPr>
                <w:color w:val="000000"/>
              </w:rPr>
            </w:pPr>
            <w:r>
              <w:rPr>
                <w:color w:val="000000"/>
              </w:rPr>
              <w:t>Collateralized mortgage obligations</w:t>
            </w:r>
          </w:p>
        </w:tc>
        <w:tc>
          <w:tcPr>
            <w:tcW w:w="90" w:type="dxa"/>
            <w:tcBorders/>
            <w:shd w:fill="CCEEFF" w:val="clear"/>
            <w:vAlign w:val="bottom"/>
          </w:tcPr>
          <w:p>
            <w:pPr>
              <w:pStyle w:val="TableContents"/>
              <w:bidi w:val="0"/>
              <w:spacing w:before="0" w:after="283"/>
              <w:jc w:val="right"/>
              <w:rPr/>
            </w:pPr>
            <w:r>
              <w:rPr/>
              <w:t> </w:t>
            </w:r>
          </w:p>
        </w:tc>
        <w:tc>
          <w:tcPr>
            <w:tcW w:w="33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0"/>
              <w:jc w:val="right"/>
              <w:rPr>
                <w:color w:val="000000"/>
              </w:rPr>
            </w:pPr>
            <w:r>
              <w:rPr>
                <w:color w:val="000000"/>
              </w:rPr>
              <w:t>63,398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4.56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color w:val="000000"/>
              </w:rPr>
            </w:pPr>
            <w:r>
              <w:rPr>
                <w:color w:val="000000"/>
              </w:rPr>
              <w:t>4,310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5.30</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1685" w:type="dxa"/>
            <w:tcBorders/>
            <w:vAlign w:val="bottom"/>
          </w:tcPr>
          <w:p>
            <w:pPr>
              <w:pStyle w:val="TableContents"/>
              <w:bidi w:val="0"/>
              <w:spacing w:before="0" w:after="0"/>
              <w:ind w:left="360" w:right="0" w:hanging="180"/>
              <w:jc w:val="left"/>
              <w:rPr>
                <w:color w:val="000000"/>
              </w:rPr>
            </w:pPr>
            <w:r>
              <w:rPr>
                <w:color w:val="000000"/>
              </w:rPr>
              <w:t>Asset-backed and other amortizing securities</w:t>
            </w:r>
          </w:p>
        </w:tc>
        <w:tc>
          <w:tcPr>
            <w:tcW w:w="90" w:type="dxa"/>
            <w:tcBorders/>
            <w:vAlign w:val="bottom"/>
          </w:tcPr>
          <w:p>
            <w:pPr>
              <w:pStyle w:val="TableContents"/>
              <w:bidi w:val="0"/>
              <w:spacing w:before="0" w:after="283"/>
              <w:jc w:val="right"/>
              <w:rPr/>
            </w:pPr>
            <w:r>
              <w:rPr/>
              <w:t> </w:t>
            </w:r>
          </w:p>
        </w:tc>
        <w:tc>
          <w:tcPr>
            <w:tcW w:w="33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color w:val="000000"/>
              </w:rPr>
            </w:pPr>
            <w:r>
              <w:rPr>
                <w:color w:val="000000"/>
              </w:rPr>
              <w:t>254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2.99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0"/>
              <w:jc w:val="right"/>
              <w:rPr>
                <w:color w:val="000000"/>
              </w:rPr>
            </w:pPr>
            <w:r>
              <w:rPr>
                <w:color w:val="000000"/>
              </w:rPr>
              <w:t>2,069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3.19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color w:val="000000"/>
              </w:rPr>
            </w:pPr>
            <w:r>
              <w:rPr>
                <w:color w:val="000000"/>
              </w:rPr>
              <w:t>11,649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2.75</w:t>
            </w:r>
          </w:p>
        </w:tc>
        <w:tc>
          <w:tcPr>
            <w:tcW w:w="290" w:type="dxa"/>
            <w:tcBorders/>
            <w:vAlign w:val="bottom"/>
          </w:tcPr>
          <w:p>
            <w:pPr>
              <w:pStyle w:val="TableContents"/>
              <w:bidi w:val="0"/>
              <w:spacing w:before="0" w:after="0"/>
              <w:jc w:val="left"/>
              <w:rPr>
                <w:color w:val="000000"/>
              </w:rPr>
            </w:pPr>
            <w:r>
              <w:rPr>
                <w:color w:val="000000"/>
              </w:rPr>
              <w:t>%</w:t>
            </w:r>
          </w:p>
        </w:tc>
      </w:tr>
      <w:tr>
        <w:trPr/>
        <w:tc>
          <w:tcPr>
            <w:tcW w:w="1685" w:type="dxa"/>
            <w:tcBorders/>
            <w:shd w:fill="CCEEFF" w:val="clear"/>
            <w:vAlign w:val="bottom"/>
          </w:tcPr>
          <w:p>
            <w:pPr>
              <w:pStyle w:val="TableContents"/>
              <w:bidi w:val="0"/>
              <w:spacing w:before="0" w:after="0"/>
              <w:ind w:left="360" w:right="0" w:hanging="180"/>
              <w:jc w:val="left"/>
              <w:rPr>
                <w:color w:val="000000"/>
              </w:rPr>
            </w:pPr>
            <w:r>
              <w:rPr>
                <w:color w:val="000000"/>
              </w:rPr>
              <w:t>Other securities</w:t>
            </w:r>
          </w:p>
        </w:tc>
        <w:tc>
          <w:tcPr>
            <w:tcW w:w="90" w:type="dxa"/>
            <w:tcBorders/>
            <w:shd w:fill="CCEEFF" w:val="clear"/>
            <w:vAlign w:val="bottom"/>
          </w:tcPr>
          <w:p>
            <w:pPr>
              <w:pStyle w:val="TableContents"/>
              <w:bidi w:val="0"/>
              <w:spacing w:before="0" w:after="283"/>
              <w:jc w:val="right"/>
              <w:rPr/>
            </w:pPr>
            <w:r>
              <w:rPr/>
              <w:t> </w:t>
            </w:r>
          </w:p>
        </w:tc>
        <w:tc>
          <w:tcPr>
            <w:tcW w:w="3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7.53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0"/>
              <w:jc w:val="right"/>
              <w:rPr>
                <w:color w:val="000000"/>
              </w:rPr>
            </w:pPr>
            <w:r>
              <w:rPr>
                <w:color w:val="000000"/>
              </w:rPr>
              <w:t>0.00</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1685" w:type="dxa"/>
            <w:tcBorders/>
            <w:vAlign w:val="bottom"/>
          </w:tcPr>
          <w:p>
            <w:pPr>
              <w:pStyle w:val="TableContents"/>
              <w:bidi w:val="0"/>
              <w:spacing w:before="0" w:after="0"/>
              <w:ind w:left="360" w:right="0" w:hanging="0"/>
              <w:jc w:val="left"/>
              <w:rPr>
                <w:color w:val="000000"/>
              </w:rPr>
            </w:pPr>
            <w:r>
              <w:rPr>
                <w:color w:val="000000"/>
              </w:rPr>
              <w:t>Total available-for-sale</w:t>
            </w:r>
          </w:p>
        </w:tc>
        <w:tc>
          <w:tcPr>
            <w:tcW w:w="90" w:type="dxa"/>
            <w:tcBorders/>
            <w:vAlign w:val="bottom"/>
          </w:tcPr>
          <w:p>
            <w:pPr>
              <w:pStyle w:val="TableContents"/>
              <w:bidi w:val="0"/>
              <w:spacing w:before="0" w:after="283"/>
              <w:jc w:val="right"/>
              <w:rPr/>
            </w:pPr>
            <w:r>
              <w:rPr/>
              <w:t> </w:t>
            </w:r>
          </w:p>
        </w:tc>
        <w:tc>
          <w:tcPr>
            <w:tcW w:w="33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9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3.31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2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12,898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4.69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21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126,070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3.47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498,022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0"/>
              <w:jc w:val="right"/>
              <w:rPr>
                <w:color w:val="000000"/>
              </w:rPr>
            </w:pPr>
            <w:r>
              <w:rPr>
                <w:color w:val="000000"/>
              </w:rPr>
              <w:t>2.36</w:t>
            </w:r>
          </w:p>
        </w:tc>
        <w:tc>
          <w:tcPr>
            <w:tcW w:w="29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Deposits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deposits at June 30, 2026 were $4.64 billion, representing an increase of $766.5 million, or 19.8%, compared to $3.87 billion at December 31, 2025. The increase since December 31, 2025 was largely due to deposits acquired from BOH with additional organic growth and a seasonal increase in public fund deposits in both noninterest-bearing and interest-bearing deposits occurring broadly across retail and commercial deposits. As of June 30, 2026, 24.8% of total deposits were comprised of noninterest-bearing demand accounts, 62.2% of interest-bearing non-maturity accounts and 13.0% of time deposits.</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shows the deposit mix as of the dates presented:</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31" w:name="za408ddb4ba5e4d488a792d9825a2650c"/>
      <w:bookmarkStart w:id="232" w:name="za408ddb4ba5e4d488a792d9825a2650c"/>
      <w:bookmarkEnd w:id="232"/>
    </w:p>
    <w:tbl>
      <w:tblPr>
        <w:tblW w:w="9283" w:type="dxa"/>
        <w:jc w:val="left"/>
        <w:tblInd w:w="0" w:type="dxa"/>
        <w:tblLayout w:type="fixed"/>
        <w:tblCellMar>
          <w:top w:w="0" w:type="dxa"/>
          <w:left w:w="0" w:type="dxa"/>
          <w:bottom w:w="0" w:type="dxa"/>
          <w:right w:w="0" w:type="dxa"/>
        </w:tblCellMar>
      </w:tblPr>
      <w:tblGrid>
        <w:gridCol w:w="3560"/>
        <w:gridCol w:w="90"/>
        <w:gridCol w:w="170"/>
        <w:gridCol w:w="1010"/>
        <w:gridCol w:w="90"/>
        <w:gridCol w:w="90"/>
        <w:gridCol w:w="151"/>
        <w:gridCol w:w="993"/>
        <w:gridCol w:w="245"/>
        <w:gridCol w:w="90"/>
        <w:gridCol w:w="170"/>
        <w:gridCol w:w="1010"/>
        <w:gridCol w:w="90"/>
        <w:gridCol w:w="90"/>
        <w:gridCol w:w="151"/>
        <w:gridCol w:w="993"/>
        <w:gridCol w:w="290"/>
      </w:tblGrid>
      <w:tr>
        <w:trPr/>
        <w:tc>
          <w:tcPr>
            <w:tcW w:w="3560"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250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0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290" w:type="dxa"/>
            <w:tcBorders/>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 Total</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 Total</w:t>
            </w:r>
          </w:p>
        </w:tc>
        <w:tc>
          <w:tcPr>
            <w:tcW w:w="290" w:type="dxa"/>
            <w:tcBorders/>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0"/>
              <w:jc w:val="left"/>
              <w:rPr/>
            </w:pPr>
            <w:r>
              <w:rPr/>
              <w:t> </w:t>
            </w:r>
          </w:p>
        </w:tc>
        <w:tc>
          <w:tcPr>
            <w:tcW w:w="90" w:type="dxa"/>
            <w:tcBorders/>
            <w:vAlign w:val="bottom"/>
          </w:tcPr>
          <w:p>
            <w:pPr>
              <w:pStyle w:val="TableContents"/>
              <w:bidi w:val="0"/>
              <w:spacing w:before="0" w:after="283"/>
              <w:jc w:val="left"/>
              <w:rPr/>
            </w:pPr>
            <w:r>
              <w:rPr/>
              <w:t> </w:t>
            </w:r>
          </w:p>
        </w:tc>
        <w:tc>
          <w:tcPr>
            <w:tcW w:w="5343" w:type="dxa"/>
            <w:gridSpan w:val="14"/>
            <w:tcBorders/>
            <w:vAlign w:val="bottom"/>
          </w:tcPr>
          <w:p>
            <w:pPr>
              <w:pStyle w:val="TableContents"/>
              <w:bidi w:val="0"/>
              <w:spacing w:before="0" w:after="0"/>
              <w:jc w:val="center"/>
              <w:rPr>
                <w:b/>
                <w:color w:val="000000"/>
              </w:rPr>
            </w:pPr>
            <w:r>
              <w:rPr>
                <w:b/>
                <w:color w:val="000000"/>
              </w:rPr>
              <w:t>(Dollars in thousands)</w:t>
            </w:r>
          </w:p>
        </w:tc>
        <w:tc>
          <w:tcPr>
            <w:tcW w:w="290"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color w:val="000000"/>
              </w:rPr>
            </w:pPr>
            <w:r>
              <w:rPr>
                <w:color w:val="000000"/>
              </w:rPr>
              <w:t>Noninterest-bearing 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1,151,641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24.8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1,023,517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26.4</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560" w:type="dxa"/>
            <w:tcBorders/>
            <w:vAlign w:val="bottom"/>
          </w:tcPr>
          <w:p>
            <w:pPr>
              <w:pStyle w:val="TableContents"/>
              <w:bidi w:val="0"/>
              <w:spacing w:before="0" w:after="0"/>
              <w:jc w:val="left"/>
              <w:rPr>
                <w:color w:val="000000"/>
              </w:rPr>
            </w:pPr>
            <w:r>
              <w:rPr>
                <w:color w:val="000000"/>
              </w:rPr>
              <w:t>NOW and other transaction accounts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1,554,184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33.5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1,307,596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color w:val="000000"/>
              </w:rPr>
            </w:pPr>
            <w:r>
              <w:rPr>
                <w:color w:val="000000"/>
              </w:rPr>
              <w:t>33.8</w:t>
            </w:r>
          </w:p>
        </w:tc>
        <w:tc>
          <w:tcPr>
            <w:tcW w:w="290" w:type="dxa"/>
            <w:tcBorders/>
            <w:vAlign w:val="bottom"/>
          </w:tcPr>
          <w:p>
            <w:pPr>
              <w:pStyle w:val="TableContents"/>
              <w:bidi w:val="0"/>
              <w:spacing w:before="0" w:after="0"/>
              <w:jc w:val="left"/>
              <w:rPr>
                <w:color w:val="000000"/>
              </w:rPr>
            </w:pPr>
            <w:r>
              <w:rPr>
                <w:color w:val="000000"/>
              </w:rPr>
              <w:t>%</w:t>
            </w:r>
          </w:p>
        </w:tc>
      </w:tr>
      <w:tr>
        <w:trPr/>
        <w:tc>
          <w:tcPr>
            <w:tcW w:w="3560" w:type="dxa"/>
            <w:tcBorders/>
            <w:shd w:fill="CCEEFF" w:val="clear"/>
            <w:vAlign w:val="bottom"/>
          </w:tcPr>
          <w:p>
            <w:pPr>
              <w:pStyle w:val="TableContents"/>
              <w:bidi w:val="0"/>
              <w:spacing w:before="0" w:after="0"/>
              <w:jc w:val="left"/>
              <w:rPr>
                <w:color w:val="000000"/>
              </w:rPr>
            </w:pPr>
            <w:r>
              <w:rPr>
                <w:color w:val="000000"/>
              </w:rPr>
              <w:t>Money market and other savings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1,330,583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28.7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1,111,529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color w:val="000000"/>
              </w:rPr>
            </w:pPr>
            <w:r>
              <w:rPr>
                <w:color w:val="000000"/>
              </w:rPr>
              <w:t>28.7</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560" w:type="dxa"/>
            <w:tcBorders/>
            <w:vAlign w:val="bottom"/>
          </w:tcPr>
          <w:p>
            <w:pPr>
              <w:pStyle w:val="TableContents"/>
              <w:bidi w:val="0"/>
              <w:spacing w:before="0" w:after="0"/>
              <w:jc w:val="left"/>
              <w:rPr>
                <w:color w:val="000000"/>
              </w:rPr>
            </w:pPr>
            <w:r>
              <w:rPr>
                <w:color w:val="000000"/>
              </w:rPr>
              <w:t>Time deposits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604,218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431,435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11.1</w:t>
            </w:r>
          </w:p>
        </w:tc>
        <w:tc>
          <w:tcPr>
            <w:tcW w:w="290" w:type="dxa"/>
            <w:tcBorders/>
            <w:vAlign w:val="bottom"/>
          </w:tcPr>
          <w:p>
            <w:pPr>
              <w:pStyle w:val="TableContents"/>
              <w:bidi w:val="0"/>
              <w:spacing w:before="0" w:after="0"/>
              <w:jc w:val="left"/>
              <w:rPr>
                <w:color w:val="000000"/>
              </w:rPr>
            </w:pPr>
            <w:r>
              <w:rPr>
                <w:color w:val="000000"/>
              </w:rPr>
              <w:t>%</w:t>
            </w:r>
          </w:p>
        </w:tc>
      </w:tr>
      <w:tr>
        <w:trPr/>
        <w:tc>
          <w:tcPr>
            <w:tcW w:w="3560" w:type="dxa"/>
            <w:tcBorders/>
            <w:shd w:fill="CCEEFF" w:val="clear"/>
            <w:vAlign w:val="bottom"/>
          </w:tcPr>
          <w:p>
            <w:pPr>
              <w:pStyle w:val="TableContents"/>
              <w:bidi w:val="0"/>
              <w:spacing w:before="0" w:after="0"/>
              <w:ind w:left="180" w:right="0" w:hanging="0"/>
              <w:jc w:val="left"/>
              <w:rPr>
                <w:color w:val="000000"/>
              </w:rPr>
            </w:pPr>
            <w:r>
              <w:rPr>
                <w:color w:val="000000"/>
              </w:rPr>
              <w:t>Total deposits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4,640,626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3,874,077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9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our average deposit balances and weighted average rates paid on deposits, on an annualized basis, for the periods indicated.</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33" w:name="zd93ba6087e294f3180ec0b8afdc6a5c0"/>
      <w:bookmarkStart w:id="234" w:name="zd93ba6087e294f3180ec0b8afdc6a5c0"/>
      <w:bookmarkEnd w:id="234"/>
    </w:p>
    <w:tbl>
      <w:tblPr>
        <w:tblW w:w="10205" w:type="dxa"/>
        <w:jc w:val="left"/>
        <w:tblInd w:w="0" w:type="dxa"/>
        <w:tblLayout w:type="fixed"/>
        <w:tblCellMar>
          <w:top w:w="0" w:type="dxa"/>
          <w:left w:w="0" w:type="dxa"/>
          <w:bottom w:w="0" w:type="dxa"/>
          <w:right w:w="0" w:type="dxa"/>
        </w:tblCellMar>
      </w:tblPr>
      <w:tblGrid>
        <w:gridCol w:w="3983"/>
        <w:gridCol w:w="90"/>
        <w:gridCol w:w="170"/>
        <w:gridCol w:w="1010"/>
        <w:gridCol w:w="90"/>
        <w:gridCol w:w="90"/>
        <w:gridCol w:w="222"/>
        <w:gridCol w:w="1170"/>
        <w:gridCol w:w="245"/>
        <w:gridCol w:w="90"/>
        <w:gridCol w:w="170"/>
        <w:gridCol w:w="1010"/>
        <w:gridCol w:w="90"/>
        <w:gridCol w:w="90"/>
        <w:gridCol w:w="222"/>
        <w:gridCol w:w="1170"/>
        <w:gridCol w:w="293"/>
      </w:tblGrid>
      <w:tr>
        <w:trPr/>
        <w:tc>
          <w:tcPr>
            <w:tcW w:w="39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839"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293" w:type="dxa"/>
            <w:tcBorders/>
            <w:vAlign w:val="bottom"/>
          </w:tcPr>
          <w:p>
            <w:pPr>
              <w:pStyle w:val="TableContents"/>
              <w:bidi w:val="0"/>
              <w:spacing w:before="0" w:after="283"/>
              <w:jc w:val="left"/>
              <w:rPr/>
            </w:pPr>
            <w:r>
              <w:rPr/>
              <w:t> </w:t>
            </w:r>
          </w:p>
        </w:tc>
      </w:tr>
      <w:tr>
        <w:trPr/>
        <w:tc>
          <w:tcPr>
            <w:tcW w:w="39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5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5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93" w:type="dxa"/>
            <w:tcBorders/>
            <w:vAlign w:val="bottom"/>
          </w:tcPr>
          <w:p>
            <w:pPr>
              <w:pStyle w:val="TableContents"/>
              <w:bidi w:val="0"/>
              <w:spacing w:before="0" w:after="283"/>
              <w:jc w:val="left"/>
              <w:rPr/>
            </w:pPr>
            <w:r>
              <w:rPr/>
              <w:t> </w:t>
            </w:r>
          </w:p>
        </w:tc>
      </w:tr>
      <w:tr>
        <w:trPr/>
        <w:tc>
          <w:tcPr>
            <w:tcW w:w="39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9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 Rate</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9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 Rate</w:t>
            </w:r>
          </w:p>
        </w:tc>
        <w:tc>
          <w:tcPr>
            <w:tcW w:w="293" w:type="dxa"/>
            <w:tcBorders/>
            <w:vAlign w:val="bottom"/>
          </w:tcPr>
          <w:p>
            <w:pPr>
              <w:pStyle w:val="TableContents"/>
              <w:bidi w:val="0"/>
              <w:spacing w:before="0" w:after="283"/>
              <w:jc w:val="left"/>
              <w:rPr/>
            </w:pPr>
            <w:r>
              <w:rPr/>
              <w:t> </w:t>
            </w:r>
          </w:p>
        </w:tc>
      </w:tr>
      <w:tr>
        <w:trPr/>
        <w:tc>
          <w:tcPr>
            <w:tcW w:w="39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839" w:type="dxa"/>
            <w:gridSpan w:val="14"/>
            <w:tcBorders/>
            <w:vAlign w:val="bottom"/>
          </w:tcPr>
          <w:p>
            <w:pPr>
              <w:pStyle w:val="TableContents"/>
              <w:bidi w:val="0"/>
              <w:spacing w:before="0" w:after="0"/>
              <w:jc w:val="center"/>
              <w:rPr>
                <w:b/>
                <w:color w:val="000000"/>
              </w:rPr>
            </w:pPr>
            <w:r>
              <w:rPr>
                <w:b/>
                <w:color w:val="000000"/>
              </w:rPr>
              <w:t>(Dollars in thousands)</w:t>
            </w:r>
          </w:p>
        </w:tc>
        <w:tc>
          <w:tcPr>
            <w:tcW w:w="293" w:type="dxa"/>
            <w:tcBorders/>
            <w:vAlign w:val="bottom"/>
          </w:tcPr>
          <w:p>
            <w:pPr>
              <w:pStyle w:val="TableContents"/>
              <w:bidi w:val="0"/>
              <w:spacing w:before="0" w:after="283"/>
              <w:jc w:val="left"/>
              <w:rPr/>
            </w:pPr>
            <w:r>
              <w:rPr/>
              <w:t> </w:t>
            </w:r>
          </w:p>
        </w:tc>
      </w:tr>
      <w:tr>
        <w:trPr/>
        <w:tc>
          <w:tcPr>
            <w:tcW w:w="3983" w:type="dxa"/>
            <w:tcBorders/>
            <w:shd w:fill="CCEEFF" w:val="clear"/>
            <w:vAlign w:val="bottom"/>
          </w:tcPr>
          <w:p>
            <w:pPr>
              <w:pStyle w:val="TableContents"/>
              <w:bidi w:val="0"/>
              <w:spacing w:before="0" w:after="0"/>
              <w:jc w:val="left"/>
              <w:rPr>
                <w:color w:val="000000"/>
              </w:rPr>
            </w:pPr>
            <w:r>
              <w:rPr>
                <w:color w:val="000000"/>
              </w:rPr>
              <w:t>Noninterest-bearing 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1,102,345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990,343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0.00</w:t>
            </w:r>
          </w:p>
        </w:tc>
        <w:tc>
          <w:tcPr>
            <w:tcW w:w="293" w:type="dxa"/>
            <w:tcBorders/>
            <w:shd w:fill="CCEEFF" w:val="clear"/>
            <w:vAlign w:val="bottom"/>
          </w:tcPr>
          <w:p>
            <w:pPr>
              <w:pStyle w:val="TableContents"/>
              <w:bidi w:val="0"/>
              <w:spacing w:before="0" w:after="0"/>
              <w:jc w:val="left"/>
              <w:rPr>
                <w:color w:val="000000"/>
              </w:rPr>
            </w:pPr>
            <w:r>
              <w:rPr>
                <w:color w:val="000000"/>
              </w:rPr>
              <w:t>%</w:t>
            </w:r>
          </w:p>
        </w:tc>
      </w:tr>
      <w:tr>
        <w:trPr/>
        <w:tc>
          <w:tcPr>
            <w:tcW w:w="3983" w:type="dxa"/>
            <w:tcBorders/>
            <w:vAlign w:val="bottom"/>
          </w:tcPr>
          <w:p>
            <w:pPr>
              <w:pStyle w:val="TableContents"/>
              <w:bidi w:val="0"/>
              <w:spacing w:before="0" w:after="0"/>
              <w:jc w:val="left"/>
              <w:rPr>
                <w:color w:val="000000"/>
              </w:rPr>
            </w:pPr>
            <w:r>
              <w:rPr>
                <w:color w:val="000000"/>
              </w:rPr>
              <w:t>Interest-bearing deposits: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293" w:type="dxa"/>
            <w:tcBorders/>
            <w:vAlign w:val="bottom"/>
          </w:tcPr>
          <w:p>
            <w:pPr>
              <w:pStyle w:val="TableContents"/>
              <w:bidi w:val="0"/>
              <w:spacing w:before="0" w:after="283"/>
              <w:jc w:val="left"/>
              <w:rPr/>
            </w:pPr>
            <w:r>
              <w:rPr/>
              <w:t> </w:t>
            </w:r>
          </w:p>
        </w:tc>
      </w:tr>
      <w:tr>
        <w:trPr/>
        <w:tc>
          <w:tcPr>
            <w:tcW w:w="3983" w:type="dxa"/>
            <w:tcBorders/>
            <w:shd w:fill="CCEEFF" w:val="clear"/>
            <w:vAlign w:val="bottom"/>
          </w:tcPr>
          <w:p>
            <w:pPr>
              <w:pStyle w:val="TableContents"/>
              <w:bidi w:val="0"/>
              <w:spacing w:before="0" w:after="0"/>
              <w:ind w:left="180" w:right="0" w:hanging="0"/>
              <w:jc w:val="left"/>
              <w:rPr>
                <w:color w:val="000000"/>
              </w:rPr>
            </w:pPr>
            <w:r>
              <w:rPr>
                <w:color w:val="000000"/>
              </w:rPr>
              <w:t>NOW and interest-bearing demand accounts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1,345,763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2.16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1,250,852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2.64</w:t>
            </w:r>
          </w:p>
        </w:tc>
        <w:tc>
          <w:tcPr>
            <w:tcW w:w="293" w:type="dxa"/>
            <w:tcBorders/>
            <w:shd w:fill="CCEEFF" w:val="clear"/>
            <w:vAlign w:val="bottom"/>
          </w:tcPr>
          <w:p>
            <w:pPr>
              <w:pStyle w:val="TableContents"/>
              <w:bidi w:val="0"/>
              <w:spacing w:before="0" w:after="0"/>
              <w:jc w:val="left"/>
              <w:rPr>
                <w:color w:val="000000"/>
              </w:rPr>
            </w:pPr>
            <w:r>
              <w:rPr>
                <w:color w:val="000000"/>
              </w:rPr>
              <w:t>%</w:t>
            </w:r>
          </w:p>
        </w:tc>
      </w:tr>
      <w:tr>
        <w:trPr/>
        <w:tc>
          <w:tcPr>
            <w:tcW w:w="3983" w:type="dxa"/>
            <w:tcBorders/>
            <w:vAlign w:val="bottom"/>
          </w:tcPr>
          <w:p>
            <w:pPr>
              <w:pStyle w:val="TableContents"/>
              <w:bidi w:val="0"/>
              <w:spacing w:before="0" w:after="0"/>
              <w:ind w:left="180" w:right="0" w:hanging="0"/>
              <w:jc w:val="left"/>
              <w:rPr>
                <w:color w:val="000000"/>
              </w:rPr>
            </w:pPr>
            <w:r>
              <w:rPr>
                <w:color w:val="000000"/>
              </w:rPr>
              <w:t>Savings accounts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136,368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0"/>
              <w:jc w:val="right"/>
              <w:rPr>
                <w:color w:val="000000"/>
              </w:rPr>
            </w:pPr>
            <w:r>
              <w:rPr>
                <w:color w:val="000000"/>
              </w:rPr>
              <w:t>0.68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132,428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0"/>
              <w:jc w:val="right"/>
              <w:rPr>
                <w:color w:val="000000"/>
              </w:rPr>
            </w:pPr>
            <w:r>
              <w:rPr>
                <w:color w:val="000000"/>
              </w:rPr>
              <w:t>0.81</w:t>
            </w:r>
          </w:p>
        </w:tc>
        <w:tc>
          <w:tcPr>
            <w:tcW w:w="293" w:type="dxa"/>
            <w:tcBorders/>
            <w:vAlign w:val="bottom"/>
          </w:tcPr>
          <w:p>
            <w:pPr>
              <w:pStyle w:val="TableContents"/>
              <w:bidi w:val="0"/>
              <w:spacing w:before="0" w:after="0"/>
              <w:jc w:val="left"/>
              <w:rPr>
                <w:color w:val="000000"/>
              </w:rPr>
            </w:pPr>
            <w:r>
              <w:rPr>
                <w:color w:val="000000"/>
              </w:rPr>
              <w:t>%</w:t>
            </w:r>
          </w:p>
        </w:tc>
      </w:tr>
      <w:tr>
        <w:trPr/>
        <w:tc>
          <w:tcPr>
            <w:tcW w:w="3983" w:type="dxa"/>
            <w:tcBorders/>
            <w:shd w:fill="CCEEFF" w:val="clear"/>
            <w:vAlign w:val="bottom"/>
          </w:tcPr>
          <w:p>
            <w:pPr>
              <w:pStyle w:val="TableContents"/>
              <w:bidi w:val="0"/>
              <w:spacing w:before="0" w:after="0"/>
              <w:ind w:left="180" w:right="0" w:hanging="0"/>
              <w:jc w:val="left"/>
              <w:rPr>
                <w:color w:val="000000"/>
              </w:rPr>
            </w:pPr>
            <w:r>
              <w:rPr>
                <w:color w:val="000000"/>
              </w:rPr>
              <w:t>Money market accounts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1,389,688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3.14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943,499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3.14</w:t>
            </w:r>
          </w:p>
        </w:tc>
        <w:tc>
          <w:tcPr>
            <w:tcW w:w="293" w:type="dxa"/>
            <w:tcBorders/>
            <w:shd w:fill="CCEEFF" w:val="clear"/>
            <w:vAlign w:val="bottom"/>
          </w:tcPr>
          <w:p>
            <w:pPr>
              <w:pStyle w:val="TableContents"/>
              <w:bidi w:val="0"/>
              <w:spacing w:before="0" w:after="0"/>
              <w:jc w:val="left"/>
              <w:rPr>
                <w:color w:val="000000"/>
              </w:rPr>
            </w:pPr>
            <w:r>
              <w:rPr>
                <w:color w:val="000000"/>
              </w:rPr>
              <w:t>%</w:t>
            </w:r>
          </w:p>
        </w:tc>
      </w:tr>
      <w:tr>
        <w:trPr/>
        <w:tc>
          <w:tcPr>
            <w:tcW w:w="3983" w:type="dxa"/>
            <w:tcBorders/>
            <w:vAlign w:val="bottom"/>
          </w:tcPr>
          <w:p>
            <w:pPr>
              <w:pStyle w:val="TableContents"/>
              <w:bidi w:val="0"/>
              <w:spacing w:before="0" w:after="0"/>
              <w:ind w:left="180" w:right="0" w:hanging="0"/>
              <w:jc w:val="left"/>
              <w:rPr>
                <w:color w:val="000000"/>
              </w:rPr>
            </w:pPr>
            <w:r>
              <w:rPr>
                <w:color w:val="000000"/>
              </w:rPr>
              <w:t>Time deposits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602,818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0"/>
              <w:jc w:val="right"/>
              <w:rPr>
                <w:color w:val="000000"/>
              </w:rPr>
            </w:pPr>
            <w:r>
              <w:rPr>
                <w:color w:val="000000"/>
              </w:rPr>
              <w:t>3.57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438,697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0"/>
              <w:jc w:val="right"/>
              <w:rPr>
                <w:color w:val="000000"/>
              </w:rPr>
            </w:pPr>
            <w:r>
              <w:rPr>
                <w:color w:val="000000"/>
              </w:rPr>
              <w:t>3.81</w:t>
            </w:r>
          </w:p>
        </w:tc>
        <w:tc>
          <w:tcPr>
            <w:tcW w:w="293" w:type="dxa"/>
            <w:tcBorders/>
            <w:vAlign w:val="bottom"/>
          </w:tcPr>
          <w:p>
            <w:pPr>
              <w:pStyle w:val="TableContents"/>
              <w:bidi w:val="0"/>
              <w:spacing w:before="0" w:after="0"/>
              <w:jc w:val="left"/>
              <w:rPr>
                <w:color w:val="000000"/>
              </w:rPr>
            </w:pPr>
            <w:r>
              <w:rPr>
                <w:color w:val="000000"/>
              </w:rPr>
              <w:t>%</w:t>
            </w:r>
          </w:p>
        </w:tc>
      </w:tr>
      <w:tr>
        <w:trPr/>
        <w:tc>
          <w:tcPr>
            <w:tcW w:w="3983" w:type="dxa"/>
            <w:tcBorders/>
            <w:shd w:fill="CCEEFF" w:val="clear"/>
            <w:vAlign w:val="bottom"/>
          </w:tcPr>
          <w:p>
            <w:pPr>
              <w:pStyle w:val="TableContents"/>
              <w:bidi w:val="0"/>
              <w:spacing w:before="0" w:after="0"/>
              <w:ind w:left="360" w:right="0" w:hanging="0"/>
              <w:jc w:val="left"/>
              <w:rPr>
                <w:color w:val="000000"/>
              </w:rPr>
            </w:pPr>
            <w:r>
              <w:rPr>
                <w:color w:val="000000"/>
              </w:rPr>
              <w:t>Total interest-bearing deposits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3,474,637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2.74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2,765,476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2.91</w:t>
            </w:r>
          </w:p>
        </w:tc>
        <w:tc>
          <w:tcPr>
            <w:tcW w:w="293" w:type="dxa"/>
            <w:tcBorders/>
            <w:shd w:fill="CCEEFF" w:val="clear"/>
            <w:vAlign w:val="bottom"/>
          </w:tcPr>
          <w:p>
            <w:pPr>
              <w:pStyle w:val="TableContents"/>
              <w:bidi w:val="0"/>
              <w:spacing w:before="0" w:after="0"/>
              <w:jc w:val="left"/>
              <w:rPr>
                <w:color w:val="000000"/>
              </w:rPr>
            </w:pPr>
            <w:r>
              <w:rPr>
                <w:color w:val="000000"/>
              </w:rPr>
              <w:t>%</w:t>
            </w:r>
          </w:p>
        </w:tc>
      </w:tr>
      <w:tr>
        <w:trPr/>
        <w:tc>
          <w:tcPr>
            <w:tcW w:w="3983" w:type="dxa"/>
            <w:tcBorders/>
            <w:vAlign w:val="bottom"/>
          </w:tcPr>
          <w:p>
            <w:pPr>
              <w:pStyle w:val="TableContents"/>
              <w:bidi w:val="0"/>
              <w:spacing w:before="0" w:after="0"/>
              <w:ind w:left="540" w:right="0" w:hanging="0"/>
              <w:jc w:val="left"/>
              <w:rPr>
                <w:color w:val="000000"/>
              </w:rPr>
            </w:pPr>
            <w:r>
              <w:rPr>
                <w:color w:val="000000"/>
              </w:rPr>
              <w:t>Total deposits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4,576,982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0"/>
              <w:jc w:val="right"/>
              <w:rPr>
                <w:color w:val="000000"/>
              </w:rPr>
            </w:pPr>
            <w:r>
              <w:rPr>
                <w:color w:val="000000"/>
              </w:rPr>
              <w:t>2.08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3,755,819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0"/>
              <w:jc w:val="right"/>
              <w:rPr>
                <w:color w:val="000000"/>
              </w:rPr>
            </w:pPr>
            <w:r>
              <w:rPr>
                <w:color w:val="000000"/>
              </w:rPr>
              <w:t>2.14</w:t>
            </w:r>
          </w:p>
        </w:tc>
        <w:tc>
          <w:tcPr>
            <w:tcW w:w="293"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235" w:name="z9df03f72c9d04a1da5e79204fe4d00a7"/>
      <w:bookmarkStart w:id="236" w:name="z9df03f72c9d04a1da5e79204fe4d00a7"/>
      <w:bookmarkEnd w:id="236"/>
    </w:p>
    <w:tbl>
      <w:tblPr>
        <w:tblW w:w="10205" w:type="dxa"/>
        <w:jc w:val="left"/>
        <w:tblInd w:w="0" w:type="dxa"/>
        <w:tblLayout w:type="fixed"/>
        <w:tblCellMar>
          <w:top w:w="0" w:type="dxa"/>
          <w:left w:w="0" w:type="dxa"/>
          <w:bottom w:w="0" w:type="dxa"/>
          <w:right w:w="0" w:type="dxa"/>
        </w:tblCellMar>
      </w:tblPr>
      <w:tblGrid>
        <w:gridCol w:w="3983"/>
        <w:gridCol w:w="90"/>
        <w:gridCol w:w="170"/>
        <w:gridCol w:w="1010"/>
        <w:gridCol w:w="90"/>
        <w:gridCol w:w="90"/>
        <w:gridCol w:w="222"/>
        <w:gridCol w:w="1170"/>
        <w:gridCol w:w="245"/>
        <w:gridCol w:w="90"/>
        <w:gridCol w:w="170"/>
        <w:gridCol w:w="1010"/>
        <w:gridCol w:w="90"/>
        <w:gridCol w:w="90"/>
        <w:gridCol w:w="222"/>
        <w:gridCol w:w="1170"/>
        <w:gridCol w:w="293"/>
      </w:tblGrid>
      <w:tr>
        <w:trPr/>
        <w:tc>
          <w:tcPr>
            <w:tcW w:w="39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839"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293" w:type="dxa"/>
            <w:tcBorders/>
            <w:vAlign w:val="bottom"/>
          </w:tcPr>
          <w:p>
            <w:pPr>
              <w:pStyle w:val="TableContents"/>
              <w:bidi w:val="0"/>
              <w:spacing w:before="0" w:after="283"/>
              <w:jc w:val="left"/>
              <w:rPr/>
            </w:pPr>
            <w:r>
              <w:rPr/>
              <w:t> </w:t>
            </w:r>
          </w:p>
        </w:tc>
      </w:tr>
      <w:tr>
        <w:trPr/>
        <w:tc>
          <w:tcPr>
            <w:tcW w:w="39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5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5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93" w:type="dxa"/>
            <w:tcBorders/>
            <w:vAlign w:val="bottom"/>
          </w:tcPr>
          <w:p>
            <w:pPr>
              <w:pStyle w:val="TableContents"/>
              <w:bidi w:val="0"/>
              <w:spacing w:before="0" w:after="283"/>
              <w:jc w:val="left"/>
              <w:rPr/>
            </w:pPr>
            <w:r>
              <w:rPr/>
              <w:t> </w:t>
            </w:r>
          </w:p>
        </w:tc>
      </w:tr>
      <w:tr>
        <w:trPr/>
        <w:tc>
          <w:tcPr>
            <w:tcW w:w="39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9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 Rate</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9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 Rate</w:t>
            </w:r>
          </w:p>
        </w:tc>
        <w:tc>
          <w:tcPr>
            <w:tcW w:w="293" w:type="dxa"/>
            <w:tcBorders/>
            <w:vAlign w:val="bottom"/>
          </w:tcPr>
          <w:p>
            <w:pPr>
              <w:pStyle w:val="TableContents"/>
              <w:bidi w:val="0"/>
              <w:spacing w:before="0" w:after="283"/>
              <w:jc w:val="left"/>
              <w:rPr/>
            </w:pPr>
            <w:r>
              <w:rPr/>
              <w:t> </w:t>
            </w:r>
          </w:p>
        </w:tc>
      </w:tr>
      <w:tr>
        <w:trPr/>
        <w:tc>
          <w:tcPr>
            <w:tcW w:w="398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839" w:type="dxa"/>
            <w:gridSpan w:val="14"/>
            <w:tcBorders/>
            <w:vAlign w:val="bottom"/>
          </w:tcPr>
          <w:p>
            <w:pPr>
              <w:pStyle w:val="TableContents"/>
              <w:bidi w:val="0"/>
              <w:spacing w:before="0" w:after="0"/>
              <w:jc w:val="center"/>
              <w:rPr>
                <w:b/>
                <w:color w:val="000000"/>
              </w:rPr>
            </w:pPr>
            <w:r>
              <w:rPr>
                <w:b/>
                <w:color w:val="000000"/>
              </w:rPr>
              <w:t>(Dollars in thousands)</w:t>
            </w:r>
          </w:p>
        </w:tc>
        <w:tc>
          <w:tcPr>
            <w:tcW w:w="293" w:type="dxa"/>
            <w:tcBorders/>
            <w:vAlign w:val="bottom"/>
          </w:tcPr>
          <w:p>
            <w:pPr>
              <w:pStyle w:val="TableContents"/>
              <w:bidi w:val="0"/>
              <w:spacing w:before="0" w:after="283"/>
              <w:jc w:val="left"/>
              <w:rPr/>
            </w:pPr>
            <w:r>
              <w:rPr/>
              <w:t> </w:t>
            </w:r>
          </w:p>
        </w:tc>
      </w:tr>
      <w:tr>
        <w:trPr/>
        <w:tc>
          <w:tcPr>
            <w:tcW w:w="3983" w:type="dxa"/>
            <w:tcBorders/>
            <w:shd w:fill="CCEEFF" w:val="clear"/>
            <w:vAlign w:val="bottom"/>
          </w:tcPr>
          <w:p>
            <w:pPr>
              <w:pStyle w:val="TableContents"/>
              <w:bidi w:val="0"/>
              <w:spacing w:before="0" w:after="0"/>
              <w:jc w:val="left"/>
              <w:rPr>
                <w:color w:val="000000"/>
              </w:rPr>
            </w:pPr>
            <w:r>
              <w:rPr>
                <w:color w:val="000000"/>
              </w:rPr>
              <w:t>Noninterest-bearing deposits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1,045,930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962,557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0.00</w:t>
            </w:r>
          </w:p>
        </w:tc>
        <w:tc>
          <w:tcPr>
            <w:tcW w:w="293" w:type="dxa"/>
            <w:tcBorders/>
            <w:shd w:fill="CCEEFF" w:val="clear"/>
            <w:vAlign w:val="bottom"/>
          </w:tcPr>
          <w:p>
            <w:pPr>
              <w:pStyle w:val="TableContents"/>
              <w:bidi w:val="0"/>
              <w:spacing w:before="0" w:after="0"/>
              <w:jc w:val="left"/>
              <w:rPr>
                <w:color w:val="000000"/>
              </w:rPr>
            </w:pPr>
            <w:r>
              <w:rPr>
                <w:color w:val="000000"/>
              </w:rPr>
              <w:t>%</w:t>
            </w:r>
          </w:p>
        </w:tc>
      </w:tr>
      <w:tr>
        <w:trPr/>
        <w:tc>
          <w:tcPr>
            <w:tcW w:w="3983" w:type="dxa"/>
            <w:tcBorders/>
            <w:vAlign w:val="bottom"/>
          </w:tcPr>
          <w:p>
            <w:pPr>
              <w:pStyle w:val="TableContents"/>
              <w:bidi w:val="0"/>
              <w:spacing w:before="0" w:after="0"/>
              <w:jc w:val="left"/>
              <w:rPr>
                <w:color w:val="000000"/>
              </w:rPr>
            </w:pPr>
            <w:r>
              <w:rPr>
                <w:color w:val="000000"/>
              </w:rPr>
              <w:t>Interest-bearing deposits: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293" w:type="dxa"/>
            <w:tcBorders/>
            <w:vAlign w:val="bottom"/>
          </w:tcPr>
          <w:p>
            <w:pPr>
              <w:pStyle w:val="TableContents"/>
              <w:bidi w:val="0"/>
              <w:spacing w:before="0" w:after="283"/>
              <w:jc w:val="left"/>
              <w:rPr/>
            </w:pPr>
            <w:r>
              <w:rPr/>
              <w:t> </w:t>
            </w:r>
          </w:p>
        </w:tc>
      </w:tr>
      <w:tr>
        <w:trPr/>
        <w:tc>
          <w:tcPr>
            <w:tcW w:w="3983" w:type="dxa"/>
            <w:tcBorders/>
            <w:shd w:fill="CCEEFF" w:val="clear"/>
            <w:vAlign w:val="bottom"/>
          </w:tcPr>
          <w:p>
            <w:pPr>
              <w:pStyle w:val="TableContents"/>
              <w:bidi w:val="0"/>
              <w:spacing w:before="0" w:after="0"/>
              <w:ind w:left="180" w:right="0" w:hanging="0"/>
              <w:jc w:val="left"/>
              <w:rPr>
                <w:color w:val="000000"/>
              </w:rPr>
            </w:pPr>
            <w:r>
              <w:rPr>
                <w:color w:val="000000"/>
              </w:rPr>
              <w:t>NOW and interest-bearing demand accounts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1,335,408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2.27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1,086,742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2.78</w:t>
            </w:r>
          </w:p>
        </w:tc>
        <w:tc>
          <w:tcPr>
            <w:tcW w:w="293" w:type="dxa"/>
            <w:tcBorders/>
            <w:shd w:fill="CCEEFF" w:val="clear"/>
            <w:vAlign w:val="bottom"/>
          </w:tcPr>
          <w:p>
            <w:pPr>
              <w:pStyle w:val="TableContents"/>
              <w:bidi w:val="0"/>
              <w:spacing w:before="0" w:after="0"/>
              <w:jc w:val="left"/>
              <w:rPr>
                <w:color w:val="000000"/>
              </w:rPr>
            </w:pPr>
            <w:r>
              <w:rPr>
                <w:color w:val="000000"/>
              </w:rPr>
              <w:t>%</w:t>
            </w:r>
          </w:p>
        </w:tc>
      </w:tr>
      <w:tr>
        <w:trPr/>
        <w:tc>
          <w:tcPr>
            <w:tcW w:w="3983" w:type="dxa"/>
            <w:tcBorders/>
            <w:vAlign w:val="bottom"/>
          </w:tcPr>
          <w:p>
            <w:pPr>
              <w:pStyle w:val="TableContents"/>
              <w:bidi w:val="0"/>
              <w:spacing w:before="0" w:after="0"/>
              <w:ind w:left="180" w:right="0" w:hanging="0"/>
              <w:jc w:val="left"/>
              <w:rPr>
                <w:color w:val="000000"/>
              </w:rPr>
            </w:pPr>
            <w:r>
              <w:rPr>
                <w:color w:val="000000"/>
              </w:rPr>
              <w:t>Savings accounts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134,735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0"/>
              <w:jc w:val="right"/>
              <w:rPr>
                <w:color w:val="000000"/>
              </w:rPr>
            </w:pPr>
            <w:r>
              <w:rPr>
                <w:color w:val="000000"/>
              </w:rPr>
              <w:t>0.69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133,356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0"/>
              <w:jc w:val="right"/>
              <w:rPr>
                <w:color w:val="000000"/>
              </w:rPr>
            </w:pPr>
            <w:r>
              <w:rPr>
                <w:color w:val="000000"/>
              </w:rPr>
              <w:t>0.81</w:t>
            </w:r>
          </w:p>
        </w:tc>
        <w:tc>
          <w:tcPr>
            <w:tcW w:w="293" w:type="dxa"/>
            <w:tcBorders/>
            <w:vAlign w:val="bottom"/>
          </w:tcPr>
          <w:p>
            <w:pPr>
              <w:pStyle w:val="TableContents"/>
              <w:bidi w:val="0"/>
              <w:spacing w:before="0" w:after="0"/>
              <w:jc w:val="left"/>
              <w:rPr>
                <w:color w:val="000000"/>
              </w:rPr>
            </w:pPr>
            <w:r>
              <w:rPr>
                <w:color w:val="000000"/>
              </w:rPr>
              <w:t>%</w:t>
            </w:r>
          </w:p>
        </w:tc>
      </w:tr>
      <w:tr>
        <w:trPr/>
        <w:tc>
          <w:tcPr>
            <w:tcW w:w="3983" w:type="dxa"/>
            <w:tcBorders/>
            <w:shd w:fill="CCEEFF" w:val="clear"/>
            <w:vAlign w:val="bottom"/>
          </w:tcPr>
          <w:p>
            <w:pPr>
              <w:pStyle w:val="TableContents"/>
              <w:bidi w:val="0"/>
              <w:spacing w:before="0" w:after="0"/>
              <w:ind w:left="180" w:right="0" w:hanging="0"/>
              <w:jc w:val="left"/>
              <w:rPr>
                <w:color w:val="000000"/>
              </w:rPr>
            </w:pPr>
            <w:r>
              <w:rPr>
                <w:color w:val="000000"/>
              </w:rPr>
              <w:t>Money market accounts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1,199,506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3.02</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1,094,464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2.92</w:t>
            </w:r>
          </w:p>
        </w:tc>
        <w:tc>
          <w:tcPr>
            <w:tcW w:w="293" w:type="dxa"/>
            <w:tcBorders/>
            <w:shd w:fill="CCEEFF" w:val="clear"/>
            <w:vAlign w:val="bottom"/>
          </w:tcPr>
          <w:p>
            <w:pPr>
              <w:pStyle w:val="TableContents"/>
              <w:bidi w:val="0"/>
              <w:spacing w:before="0" w:after="0"/>
              <w:jc w:val="left"/>
              <w:rPr>
                <w:color w:val="000000"/>
              </w:rPr>
            </w:pPr>
            <w:r>
              <w:rPr>
                <w:color w:val="000000"/>
              </w:rPr>
              <w:t>%</w:t>
            </w:r>
          </w:p>
        </w:tc>
      </w:tr>
      <w:tr>
        <w:trPr/>
        <w:tc>
          <w:tcPr>
            <w:tcW w:w="3983" w:type="dxa"/>
            <w:tcBorders/>
            <w:vAlign w:val="bottom"/>
          </w:tcPr>
          <w:p>
            <w:pPr>
              <w:pStyle w:val="TableContents"/>
              <w:bidi w:val="0"/>
              <w:spacing w:before="0" w:after="0"/>
              <w:ind w:left="180" w:right="0" w:hanging="0"/>
              <w:jc w:val="left"/>
              <w:rPr>
                <w:color w:val="000000"/>
              </w:rPr>
            </w:pPr>
            <w:r>
              <w:rPr>
                <w:color w:val="000000"/>
              </w:rPr>
              <w:t>Time deposits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519,734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0"/>
              <w:jc w:val="right"/>
              <w:rPr>
                <w:color w:val="000000"/>
              </w:rPr>
            </w:pPr>
            <w:r>
              <w:rPr>
                <w:color w:val="000000"/>
              </w:rPr>
              <w:t>3.56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440,297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0"/>
              <w:jc w:val="right"/>
              <w:rPr>
                <w:color w:val="000000"/>
              </w:rPr>
            </w:pPr>
            <w:r>
              <w:rPr>
                <w:color w:val="000000"/>
              </w:rPr>
              <w:t>3.89</w:t>
            </w:r>
          </w:p>
        </w:tc>
        <w:tc>
          <w:tcPr>
            <w:tcW w:w="293" w:type="dxa"/>
            <w:tcBorders/>
            <w:vAlign w:val="bottom"/>
          </w:tcPr>
          <w:p>
            <w:pPr>
              <w:pStyle w:val="TableContents"/>
              <w:bidi w:val="0"/>
              <w:spacing w:before="0" w:after="0"/>
              <w:jc w:val="left"/>
              <w:rPr>
                <w:color w:val="000000"/>
              </w:rPr>
            </w:pPr>
            <w:r>
              <w:rPr>
                <w:color w:val="000000"/>
              </w:rPr>
              <w:t>%</w:t>
            </w:r>
          </w:p>
        </w:tc>
      </w:tr>
      <w:tr>
        <w:trPr/>
        <w:tc>
          <w:tcPr>
            <w:tcW w:w="3983" w:type="dxa"/>
            <w:tcBorders/>
            <w:shd w:fill="CCEEFF" w:val="clear"/>
            <w:vAlign w:val="bottom"/>
          </w:tcPr>
          <w:p>
            <w:pPr>
              <w:pStyle w:val="TableContents"/>
              <w:bidi w:val="0"/>
              <w:spacing w:before="0" w:after="0"/>
              <w:ind w:left="360" w:right="0" w:hanging="0"/>
              <w:jc w:val="left"/>
              <w:rPr>
                <w:color w:val="000000"/>
              </w:rPr>
            </w:pPr>
            <w:r>
              <w:rPr>
                <w:color w:val="000000"/>
              </w:rPr>
              <w:t>Total interest-bearing deposits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3,189,383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2.69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2,754,859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170" w:type="dxa"/>
            <w:tcBorders/>
            <w:shd w:fill="CCEEFF" w:val="clear"/>
            <w:vAlign w:val="bottom"/>
          </w:tcPr>
          <w:p>
            <w:pPr>
              <w:pStyle w:val="TableContents"/>
              <w:bidi w:val="0"/>
              <w:spacing w:before="0" w:after="0"/>
              <w:jc w:val="right"/>
              <w:rPr>
                <w:color w:val="000000"/>
              </w:rPr>
            </w:pPr>
            <w:r>
              <w:rPr>
                <w:color w:val="000000"/>
              </w:rPr>
              <w:t>2.92</w:t>
            </w:r>
          </w:p>
        </w:tc>
        <w:tc>
          <w:tcPr>
            <w:tcW w:w="293" w:type="dxa"/>
            <w:tcBorders/>
            <w:shd w:fill="CCEEFF" w:val="clear"/>
            <w:vAlign w:val="bottom"/>
          </w:tcPr>
          <w:p>
            <w:pPr>
              <w:pStyle w:val="TableContents"/>
              <w:bidi w:val="0"/>
              <w:spacing w:before="0" w:after="0"/>
              <w:jc w:val="left"/>
              <w:rPr>
                <w:color w:val="000000"/>
              </w:rPr>
            </w:pPr>
            <w:r>
              <w:rPr>
                <w:color w:val="000000"/>
              </w:rPr>
              <w:t>%</w:t>
            </w:r>
          </w:p>
        </w:tc>
      </w:tr>
      <w:tr>
        <w:trPr/>
        <w:tc>
          <w:tcPr>
            <w:tcW w:w="3983" w:type="dxa"/>
            <w:tcBorders/>
            <w:vAlign w:val="bottom"/>
          </w:tcPr>
          <w:p>
            <w:pPr>
              <w:pStyle w:val="TableContents"/>
              <w:bidi w:val="0"/>
              <w:spacing w:before="0" w:after="0"/>
              <w:ind w:left="540" w:right="0" w:hanging="0"/>
              <w:jc w:val="left"/>
              <w:rPr>
                <w:color w:val="000000"/>
              </w:rPr>
            </w:pPr>
            <w:r>
              <w:rPr>
                <w:color w:val="000000"/>
              </w:rPr>
              <w:t>Total deposits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4,235,313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0"/>
              <w:jc w:val="right"/>
              <w:rPr>
                <w:color w:val="000000"/>
              </w:rPr>
            </w:pPr>
            <w:r>
              <w:rPr>
                <w:color w:val="000000"/>
              </w:rPr>
              <w:t>2.03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3,717,416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0"/>
              <w:jc w:val="right"/>
              <w:rPr>
                <w:color w:val="000000"/>
              </w:rPr>
            </w:pPr>
            <w:r>
              <w:rPr>
                <w:color w:val="000000"/>
              </w:rPr>
              <w:t>2.16</w:t>
            </w:r>
          </w:p>
        </w:tc>
        <w:tc>
          <w:tcPr>
            <w:tcW w:w="293"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scheduled maturities of time deposits of more than $250 thousand as of June 30, 2026 follows: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37" w:name="zce52e3267c98475a8945ceb70f20c3e2"/>
      <w:bookmarkStart w:id="238" w:name="zce52e3267c98475a8945ceb70f20c3e2"/>
      <w:bookmarkEnd w:id="238"/>
    </w:p>
    <w:tbl>
      <w:tblPr>
        <w:tblW w:w="6191" w:type="dxa"/>
        <w:jc w:val="left"/>
        <w:tblInd w:w="0" w:type="dxa"/>
        <w:tblLayout w:type="fixed"/>
        <w:tblCellMar>
          <w:top w:w="0" w:type="dxa"/>
          <w:left w:w="0" w:type="dxa"/>
          <w:bottom w:w="0" w:type="dxa"/>
          <w:right w:w="0" w:type="dxa"/>
        </w:tblCellMar>
      </w:tblPr>
      <w:tblGrid>
        <w:gridCol w:w="105"/>
        <w:gridCol w:w="290"/>
        <w:gridCol w:w="1214"/>
        <w:gridCol w:w="90"/>
        <w:gridCol w:w="90"/>
        <w:gridCol w:w="177"/>
        <w:gridCol w:w="742"/>
        <w:gridCol w:w="90"/>
        <w:gridCol w:w="90"/>
        <w:gridCol w:w="177"/>
        <w:gridCol w:w="742"/>
        <w:gridCol w:w="90"/>
        <w:gridCol w:w="90"/>
        <w:gridCol w:w="198"/>
        <w:gridCol w:w="691"/>
        <w:gridCol w:w="90"/>
        <w:gridCol w:w="90"/>
        <w:gridCol w:w="170"/>
        <w:gridCol w:w="830"/>
        <w:gridCol w:w="135"/>
      </w:tblGrid>
      <w:tr>
        <w:trPr/>
        <w:tc>
          <w:tcPr>
            <w:tcW w:w="105" w:type="dxa"/>
            <w:tcBorders/>
            <w:vAlign w:val="bottom"/>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to</w:t>
            </w:r>
          </w:p>
          <w:p>
            <w:pPr>
              <w:pStyle w:val="TableContents"/>
              <w:bidi w:val="0"/>
              <w:spacing w:before="0" w:after="0"/>
              <w:jc w:val="center"/>
              <w:rPr>
                <w:b/>
                <w:color w:val="000000"/>
              </w:rPr>
            </w:pPr>
            <w:r>
              <w:rPr>
                <w:b/>
                <w:color w:val="000000"/>
              </w:rPr>
              <w:t>Six</w:t>
            </w:r>
          </w:p>
          <w:p>
            <w:pPr>
              <w:pStyle w:val="TableContents"/>
              <w:bidi w:val="0"/>
              <w:spacing w:before="0" w:after="0"/>
              <w:jc w:val="center"/>
              <w:rPr>
                <w:b/>
                <w:color w:val="000000"/>
              </w:rPr>
            </w:pPr>
            <w:r>
              <w:rPr>
                <w:b/>
                <w:color w:val="000000"/>
              </w:rPr>
              <w:t>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to 12</w:t>
            </w:r>
          </w:p>
          <w:p>
            <w:pPr>
              <w:pStyle w:val="TableContents"/>
              <w:bidi w:val="0"/>
              <w:spacing w:before="0" w:after="0"/>
              <w:jc w:val="center"/>
              <w:rPr>
                <w:b/>
                <w:color w:val="000000"/>
              </w:rPr>
            </w:pPr>
            <w:r>
              <w:rPr>
                <w:b/>
                <w:color w:val="000000"/>
              </w:rPr>
              <w:t>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After 12</w:t>
            </w:r>
          </w:p>
          <w:p>
            <w:pPr>
              <w:pStyle w:val="TableContents"/>
              <w:bidi w:val="0"/>
              <w:spacing w:before="0" w:after="0"/>
              <w:jc w:val="center"/>
              <w:rPr>
                <w:b/>
                <w:color w:val="000000"/>
              </w:rPr>
            </w:pPr>
            <w:r>
              <w:rPr>
                <w:b/>
                <w:color w:val="000000"/>
              </w:rPr>
              <w:t>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pPr>
            <w:r>
              <w:rPr/>
              <w:t> </w:t>
            </w:r>
          </w:p>
        </w:tc>
      </w:tr>
      <w:tr>
        <w:trPr/>
        <w:tc>
          <w:tcPr>
            <w:tcW w:w="105" w:type="dxa"/>
            <w:tcBorders/>
            <w:vAlign w:val="bottom"/>
          </w:tcPr>
          <w:p>
            <w:pPr>
              <w:pStyle w:val="TableContents"/>
              <w:bidi w:val="0"/>
              <w:spacing w:before="0" w:after="283"/>
              <w:jc w:val="left"/>
              <w:rPr/>
            </w:pPr>
            <w:r>
              <w:rPr/>
              <w:t> </w:t>
            </w:r>
          </w:p>
        </w:tc>
        <w:tc>
          <w:tcPr>
            <w:tcW w:w="5951" w:type="dxa"/>
            <w:gridSpan w:val="18"/>
            <w:tcBorders/>
            <w:vAlign w:val="bottom"/>
          </w:tcPr>
          <w:p>
            <w:pPr>
              <w:pStyle w:val="TableContents"/>
              <w:bidi w:val="0"/>
              <w:spacing w:before="0" w:after="0"/>
              <w:jc w:val="center"/>
              <w:rPr>
                <w:b/>
                <w:color w:val="000000"/>
              </w:rPr>
            </w:pPr>
            <w:r>
              <w:rPr>
                <w:b/>
                <w:color w:val="000000"/>
              </w:rPr>
              <w:t>(Dollars in thousands)</w:t>
            </w:r>
          </w:p>
        </w:tc>
        <w:tc>
          <w:tcPr>
            <w:tcW w:w="135" w:type="dxa"/>
            <w:tcBorders/>
            <w:vAlign w:val="bottom"/>
          </w:tcPr>
          <w:p>
            <w:pPr>
              <w:pStyle w:val="TableContents"/>
              <w:bidi w:val="0"/>
              <w:spacing w:before="0" w:after="283"/>
              <w:jc w:val="left"/>
              <w:rPr/>
            </w:pPr>
            <w:r>
              <w:rPr/>
              <w:t> </w:t>
            </w:r>
          </w:p>
        </w:tc>
      </w:tr>
      <w:tr>
        <w:trPr/>
        <w:tc>
          <w:tcPr>
            <w:tcW w:w="10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1214" w:type="dxa"/>
            <w:tcBorders/>
            <w:shd w:fill="CCEEFF" w:val="clear"/>
            <w:vAlign w:val="bottom"/>
          </w:tcPr>
          <w:p>
            <w:pPr>
              <w:pStyle w:val="TableContents"/>
              <w:bidi w:val="0"/>
              <w:spacing w:before="0" w:after="0"/>
              <w:jc w:val="right"/>
              <w:rPr>
                <w:color w:val="000000"/>
              </w:rPr>
            </w:pPr>
            <w:r>
              <w:rPr>
                <w:color w:val="000000"/>
              </w:rPr>
              <w:t>86,922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742" w:type="dxa"/>
            <w:tcBorders/>
            <w:shd w:fill="CCEEFF" w:val="clear"/>
            <w:vAlign w:val="bottom"/>
          </w:tcPr>
          <w:p>
            <w:pPr>
              <w:pStyle w:val="TableContents"/>
              <w:bidi w:val="0"/>
              <w:spacing w:before="0" w:after="0"/>
              <w:jc w:val="right"/>
              <w:rPr>
                <w:color w:val="000000"/>
              </w:rPr>
            </w:pPr>
            <w:r>
              <w:rPr>
                <w:color w:val="000000"/>
              </w:rPr>
              <w:t>40,757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742" w:type="dxa"/>
            <w:tcBorders/>
            <w:shd w:fill="CCEEFF" w:val="clear"/>
            <w:vAlign w:val="bottom"/>
          </w:tcPr>
          <w:p>
            <w:pPr>
              <w:pStyle w:val="TableContents"/>
              <w:bidi w:val="0"/>
              <w:spacing w:before="0" w:after="0"/>
              <w:jc w:val="right"/>
              <w:rPr>
                <w:color w:val="000000"/>
              </w:rPr>
            </w:pPr>
            <w:r>
              <w:rPr>
                <w:color w:val="000000"/>
              </w:rPr>
              <w:t>42,466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color w:val="000000"/>
              </w:rPr>
            </w:pPr>
            <w:r>
              <w:rPr>
                <w:color w:val="000000"/>
              </w:rPr>
              <w:t>$</w:t>
            </w:r>
          </w:p>
        </w:tc>
        <w:tc>
          <w:tcPr>
            <w:tcW w:w="691" w:type="dxa"/>
            <w:tcBorders/>
            <w:shd w:fill="CCEEFF" w:val="clear"/>
            <w:vAlign w:val="bottom"/>
          </w:tcPr>
          <w:p>
            <w:pPr>
              <w:pStyle w:val="TableContents"/>
              <w:bidi w:val="0"/>
              <w:spacing w:before="0" w:after="0"/>
              <w:jc w:val="right"/>
              <w:rPr>
                <w:color w:val="000000"/>
              </w:rPr>
            </w:pPr>
            <w:r>
              <w:rPr>
                <w:color w:val="000000"/>
              </w:rPr>
              <w:t>7,676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177,821</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estimated amount of uninsured deposits as of June 30, 2026 was $1.73 billion. This represented approximately 37% of total deposits and excludes $375.9 million of collateralized public fund deposits.</w:t>
      </w:r>
    </w:p>
    <w:p>
      <w:pPr>
        <w:pStyle w:val="TextBody"/>
        <w:bidi w:val="0"/>
        <w:spacing w:before="0" w:after="0"/>
        <w:jc w:val="both"/>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Borrowed Funds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deposits, we may utilize advances from the FHLB and other borrowings as a supplementary funding source to finance our operations.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FHLB Advances</w:t>
      </w:r>
      <w:r>
        <w:rPr>
          <w:rFonts w:ascii="Times New Roman" w:hAnsi="Times New Roman"/>
          <w:color w:val="000000"/>
          <w:sz w:val="20"/>
          <w:shd w:fill="FFFFFF" w:val="clear"/>
        </w:rPr>
        <w:t>. The FHLB allows us to borrow, both short and long-term, on a blanket floating lien status collateralized by first mortgage loans and commercial real estate loans as well as FHLB stock. At June 30, 2026 and December 31, 2025, we had total remaining borrowing capacity from the FHLB of $1.32 billion and $1.27 billion, respectively, with no outstanding balance. There were $15 million in FHLB advances assumed in the acquisition of BOH. These advances had a weighted-average interest rate of 3.89% and were repaid in May of 2026. We had no other FHLB borrowings during the three and six months ended June 30, 2026 or 2025.</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may use FHLB letters of credit to pledge to certain public deposits. There was no outstanding balance of FHLB letters of credit at June 30, 2026 and December 31, 2025.</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Federal Reserve Bank of Dallas</w:t>
      </w:r>
      <w:r>
        <w:rPr>
          <w:rFonts w:ascii="Times New Roman" w:hAnsi="Times New Roman"/>
          <w:color w:val="000000"/>
          <w:sz w:val="20"/>
          <w:shd w:fill="FFFFFF" w:val="clear"/>
        </w:rPr>
        <w:t>. The Bank has a line of credit with the Federal Reserve Bank of Dallas (the “FRB”). The amount of the line is determined on a monthly basis by the FRB. The line is collateralized by a blanket floating lien on all agriculture, commercial and consumer loans. The amount of the line was $788.7 million and $659.7 million at June 30, 2026 and December 31, 2025, respectively, with no outstanding balance. We had no FRB borrowings during the three and six months ended June 30, 2026 or 2025.</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Lines of Credit</w:t>
      </w:r>
      <w:r>
        <w:rPr>
          <w:rFonts w:ascii="Times New Roman" w:hAnsi="Times New Roman"/>
          <w:color w:val="000000"/>
          <w:sz w:val="20"/>
          <w:shd w:fill="FFFFFF" w:val="clear"/>
        </w:rPr>
        <w:t>. The Bank has uncollateralized lines of credit with multiple banks as a source of funding for liquidity management. The total amount of the lines was $140.0 million as of June 30, 2026 and December 31, 2025, with no outstanding balance. The lines were not used, other than overnight testing, during the three and six months ended June 30, 2026 or 2025.</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Subordinated Debt</w:t>
      </w:r>
      <w:r>
        <w:rPr>
          <w:rFonts w:ascii="Times New Roman" w:hAnsi="Times New Roman"/>
          <w:color w:val="000000"/>
          <w:sz w:val="20"/>
          <w:shd w:fill="FFFFFF" w:val="clear"/>
        </w:rPr>
        <w:t xml:space="preserve">. In December 2018, the Company issued $14.1 million of subordinated notes that have a maturity date of December 2030 and a weighted-average fixed rate of 6.41% for the first seven years. After the fixed rate period expired, these notes float at the </w:t>
      </w:r>
      <w:r>
        <w:rPr>
          <w:rFonts w:ascii="Times New Roman" w:hAnsi="Times New Roman"/>
          <w:i/>
          <w:color w:val="000000"/>
          <w:sz w:val="20"/>
          <w:shd w:fill="FFFFFF" w:val="clear"/>
        </w:rPr>
        <w:t>Wall Street Journal</w:t>
      </w:r>
      <w:r>
        <w:rPr>
          <w:rFonts w:ascii="Times New Roman" w:hAnsi="Times New Roman"/>
          <w:color w:val="000000"/>
          <w:sz w:val="20"/>
          <w:shd w:fill="FFFFFF" w:val="clear"/>
        </w:rPr>
        <w:t xml:space="preserve"> prime rate, with a floor of 4.0% and a ceiling of 7.5%, resulting in a rate of 6.75% as of June 30, 2026. These notes pay interest quarterly, are unsecured, and may be called by the Company at any time after the remaining maturity is five years or less. Additionally, these notes are intended to qualify for Tier 2 capital treatment, subject to regulatory limitations. As of June 30, 2026, the total amount of subordinated debt outstanding was $14.1 million.</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Junior Subordinated Deferrable Interest Debentures and Trust Preferred Securities</w:t>
      </w:r>
      <w:r>
        <w:rPr>
          <w:rFonts w:ascii="Times New Roman" w:hAnsi="Times New Roman"/>
          <w:color w:val="000000"/>
          <w:sz w:val="20"/>
          <w:shd w:fill="FFFFFF" w:val="clear"/>
        </w:rPr>
        <w:t>. Between March 2004 and June 2007, the 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consolidated balance sheets. The Company records interest expense on the debentures in its consolidated financial statements. The amount of debentures outstanding was $46.4 million at June 30, 2026 and December 31, 2025.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chart below indicates certain information, as of June 30, 2026,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and the interest rates on the junior subordinated deferrable interest debentures.</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9" w:name="z4dbc2acf9d3242309043790c9127252e"/>
      <w:bookmarkStart w:id="240" w:name="z4dbc2acf9d3242309043790c9127252e"/>
      <w:bookmarkEnd w:id="240"/>
    </w:p>
    <w:tbl>
      <w:tblPr>
        <w:tblW w:w="10205" w:type="dxa"/>
        <w:jc w:val="left"/>
        <w:tblInd w:w="0" w:type="dxa"/>
        <w:tblLayout w:type="fixed"/>
        <w:tblCellMar>
          <w:top w:w="0" w:type="dxa"/>
          <w:left w:w="0" w:type="dxa"/>
          <w:bottom w:w="28" w:type="dxa"/>
          <w:right w:w="0" w:type="dxa"/>
        </w:tblCellMar>
      </w:tblPr>
      <w:tblGrid>
        <w:gridCol w:w="963"/>
        <w:gridCol w:w="686"/>
        <w:gridCol w:w="90"/>
        <w:gridCol w:w="326"/>
        <w:gridCol w:w="1371"/>
        <w:gridCol w:w="90"/>
        <w:gridCol w:w="90"/>
        <w:gridCol w:w="286"/>
        <w:gridCol w:w="1202"/>
        <w:gridCol w:w="90"/>
        <w:gridCol w:w="90"/>
        <w:gridCol w:w="383"/>
        <w:gridCol w:w="2273"/>
        <w:gridCol w:w="90"/>
        <w:gridCol w:w="2175"/>
      </w:tblGrid>
      <w:tr>
        <w:trPr/>
        <w:tc>
          <w:tcPr>
            <w:tcW w:w="963" w:type="dxa"/>
            <w:tcBorders>
              <w:bottom w:val="single" w:sz="12" w:space="0" w:color="000000"/>
            </w:tcBorders>
            <w:vAlign w:val="bottom"/>
          </w:tcPr>
          <w:p>
            <w:pPr>
              <w:pStyle w:val="TableContents"/>
              <w:bidi w:val="0"/>
              <w:spacing w:before="0" w:after="0"/>
              <w:jc w:val="center"/>
              <w:rPr>
                <w:b/>
                <w:color w:val="000000"/>
              </w:rPr>
            </w:pPr>
            <w:r>
              <w:rPr>
                <w:b/>
                <w:color w:val="000000"/>
              </w:rPr>
              <w:t>Name of Trust</w:t>
            </w:r>
          </w:p>
        </w:tc>
        <w:tc>
          <w:tcPr>
            <w:tcW w:w="686" w:type="dxa"/>
            <w:tcBorders>
              <w:bottom w:val="single" w:sz="12" w:space="0" w:color="000000"/>
            </w:tcBorders>
            <w:vAlign w:val="bottom"/>
          </w:tcPr>
          <w:p>
            <w:pPr>
              <w:pStyle w:val="TableContents"/>
              <w:bidi w:val="0"/>
              <w:spacing w:before="0" w:after="0"/>
              <w:jc w:val="center"/>
              <w:rPr>
                <w:b/>
                <w:color w:val="000000"/>
              </w:rPr>
            </w:pPr>
            <w:r>
              <w:rPr>
                <w:b/>
                <w:color w:val="000000"/>
              </w:rPr>
              <w:t>Issue Date</w:t>
            </w:r>
          </w:p>
        </w:tc>
        <w:tc>
          <w:tcPr>
            <w:tcW w:w="90" w:type="dxa"/>
            <w:tcBorders/>
            <w:tcMar>
              <w:bottom w:w="0" w:type="dxa"/>
            </w:tcMar>
            <w:vAlign w:val="bottom"/>
          </w:tcPr>
          <w:p>
            <w:pPr>
              <w:pStyle w:val="TableContents"/>
              <w:bidi w:val="0"/>
              <w:spacing w:before="0" w:after="283"/>
              <w:jc w:val="left"/>
              <w:rPr/>
            </w:pPr>
            <w:r>
              <w:rPr/>
              <w:t> </w:t>
            </w:r>
          </w:p>
        </w:tc>
        <w:tc>
          <w:tcPr>
            <w:tcW w:w="1697" w:type="dxa"/>
            <w:gridSpan w:val="2"/>
            <w:tcBorders>
              <w:bottom w:val="single" w:sz="12" w:space="0" w:color="000000"/>
            </w:tcBorders>
            <w:vAlign w:val="bottom"/>
          </w:tcPr>
          <w:p>
            <w:pPr>
              <w:pStyle w:val="TableContents"/>
              <w:bidi w:val="0"/>
              <w:spacing w:before="0" w:after="0"/>
              <w:jc w:val="center"/>
              <w:rPr>
                <w:b/>
                <w:color w:val="000000"/>
              </w:rPr>
            </w:pPr>
            <w:r>
              <w:rPr>
                <w:b/>
                <w:color w:val="000000"/>
              </w:rPr>
              <w:t>Amount of Trust Preferred Securities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488" w:type="dxa"/>
            <w:gridSpan w:val="2"/>
            <w:tcBorders>
              <w:bottom w:val="single" w:sz="12" w:space="0" w:color="000000"/>
            </w:tcBorders>
            <w:vAlign w:val="bottom"/>
          </w:tcPr>
          <w:p>
            <w:pPr>
              <w:pStyle w:val="TableContents"/>
              <w:bidi w:val="0"/>
              <w:spacing w:before="0" w:after="0"/>
              <w:jc w:val="center"/>
              <w:rPr>
                <w:b/>
                <w:color w:val="000000"/>
              </w:rPr>
            </w:pPr>
            <w:r>
              <w:rPr>
                <w:b/>
                <w:color w:val="000000"/>
              </w:rPr>
              <w:t>Amount of Debentures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656" w:type="dxa"/>
            <w:gridSpan w:val="2"/>
            <w:tcBorders>
              <w:bottom w:val="single" w:sz="12" w:space="0" w:color="000000"/>
            </w:tcBorders>
            <w:vAlign w:val="bottom"/>
          </w:tcPr>
          <w:p>
            <w:pPr>
              <w:pStyle w:val="TableContents"/>
              <w:bidi w:val="0"/>
              <w:spacing w:lineRule="auto" w:line="240" w:before="0" w:after="0"/>
              <w:jc w:val="center"/>
              <w:rPr>
                <w:b/>
                <w:color w:val="000000"/>
              </w:rPr>
            </w:pPr>
            <w:r>
              <w:rPr>
                <w:b/>
                <w:color w:val="000000"/>
              </w:rPr>
              <w:t>Stated Maturity Date of Trust Preferred Securities and Debentures(1)</w:t>
            </w:r>
          </w:p>
        </w:tc>
        <w:tc>
          <w:tcPr>
            <w:tcW w:w="90" w:type="dxa"/>
            <w:tcBorders/>
            <w:tcMar>
              <w:bottom w:w="0" w:type="dxa"/>
            </w:tcMar>
            <w:vAlign w:val="bottom"/>
          </w:tcPr>
          <w:p>
            <w:pPr>
              <w:pStyle w:val="TableContents"/>
              <w:bidi w:val="0"/>
              <w:spacing w:before="0" w:after="283"/>
              <w:jc w:val="left"/>
              <w:rPr/>
            </w:pPr>
            <w:r>
              <w:rPr/>
              <w:t> </w:t>
            </w:r>
          </w:p>
        </w:tc>
        <w:tc>
          <w:tcPr>
            <w:tcW w:w="2175" w:type="dxa"/>
            <w:tcBorders>
              <w:bottom w:val="single" w:sz="12" w:space="0" w:color="000000"/>
            </w:tcBorders>
            <w:vAlign w:val="bottom"/>
          </w:tcPr>
          <w:p>
            <w:pPr>
              <w:pStyle w:val="TableContents"/>
              <w:bidi w:val="0"/>
              <w:spacing w:before="0" w:after="0"/>
              <w:jc w:val="center"/>
              <w:rPr>
                <w:b/>
                <w:color w:val="000000"/>
              </w:rPr>
            </w:pPr>
            <w:r>
              <w:rPr>
                <w:b/>
                <w:color w:val="000000"/>
              </w:rPr>
              <w:t xml:space="preserve">Interest Rate of Trust Preferred Securities and </w:t>
            </w:r>
          </w:p>
          <w:p>
            <w:pPr>
              <w:pStyle w:val="TableContents"/>
              <w:bidi w:val="0"/>
              <w:spacing w:lineRule="auto" w:line="240" w:before="0" w:after="0"/>
              <w:jc w:val="center"/>
              <w:rPr>
                <w:b/>
                <w:color w:val="000000"/>
              </w:rPr>
            </w:pPr>
            <w:r>
              <w:rPr>
                <w:b/>
                <w:color w:val="000000"/>
              </w:rPr>
              <w:t>Debentures(2)(3)</w:t>
            </w:r>
          </w:p>
        </w:tc>
      </w:tr>
      <w:tr>
        <w:trPr/>
        <w:tc>
          <w:tcPr>
            <w:tcW w:w="963" w:type="dxa"/>
            <w:tcBorders/>
            <w:tcMar>
              <w:bottom w:w="0" w:type="dxa"/>
            </w:tcMar>
            <w:vAlign w:val="bottom"/>
          </w:tcPr>
          <w:p>
            <w:pPr>
              <w:pStyle w:val="TableContents"/>
              <w:bidi w:val="0"/>
              <w:spacing w:before="0" w:after="283"/>
              <w:jc w:val="left"/>
              <w:rPr/>
            </w:pPr>
            <w:r>
              <w:rPr/>
              <w:t> </w:t>
            </w:r>
          </w:p>
        </w:tc>
        <w:tc>
          <w:tcPr>
            <w:tcW w:w="6977" w:type="dxa"/>
            <w:gridSpan w:val="12"/>
            <w:tcBorders/>
            <w:tcMar>
              <w:bottom w:w="0" w:type="dxa"/>
            </w:tcMar>
            <w:vAlign w:val="bottom"/>
          </w:tcPr>
          <w:p>
            <w:pPr>
              <w:pStyle w:val="TableContents"/>
              <w:bidi w:val="0"/>
              <w:spacing w:before="0" w:after="0"/>
              <w:jc w:val="center"/>
              <w:rPr>
                <w:b/>
                <w:color w:val="000000"/>
              </w:rPr>
            </w:pPr>
            <w:r>
              <w:rPr>
                <w:b/>
                <w:color w:val="000000"/>
              </w:rPr>
              <w:t>(Dollars in thousands)</w:t>
            </w:r>
          </w:p>
        </w:tc>
        <w:tc>
          <w:tcPr>
            <w:tcW w:w="90" w:type="dxa"/>
            <w:tcBorders/>
            <w:tcMar>
              <w:bottom w:w="0" w:type="dxa"/>
            </w:tcMar>
            <w:vAlign w:val="bottom"/>
          </w:tcPr>
          <w:p>
            <w:pPr>
              <w:pStyle w:val="TableContents"/>
              <w:bidi w:val="0"/>
              <w:spacing w:before="0" w:after="283"/>
              <w:jc w:val="left"/>
              <w:rPr/>
            </w:pPr>
            <w:r>
              <w:rPr/>
              <w:t> </w:t>
            </w:r>
          </w:p>
        </w:tc>
        <w:tc>
          <w:tcPr>
            <w:tcW w:w="2175" w:type="dxa"/>
            <w:tcBorders/>
            <w:tcMar>
              <w:bottom w:w="0" w:type="dxa"/>
            </w:tcMar>
            <w:vAlign w:val="bottom"/>
          </w:tcPr>
          <w:p>
            <w:pPr>
              <w:pStyle w:val="TableContents"/>
              <w:bidi w:val="0"/>
              <w:spacing w:before="0" w:after="283"/>
              <w:jc w:val="left"/>
              <w:rPr/>
            </w:pPr>
            <w:r>
              <w:rPr/>
              <w:t> </w:t>
            </w:r>
          </w:p>
        </w:tc>
      </w:tr>
      <w:tr>
        <w:trPr/>
        <w:tc>
          <w:tcPr>
            <w:tcW w:w="963" w:type="dxa"/>
            <w:tcBorders/>
            <w:shd w:fill="CCEEFF" w:val="clear"/>
            <w:tcMar>
              <w:bottom w:w="0" w:type="dxa"/>
            </w:tcMar>
            <w:vAlign w:val="bottom"/>
          </w:tcPr>
          <w:p>
            <w:pPr>
              <w:pStyle w:val="TableContents"/>
              <w:bidi w:val="0"/>
              <w:spacing w:before="0" w:after="0"/>
              <w:jc w:val="left"/>
              <w:rPr>
                <w:color w:val="000000"/>
              </w:rPr>
            </w:pPr>
            <w:r>
              <w:rPr>
                <w:color w:val="000000"/>
              </w:rPr>
              <w:t>SPFCT III</w:t>
            </w:r>
          </w:p>
        </w:tc>
        <w:tc>
          <w:tcPr>
            <w:tcW w:w="686" w:type="dxa"/>
            <w:tcBorders/>
            <w:shd w:fill="CCEEFF" w:val="clear"/>
            <w:tcMar>
              <w:bottom w:w="0" w:type="dxa"/>
            </w:tcMar>
            <w:vAlign w:val="bottom"/>
          </w:tcPr>
          <w:p>
            <w:pPr>
              <w:pStyle w:val="TableContents"/>
              <w:bidi w:val="0"/>
              <w:spacing w:before="0" w:after="0"/>
              <w:jc w:val="center"/>
              <w:rPr>
                <w:color w:val="000000"/>
              </w:rPr>
            </w:pPr>
            <w:r>
              <w:rPr>
                <w:color w:val="000000"/>
              </w:rPr>
              <w:t>2004</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6"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371" w:type="dxa"/>
            <w:tcBorders/>
            <w:shd w:fill="CCEEFF" w:val="clear"/>
            <w:tcMar>
              <w:bottom w:w="0" w:type="dxa"/>
            </w:tcMar>
            <w:vAlign w:val="bottom"/>
          </w:tcPr>
          <w:p>
            <w:pPr>
              <w:pStyle w:val="TableContents"/>
              <w:bidi w:val="0"/>
              <w:spacing w:before="0" w:after="0"/>
              <w:jc w:val="right"/>
              <w:rPr>
                <w:color w:val="000000"/>
              </w:rPr>
            </w:pPr>
            <w:r>
              <w:rPr>
                <w:color w:val="000000"/>
              </w:rPr>
              <w:t>10,000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86"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202" w:type="dxa"/>
            <w:tcBorders/>
            <w:shd w:fill="CCEEFF" w:val="clear"/>
            <w:tcMar>
              <w:bottom w:w="0" w:type="dxa"/>
            </w:tcMar>
            <w:vAlign w:val="bottom"/>
          </w:tcPr>
          <w:p>
            <w:pPr>
              <w:pStyle w:val="TableContents"/>
              <w:bidi w:val="0"/>
              <w:spacing w:before="0" w:after="0"/>
              <w:jc w:val="right"/>
              <w:rPr>
                <w:color w:val="000000"/>
              </w:rPr>
            </w:pPr>
            <w:r>
              <w:rPr>
                <w:color w:val="000000"/>
              </w:rPr>
              <w:t>10,310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83" w:type="dxa"/>
            <w:tcBorders/>
            <w:shd w:fill="CCEEFF" w:val="clear"/>
            <w:tcMar>
              <w:bottom w:w="0" w:type="dxa"/>
            </w:tcMar>
            <w:vAlign w:val="bottom"/>
          </w:tcPr>
          <w:p>
            <w:pPr>
              <w:pStyle w:val="TableContents"/>
              <w:bidi w:val="0"/>
              <w:spacing w:before="0" w:after="283"/>
              <w:jc w:val="left"/>
              <w:rPr/>
            </w:pPr>
            <w:r>
              <w:rPr/>
              <w:t> </w:t>
            </w:r>
          </w:p>
        </w:tc>
        <w:tc>
          <w:tcPr>
            <w:tcW w:w="2273" w:type="dxa"/>
            <w:tcBorders/>
            <w:shd w:fill="CCEEFF" w:val="clear"/>
            <w:tcMar>
              <w:bottom w:w="0" w:type="dxa"/>
            </w:tcMar>
            <w:vAlign w:val="bottom"/>
          </w:tcPr>
          <w:p>
            <w:pPr>
              <w:pStyle w:val="TableContents"/>
              <w:bidi w:val="0"/>
              <w:spacing w:before="0" w:after="0"/>
              <w:jc w:val="right"/>
              <w:rPr>
                <w:color w:val="000000"/>
              </w:rPr>
            </w:pPr>
            <w:r>
              <w:rPr>
                <w:color w:val="000000"/>
              </w:rPr>
              <w:t>2034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75" w:type="dxa"/>
            <w:tcBorders/>
            <w:shd w:fill="CCEEFF" w:val="clear"/>
            <w:tcMar>
              <w:bottom w:w="0" w:type="dxa"/>
            </w:tcMar>
            <w:vAlign w:val="bottom"/>
          </w:tcPr>
          <w:p>
            <w:pPr>
              <w:pStyle w:val="TableContents"/>
              <w:bidi w:val="0"/>
              <w:spacing w:before="0" w:after="0"/>
              <w:jc w:val="center"/>
              <w:rPr>
                <w:color w:val="000000"/>
              </w:rPr>
            </w:pPr>
            <w:r>
              <w:rPr>
                <w:color w:val="000000"/>
              </w:rPr>
              <w:t>3-mo. CME Term SOFR + 291 bps; 6.58%</w:t>
            </w:r>
          </w:p>
        </w:tc>
      </w:tr>
      <w:tr>
        <w:trPr/>
        <w:tc>
          <w:tcPr>
            <w:tcW w:w="963" w:type="dxa"/>
            <w:tcBorders/>
            <w:tcMar>
              <w:bottom w:w="0" w:type="dxa"/>
            </w:tcMar>
            <w:vAlign w:val="bottom"/>
          </w:tcPr>
          <w:p>
            <w:pPr>
              <w:pStyle w:val="TableContents"/>
              <w:bidi w:val="0"/>
              <w:spacing w:before="0" w:after="0"/>
              <w:jc w:val="left"/>
              <w:rPr>
                <w:color w:val="000000"/>
              </w:rPr>
            </w:pPr>
            <w:r>
              <w:rPr>
                <w:color w:val="000000"/>
              </w:rPr>
              <w:t>SPFCT IV</w:t>
            </w:r>
          </w:p>
        </w:tc>
        <w:tc>
          <w:tcPr>
            <w:tcW w:w="686" w:type="dxa"/>
            <w:tcBorders/>
            <w:tcMar>
              <w:bottom w:w="0" w:type="dxa"/>
            </w:tcMar>
            <w:vAlign w:val="bottom"/>
          </w:tcPr>
          <w:p>
            <w:pPr>
              <w:pStyle w:val="TableContents"/>
              <w:bidi w:val="0"/>
              <w:spacing w:before="0" w:after="0"/>
              <w:jc w:val="center"/>
              <w:rPr>
                <w:color w:val="000000"/>
              </w:rPr>
            </w:pPr>
            <w:r>
              <w:rPr>
                <w:color w:val="000000"/>
              </w:rPr>
              <w:t>2005</w:t>
            </w:r>
          </w:p>
        </w:tc>
        <w:tc>
          <w:tcPr>
            <w:tcW w:w="90" w:type="dxa"/>
            <w:tcBorders/>
            <w:tcMar>
              <w:bottom w:w="0" w:type="dxa"/>
            </w:tcMar>
            <w:vAlign w:val="bottom"/>
          </w:tcPr>
          <w:p>
            <w:pPr>
              <w:pStyle w:val="TableContents"/>
              <w:bidi w:val="0"/>
              <w:spacing w:before="0" w:after="283"/>
              <w:jc w:val="left"/>
              <w:rPr/>
            </w:pPr>
            <w:r>
              <w:rPr/>
              <w:t> </w:t>
            </w:r>
          </w:p>
        </w:tc>
        <w:tc>
          <w:tcPr>
            <w:tcW w:w="326" w:type="dxa"/>
            <w:tcBorders/>
            <w:tcMar>
              <w:bottom w:w="0" w:type="dxa"/>
            </w:tcMar>
            <w:vAlign w:val="bottom"/>
          </w:tcPr>
          <w:p>
            <w:pPr>
              <w:pStyle w:val="TableContents"/>
              <w:bidi w:val="0"/>
              <w:spacing w:before="0" w:after="283"/>
              <w:jc w:val="left"/>
              <w:rPr/>
            </w:pPr>
            <w:r>
              <w:rPr/>
              <w:t> </w:t>
            </w:r>
          </w:p>
        </w:tc>
        <w:tc>
          <w:tcPr>
            <w:tcW w:w="1371" w:type="dxa"/>
            <w:tcBorders/>
            <w:tcMar>
              <w:bottom w:w="0" w:type="dxa"/>
            </w:tcMar>
            <w:vAlign w:val="bottom"/>
          </w:tcPr>
          <w:p>
            <w:pPr>
              <w:pStyle w:val="TableContents"/>
              <w:bidi w:val="0"/>
              <w:spacing w:before="0" w:after="0"/>
              <w:jc w:val="right"/>
              <w:rPr>
                <w:color w:val="000000"/>
              </w:rPr>
            </w:pPr>
            <w:r>
              <w:rPr>
                <w:color w:val="000000"/>
              </w:rPr>
              <w:t>20,000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86" w:type="dxa"/>
            <w:tcBorders/>
            <w:tcMar>
              <w:bottom w:w="0" w:type="dxa"/>
            </w:tcMar>
            <w:vAlign w:val="bottom"/>
          </w:tcPr>
          <w:p>
            <w:pPr>
              <w:pStyle w:val="TableContents"/>
              <w:bidi w:val="0"/>
              <w:spacing w:before="0" w:after="283"/>
              <w:jc w:val="left"/>
              <w:rPr/>
            </w:pPr>
            <w:r>
              <w:rPr/>
              <w:t> </w:t>
            </w:r>
          </w:p>
        </w:tc>
        <w:tc>
          <w:tcPr>
            <w:tcW w:w="1202" w:type="dxa"/>
            <w:tcBorders/>
            <w:tcMar>
              <w:bottom w:w="0" w:type="dxa"/>
            </w:tcMar>
            <w:vAlign w:val="bottom"/>
          </w:tcPr>
          <w:p>
            <w:pPr>
              <w:pStyle w:val="TableContents"/>
              <w:bidi w:val="0"/>
              <w:spacing w:before="0" w:after="0"/>
              <w:jc w:val="right"/>
              <w:rPr>
                <w:color w:val="000000"/>
              </w:rPr>
            </w:pPr>
            <w:r>
              <w:rPr>
                <w:color w:val="000000"/>
              </w:rPr>
              <w:t>20,619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83" w:type="dxa"/>
            <w:tcBorders/>
            <w:tcMar>
              <w:bottom w:w="0" w:type="dxa"/>
            </w:tcMar>
            <w:vAlign w:val="bottom"/>
          </w:tcPr>
          <w:p>
            <w:pPr>
              <w:pStyle w:val="TableContents"/>
              <w:bidi w:val="0"/>
              <w:spacing w:before="0" w:after="283"/>
              <w:jc w:val="left"/>
              <w:rPr/>
            </w:pPr>
            <w:r>
              <w:rPr/>
              <w:t> </w:t>
            </w:r>
          </w:p>
        </w:tc>
        <w:tc>
          <w:tcPr>
            <w:tcW w:w="2273" w:type="dxa"/>
            <w:tcBorders/>
            <w:tcMar>
              <w:bottom w:w="0" w:type="dxa"/>
            </w:tcMar>
            <w:vAlign w:val="bottom"/>
          </w:tcPr>
          <w:p>
            <w:pPr>
              <w:pStyle w:val="TableContents"/>
              <w:bidi w:val="0"/>
              <w:spacing w:before="0" w:after="0"/>
              <w:jc w:val="right"/>
              <w:rPr>
                <w:color w:val="000000"/>
              </w:rPr>
            </w:pPr>
            <w:r>
              <w:rPr>
                <w:color w:val="000000"/>
              </w:rPr>
              <w:t>2035</w:t>
            </w:r>
          </w:p>
        </w:tc>
        <w:tc>
          <w:tcPr>
            <w:tcW w:w="90" w:type="dxa"/>
            <w:tcBorders/>
            <w:tcMar>
              <w:bottom w:w="0" w:type="dxa"/>
            </w:tcMar>
            <w:vAlign w:val="bottom"/>
          </w:tcPr>
          <w:p>
            <w:pPr>
              <w:pStyle w:val="TableContents"/>
              <w:bidi w:val="0"/>
              <w:spacing w:before="0" w:after="283"/>
              <w:jc w:val="left"/>
              <w:rPr/>
            </w:pPr>
            <w:r>
              <w:rPr/>
              <w:t> </w:t>
            </w:r>
          </w:p>
        </w:tc>
        <w:tc>
          <w:tcPr>
            <w:tcW w:w="2175" w:type="dxa"/>
            <w:tcBorders/>
            <w:tcMar>
              <w:bottom w:w="0" w:type="dxa"/>
            </w:tcMar>
            <w:vAlign w:val="bottom"/>
          </w:tcPr>
          <w:p>
            <w:pPr>
              <w:pStyle w:val="TableContents"/>
              <w:bidi w:val="0"/>
              <w:spacing w:before="0" w:after="0"/>
              <w:jc w:val="center"/>
              <w:rPr>
                <w:color w:val="000000"/>
              </w:rPr>
            </w:pPr>
            <w:r>
              <w:rPr>
                <w:color w:val="000000"/>
              </w:rPr>
              <w:t>3-mo. CME Term SOFR + 165 bps; 5.33%</w:t>
            </w:r>
          </w:p>
        </w:tc>
      </w:tr>
      <w:tr>
        <w:trPr/>
        <w:tc>
          <w:tcPr>
            <w:tcW w:w="963" w:type="dxa"/>
            <w:tcBorders/>
            <w:shd w:fill="CCEEFF" w:val="clear"/>
            <w:tcMar>
              <w:bottom w:w="0" w:type="dxa"/>
            </w:tcMar>
            <w:vAlign w:val="bottom"/>
          </w:tcPr>
          <w:p>
            <w:pPr>
              <w:pStyle w:val="TableContents"/>
              <w:bidi w:val="0"/>
              <w:spacing w:before="0" w:after="0"/>
              <w:jc w:val="left"/>
              <w:rPr>
                <w:color w:val="000000"/>
              </w:rPr>
            </w:pPr>
            <w:r>
              <w:rPr>
                <w:color w:val="000000"/>
              </w:rPr>
              <w:t>SPFCT V</w:t>
            </w:r>
          </w:p>
        </w:tc>
        <w:tc>
          <w:tcPr>
            <w:tcW w:w="686" w:type="dxa"/>
            <w:tcBorders/>
            <w:shd w:fill="CCEEFF" w:val="clear"/>
            <w:tcMar>
              <w:bottom w:w="0" w:type="dxa"/>
            </w:tcMar>
            <w:vAlign w:val="bottom"/>
          </w:tcPr>
          <w:p>
            <w:pPr>
              <w:pStyle w:val="TableContents"/>
              <w:bidi w:val="0"/>
              <w:spacing w:before="0" w:after="0"/>
              <w:jc w:val="center"/>
              <w:rPr>
                <w:color w:val="000000"/>
              </w:rPr>
            </w:pPr>
            <w:r>
              <w:rPr>
                <w:color w:val="000000"/>
              </w:rPr>
              <w:t>2007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326" w:type="dxa"/>
            <w:tcBorders>
              <w:bottom w:val="single" w:sz="12" w:space="0" w:color="000000"/>
            </w:tcBorders>
            <w:shd w:fill="CCEEFF" w:val="clear"/>
            <w:vAlign w:val="bottom"/>
          </w:tcPr>
          <w:p>
            <w:pPr>
              <w:pStyle w:val="TableContents"/>
              <w:bidi w:val="0"/>
              <w:spacing w:before="0" w:after="283"/>
              <w:jc w:val="left"/>
              <w:rPr/>
            </w:pPr>
            <w:r>
              <w:rPr/>
              <w:t> </w:t>
            </w:r>
          </w:p>
        </w:tc>
        <w:tc>
          <w:tcPr>
            <w:tcW w:w="1371"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15,000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86" w:type="dxa"/>
            <w:tcBorders>
              <w:bottom w:val="single" w:sz="12" w:space="0" w:color="000000"/>
            </w:tcBorders>
            <w:shd w:fill="CCEEFF" w:val="clear"/>
            <w:vAlign w:val="bottom"/>
          </w:tcPr>
          <w:p>
            <w:pPr>
              <w:pStyle w:val="TableContents"/>
              <w:bidi w:val="0"/>
              <w:spacing w:before="0" w:after="283"/>
              <w:jc w:val="left"/>
              <w:rPr/>
            </w:pPr>
            <w:r>
              <w:rPr/>
              <w:t> </w:t>
            </w:r>
          </w:p>
        </w:tc>
        <w:tc>
          <w:tcPr>
            <w:tcW w:w="1202"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15,464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83" w:type="dxa"/>
            <w:tcBorders/>
            <w:shd w:fill="CCEEFF" w:val="clear"/>
            <w:tcMar>
              <w:bottom w:w="0" w:type="dxa"/>
            </w:tcMar>
            <w:vAlign w:val="bottom"/>
          </w:tcPr>
          <w:p>
            <w:pPr>
              <w:pStyle w:val="TableContents"/>
              <w:bidi w:val="0"/>
              <w:spacing w:before="0" w:after="283"/>
              <w:jc w:val="left"/>
              <w:rPr/>
            </w:pPr>
            <w:r>
              <w:rPr/>
              <w:t> </w:t>
            </w:r>
          </w:p>
        </w:tc>
        <w:tc>
          <w:tcPr>
            <w:tcW w:w="2273" w:type="dxa"/>
            <w:tcBorders/>
            <w:shd w:fill="CCEEFF" w:val="clear"/>
            <w:tcMar>
              <w:bottom w:w="0" w:type="dxa"/>
            </w:tcMar>
            <w:vAlign w:val="bottom"/>
          </w:tcPr>
          <w:p>
            <w:pPr>
              <w:pStyle w:val="TableContents"/>
              <w:bidi w:val="0"/>
              <w:spacing w:before="0" w:after="0"/>
              <w:jc w:val="right"/>
              <w:rPr>
                <w:color w:val="000000"/>
              </w:rPr>
            </w:pPr>
            <w:r>
              <w:rPr>
                <w:color w:val="000000"/>
              </w:rPr>
              <w:t>2037</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75" w:type="dxa"/>
            <w:tcBorders/>
            <w:shd w:fill="CCEEFF" w:val="clear"/>
            <w:tcMar>
              <w:bottom w:w="0" w:type="dxa"/>
            </w:tcMar>
            <w:vAlign w:val="bottom"/>
          </w:tcPr>
          <w:p>
            <w:pPr>
              <w:pStyle w:val="TableContents"/>
              <w:bidi w:val="0"/>
              <w:spacing w:before="0" w:after="0"/>
              <w:jc w:val="center"/>
              <w:rPr>
                <w:color w:val="000000"/>
              </w:rPr>
            </w:pPr>
            <w:r>
              <w:rPr>
                <w:color w:val="000000"/>
              </w:rPr>
              <w:t>3-mo. CME Term SOFR + 176 bps; 5.44%</w:t>
            </w:r>
          </w:p>
        </w:tc>
      </w:tr>
      <w:tr>
        <w:trPr/>
        <w:tc>
          <w:tcPr>
            <w:tcW w:w="963" w:type="dxa"/>
            <w:tcBorders/>
            <w:tcMar>
              <w:bottom w:w="0" w:type="dxa"/>
            </w:tcMar>
            <w:vAlign w:val="bottom"/>
          </w:tcPr>
          <w:p>
            <w:pPr>
              <w:pStyle w:val="TableContents"/>
              <w:bidi w:val="0"/>
              <w:spacing w:before="0" w:after="0"/>
              <w:jc w:val="left"/>
              <w:rPr>
                <w:color w:val="000000"/>
              </w:rPr>
            </w:pPr>
            <w:r>
              <w:rPr>
                <w:color w:val="000000"/>
              </w:rPr>
              <w:t>Total</w:t>
            </w:r>
          </w:p>
        </w:tc>
        <w:tc>
          <w:tcPr>
            <w:tcW w:w="686"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26" w:type="dxa"/>
            <w:tcBorders>
              <w:bottom w:val="double" w:sz="8" w:space="0" w:color="000000"/>
            </w:tcBorders>
            <w:vAlign w:val="bottom"/>
          </w:tcPr>
          <w:p>
            <w:pPr>
              <w:pStyle w:val="TableContents"/>
              <w:bidi w:val="0"/>
              <w:spacing w:before="0" w:after="0"/>
              <w:jc w:val="left"/>
              <w:rPr>
                <w:color w:val="000000"/>
              </w:rPr>
            </w:pPr>
            <w:r>
              <w:rPr>
                <w:color w:val="000000"/>
              </w:rPr>
              <w:t>$</w:t>
            </w:r>
          </w:p>
        </w:tc>
        <w:tc>
          <w:tcPr>
            <w:tcW w:w="1371" w:type="dxa"/>
            <w:tcBorders>
              <w:bottom w:val="double" w:sz="8" w:space="0" w:color="000000"/>
            </w:tcBorders>
            <w:vAlign w:val="bottom"/>
          </w:tcPr>
          <w:p>
            <w:pPr>
              <w:pStyle w:val="TableContents"/>
              <w:bidi w:val="0"/>
              <w:spacing w:before="0" w:after="0"/>
              <w:jc w:val="right"/>
              <w:rPr>
                <w:color w:val="000000"/>
              </w:rPr>
            </w:pPr>
            <w:r>
              <w:rPr>
                <w:color w:val="000000"/>
              </w:rPr>
              <w:t>45,000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86" w:type="dxa"/>
            <w:tcBorders>
              <w:bottom w:val="double" w:sz="8" w:space="0" w:color="000000"/>
            </w:tcBorders>
            <w:vAlign w:val="bottom"/>
          </w:tcPr>
          <w:p>
            <w:pPr>
              <w:pStyle w:val="TableContents"/>
              <w:bidi w:val="0"/>
              <w:spacing w:before="0" w:after="0"/>
              <w:jc w:val="left"/>
              <w:rPr>
                <w:color w:val="000000"/>
              </w:rPr>
            </w:pPr>
            <w:r>
              <w:rPr>
                <w:color w:val="000000"/>
              </w:rPr>
              <w:t>$</w:t>
            </w:r>
          </w:p>
        </w:tc>
        <w:tc>
          <w:tcPr>
            <w:tcW w:w="1202" w:type="dxa"/>
            <w:tcBorders>
              <w:bottom w:val="double" w:sz="8" w:space="0" w:color="000000"/>
            </w:tcBorders>
            <w:vAlign w:val="bottom"/>
          </w:tcPr>
          <w:p>
            <w:pPr>
              <w:pStyle w:val="TableContents"/>
              <w:bidi w:val="0"/>
              <w:spacing w:before="0" w:after="0"/>
              <w:jc w:val="right"/>
              <w:rPr>
                <w:color w:val="000000"/>
              </w:rPr>
            </w:pPr>
            <w:r>
              <w:rPr>
                <w:color w:val="000000"/>
              </w:rPr>
              <w:t>46,393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83" w:type="dxa"/>
            <w:tcBorders/>
            <w:tcMar>
              <w:bottom w:w="0" w:type="dxa"/>
            </w:tcMar>
            <w:vAlign w:val="bottom"/>
          </w:tcPr>
          <w:p>
            <w:pPr>
              <w:pStyle w:val="TableContents"/>
              <w:bidi w:val="0"/>
              <w:spacing w:before="0" w:after="283"/>
              <w:jc w:val="left"/>
              <w:rPr/>
            </w:pPr>
            <w:r>
              <w:rPr/>
              <w:t> </w:t>
            </w:r>
          </w:p>
        </w:tc>
        <w:tc>
          <w:tcPr>
            <w:tcW w:w="2273"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2175"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1" w:name="z85850e824e644f6ca69cabfd2b7faa98"/>
      <w:bookmarkStart w:id="242" w:name="z85850e824e644f6ca69cabfd2b7faa98"/>
      <w:bookmarkEnd w:id="242"/>
    </w:p>
    <w:tbl>
      <w:tblPr>
        <w:tblW w:w="4570" w:type="dxa"/>
        <w:jc w:val="left"/>
        <w:tblInd w:w="0" w:type="dxa"/>
        <w:tblLayout w:type="fixed"/>
        <w:tblCellMar>
          <w:top w:w="0" w:type="dxa"/>
          <w:left w:w="0" w:type="dxa"/>
          <w:bottom w:w="0" w:type="dxa"/>
          <w:right w:w="0" w:type="dxa"/>
        </w:tblCellMar>
      </w:tblPr>
      <w:tblGrid>
        <w:gridCol w:w="335"/>
        <w:gridCol w:w="4235"/>
      </w:tblGrid>
      <w:tr>
        <w:trPr/>
        <w:tc>
          <w:tcPr>
            <w:tcW w:w="335" w:type="dxa"/>
            <w:tcBorders/>
            <w:vAlign w:val="center"/>
          </w:tcPr>
          <w:p>
            <w:pPr>
              <w:pStyle w:val="TableContents"/>
              <w:bidi w:val="0"/>
              <w:spacing w:before="0" w:after="283"/>
              <w:jc w:val="left"/>
              <w:rPr>
                <w:color w:val="000000"/>
              </w:rPr>
            </w:pPr>
            <w:r>
              <w:rPr>
                <w:color w:val="000000"/>
              </w:rPr>
              <w:t>(1)</w:t>
            </w:r>
          </w:p>
        </w:tc>
        <w:tc>
          <w:tcPr>
            <w:tcW w:w="4235" w:type="dxa"/>
            <w:tcBorders/>
            <w:vAlign w:val="center"/>
          </w:tcPr>
          <w:p>
            <w:pPr>
              <w:pStyle w:val="TableContents"/>
              <w:bidi w:val="0"/>
              <w:spacing w:before="0" w:after="0"/>
              <w:jc w:val="left"/>
              <w:rPr>
                <w:color w:val="000000"/>
              </w:rPr>
            </w:pPr>
            <w:r>
              <w:rPr>
                <w:color w:val="000000"/>
              </w:rPr>
              <w:t>May be redeemed at the Company’s option.</w:t>
            </w:r>
          </w:p>
        </w:tc>
      </w:tr>
    </w:tbl>
    <w:p>
      <w:pPr>
        <w:pStyle w:val="Normal"/>
        <w:bidi w:val="0"/>
        <w:spacing w:before="0" w:after="0"/>
        <w:jc w:val="left"/>
        <w:rPr>
          <w:sz w:val="4"/>
          <w:szCs w:val="4"/>
        </w:rPr>
      </w:pPr>
      <w:r>
        <w:rPr>
          <w:sz w:val="4"/>
          <w:szCs w:val="4"/>
        </w:rPr>
      </w:r>
      <w:bookmarkStart w:id="243" w:name="z1641e1a0d01f44d9b9437c56506a39e6"/>
      <w:bookmarkStart w:id="244" w:name="z1641e1a0d01f44d9b9437c56506a39e6"/>
      <w:bookmarkEnd w:id="244"/>
    </w:p>
    <w:tbl>
      <w:tblPr>
        <w:tblW w:w="5710" w:type="dxa"/>
        <w:jc w:val="left"/>
        <w:tblInd w:w="0" w:type="dxa"/>
        <w:tblLayout w:type="fixed"/>
        <w:tblCellMar>
          <w:top w:w="0" w:type="dxa"/>
          <w:left w:w="0" w:type="dxa"/>
          <w:bottom w:w="0" w:type="dxa"/>
          <w:right w:w="0" w:type="dxa"/>
        </w:tblCellMar>
      </w:tblPr>
      <w:tblGrid>
        <w:gridCol w:w="335"/>
        <w:gridCol w:w="5375"/>
      </w:tblGrid>
      <w:tr>
        <w:trPr/>
        <w:tc>
          <w:tcPr>
            <w:tcW w:w="335" w:type="dxa"/>
            <w:tcBorders/>
            <w:vAlign w:val="center"/>
          </w:tcPr>
          <w:p>
            <w:pPr>
              <w:pStyle w:val="TableContents"/>
              <w:bidi w:val="0"/>
              <w:spacing w:before="0" w:after="0"/>
              <w:ind w:left="5" w:right="0" w:hanging="0"/>
              <w:jc w:val="left"/>
              <w:rPr>
                <w:color w:val="000000"/>
              </w:rPr>
            </w:pPr>
            <w:r>
              <w:rPr>
                <w:color w:val="000000"/>
              </w:rPr>
              <w:t>(2)</w:t>
            </w:r>
          </w:p>
        </w:tc>
        <w:tc>
          <w:tcPr>
            <w:tcW w:w="5375" w:type="dxa"/>
            <w:tcBorders/>
            <w:vAlign w:val="center"/>
          </w:tcPr>
          <w:p>
            <w:pPr>
              <w:pStyle w:val="TableContents"/>
              <w:bidi w:val="0"/>
              <w:spacing w:before="0" w:after="0"/>
              <w:ind w:left="5" w:right="0" w:hanging="0"/>
              <w:jc w:val="left"/>
              <w:rPr>
                <w:color w:val="000000"/>
              </w:rPr>
            </w:pPr>
            <w:r>
              <w:rPr>
                <w:color w:val="000000"/>
              </w:rPr>
              <w:t>Interest payable quarterly with principal due at maturity.</w:t>
            </w:r>
          </w:p>
        </w:tc>
      </w:tr>
    </w:tbl>
    <w:p>
      <w:pPr>
        <w:pStyle w:val="Normal"/>
        <w:bidi w:val="0"/>
        <w:spacing w:before="0" w:after="0"/>
        <w:jc w:val="left"/>
        <w:rPr>
          <w:sz w:val="4"/>
          <w:szCs w:val="4"/>
        </w:rPr>
      </w:pPr>
      <w:r>
        <w:rPr>
          <w:sz w:val="4"/>
          <w:szCs w:val="4"/>
        </w:rPr>
      </w:r>
      <w:bookmarkStart w:id="245" w:name="z33d319566c1a4000a4663b5cc8685377"/>
      <w:bookmarkStart w:id="246" w:name="z33d319566c1a4000a4663b5cc8685377"/>
      <w:bookmarkEnd w:id="246"/>
    </w:p>
    <w:tbl>
      <w:tblPr>
        <w:tblW w:w="4960" w:type="dxa"/>
        <w:jc w:val="left"/>
        <w:tblInd w:w="0" w:type="dxa"/>
        <w:tblLayout w:type="fixed"/>
        <w:tblCellMar>
          <w:top w:w="0" w:type="dxa"/>
          <w:left w:w="0" w:type="dxa"/>
          <w:bottom w:w="0" w:type="dxa"/>
          <w:right w:w="0" w:type="dxa"/>
        </w:tblCellMar>
      </w:tblPr>
      <w:tblGrid>
        <w:gridCol w:w="335"/>
        <w:gridCol w:w="4625"/>
      </w:tblGrid>
      <w:tr>
        <w:trPr/>
        <w:tc>
          <w:tcPr>
            <w:tcW w:w="335" w:type="dxa"/>
            <w:tcBorders/>
            <w:vAlign w:val="center"/>
          </w:tcPr>
          <w:p>
            <w:pPr>
              <w:pStyle w:val="TableContents"/>
              <w:bidi w:val="0"/>
              <w:spacing w:before="0" w:after="0"/>
              <w:ind w:left="5" w:right="0" w:hanging="0"/>
              <w:jc w:val="left"/>
              <w:rPr>
                <w:color w:val="000000"/>
              </w:rPr>
            </w:pPr>
            <w:r>
              <w:rPr>
                <w:color w:val="000000"/>
              </w:rPr>
              <w:t>(3)</w:t>
            </w:r>
          </w:p>
        </w:tc>
        <w:tc>
          <w:tcPr>
            <w:tcW w:w="4625" w:type="dxa"/>
            <w:tcBorders/>
            <w:vAlign w:val="center"/>
          </w:tcPr>
          <w:p>
            <w:pPr>
              <w:pStyle w:val="TableContents"/>
              <w:bidi w:val="0"/>
              <w:spacing w:before="0" w:after="0"/>
              <w:ind w:left="5" w:right="0" w:hanging="0"/>
              <w:jc w:val="left"/>
              <w:rPr>
                <w:color w:val="000000"/>
              </w:rPr>
            </w:pPr>
            <w:r>
              <w:rPr>
                <w:color w:val="000000"/>
              </w:rPr>
              <w:t>Rate as of last reset date, prior to June 30, 2026.</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Liquidity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 At June 30, 2026, the Bank had the capacity to borrow funds from the FHLB and the Federal Reserve discount window of up to approximately $1.3 billion and $788.7 million, respectively.</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pStyle w:val="TextBody"/>
        <w:bidi w:val="0"/>
        <w:spacing w:before="0" w:after="0"/>
        <w:jc w:val="both"/>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Capital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stockholders’ equity was $629.8 million as of June 30, 2026, compared to $493.8 million as of December 31, 2025, an increase of $135.9 million, or 27.5%. The increase from December 31, 2025 was primarily the result of $117.5 million in common stock issued related to the BOH acquisition, $33.5 million in net income for the six months ended June 30, 2026 and an increase in accumulated other comprehensive income (“AOCI”) of $2.7 million related to fair value changes in available for sale securities and related fair value hedges, partially offset by $6.0 million of dividends paid and $12.8 million in repurchases of common stock for the six months ended June 30, 2026.</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and December 31, 2025, both we and the Bank met all the capital adequacy requirements to which we and the Bank were subject. At June 30, 2026, we and the Bank were “well capitalized” under the regulatory framework for prompt corrective action. Management believes that no conditions or events have occurred since June 30, 2026 that would materially adversely change such capital classifications. From time to time, we may need to raise additional capital to support our and the Bank’s further growth and to maintain our “well capitalized” status.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 below summarizes the capital requirements applicable to us and the Bank in order to be considered “well capitalized” from a regulatory perspective, as well as our and the Bank’s capital ratios as of the dates indicated.</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47" w:name="z6bfdf743e07c4a39bd06ba55fd8a4ff8"/>
      <w:bookmarkStart w:id="248" w:name="z6bfdf743e07c4a39bd06ba55fd8a4ff8"/>
      <w:bookmarkEnd w:id="248"/>
    </w:p>
    <w:tbl>
      <w:tblPr>
        <w:tblW w:w="8283" w:type="dxa"/>
        <w:jc w:val="left"/>
        <w:tblInd w:w="0" w:type="dxa"/>
        <w:tblLayout w:type="fixed"/>
        <w:tblCellMar>
          <w:top w:w="0" w:type="dxa"/>
          <w:left w:w="0" w:type="dxa"/>
          <w:bottom w:w="0" w:type="dxa"/>
          <w:right w:w="0" w:type="dxa"/>
        </w:tblCellMar>
      </w:tblPr>
      <w:tblGrid>
        <w:gridCol w:w="3725"/>
        <w:gridCol w:w="90"/>
        <w:gridCol w:w="170"/>
        <w:gridCol w:w="830"/>
        <w:gridCol w:w="90"/>
        <w:gridCol w:w="90"/>
        <w:gridCol w:w="90"/>
        <w:gridCol w:w="590"/>
        <w:gridCol w:w="245"/>
        <w:gridCol w:w="90"/>
        <w:gridCol w:w="181"/>
        <w:gridCol w:w="885"/>
        <w:gridCol w:w="96"/>
        <w:gridCol w:w="96"/>
        <w:gridCol w:w="96"/>
        <w:gridCol w:w="629"/>
        <w:gridCol w:w="290"/>
      </w:tblGrid>
      <w:tr>
        <w:trPr/>
        <w:tc>
          <w:tcPr>
            <w:tcW w:w="37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8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290" w:type="dxa"/>
            <w:tcBorders/>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90" w:type="dxa"/>
            <w:tcBorders/>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178" w:type="dxa"/>
            <w:gridSpan w:val="14"/>
            <w:tcBorders/>
            <w:vAlign w:val="bottom"/>
          </w:tcPr>
          <w:p>
            <w:pPr>
              <w:pStyle w:val="TableContents"/>
              <w:bidi w:val="0"/>
              <w:spacing w:before="0" w:after="0"/>
              <w:jc w:val="center"/>
              <w:rPr>
                <w:b/>
                <w:color w:val="000000"/>
              </w:rPr>
            </w:pPr>
            <w:r>
              <w:rPr>
                <w:b/>
                <w:color w:val="000000"/>
              </w:rPr>
              <w:t>(Dollars in thousands)</w:t>
            </w:r>
          </w:p>
        </w:tc>
        <w:tc>
          <w:tcPr>
            <w:tcW w:w="290" w:type="dxa"/>
            <w:tcBorders/>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0"/>
              <w:jc w:val="left"/>
              <w:rPr>
                <w:b/>
                <w:color w:val="000000"/>
                <w:u w:val="single"/>
              </w:rPr>
            </w:pPr>
            <w:r>
              <w:rPr>
                <w:b/>
                <w:color w:val="000000"/>
                <w:u w:val="single"/>
              </w:rPr>
              <w:t>Consolidated:</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3725" w:type="dxa"/>
            <w:tcBorders/>
            <w:shd w:fill="CCEEFF" w:val="clear"/>
            <w:vAlign w:val="bottom"/>
          </w:tcPr>
          <w:p>
            <w:pPr>
              <w:pStyle w:val="TableContents"/>
              <w:bidi w:val="0"/>
              <w:spacing w:before="0" w:after="0"/>
              <w:jc w:val="left"/>
              <w:rPr>
                <w:color w:val="000000"/>
              </w:rPr>
            </w:pPr>
            <w:r>
              <w:rPr>
                <w:color w:val="000000"/>
              </w:rPr>
              <w:t>Total capital (to risk-weighted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706,237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16.54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885" w:type="dxa"/>
            <w:tcBorders/>
            <w:shd w:fill="CCEEFF" w:val="clear"/>
            <w:vAlign w:val="bottom"/>
          </w:tcPr>
          <w:p>
            <w:pPr>
              <w:pStyle w:val="TableContents"/>
              <w:bidi w:val="0"/>
              <w:spacing w:before="0" w:after="0"/>
              <w:jc w:val="right"/>
              <w:rPr>
                <w:color w:val="000000"/>
              </w:rPr>
            </w:pPr>
            <w:r>
              <w:rPr>
                <w:color w:val="000000"/>
              </w:rPr>
              <w:t>622,485</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color w:val="000000"/>
              </w:rPr>
            </w:pPr>
            <w:r>
              <w:rPr>
                <w:color w:val="000000"/>
              </w:rPr>
              <w:t>17.26</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725" w:type="dxa"/>
            <w:tcBorders/>
            <w:vAlign w:val="bottom"/>
          </w:tcPr>
          <w:p>
            <w:pPr>
              <w:pStyle w:val="TableContents"/>
              <w:bidi w:val="0"/>
              <w:spacing w:before="0" w:after="0"/>
              <w:jc w:val="left"/>
              <w:rPr>
                <w:color w:val="000000"/>
              </w:rPr>
            </w:pPr>
            <w:r>
              <w:rPr>
                <w:color w:val="000000"/>
              </w:rPr>
              <w:t>Tier 1 capital (to risk-weighted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647,574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15.16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color w:val="000000"/>
              </w:rPr>
            </w:pPr>
            <w:r>
              <w:rPr>
                <w:color w:val="000000"/>
              </w:rPr>
              <w:t>566,107</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0"/>
              <w:jc w:val="right"/>
              <w:rPr>
                <w:color w:val="000000"/>
              </w:rPr>
            </w:pPr>
            <w:r>
              <w:rPr>
                <w:color w:val="000000"/>
              </w:rPr>
              <w:t>15.70</w:t>
            </w:r>
          </w:p>
        </w:tc>
        <w:tc>
          <w:tcPr>
            <w:tcW w:w="290" w:type="dxa"/>
            <w:tcBorders/>
            <w:vAlign w:val="bottom"/>
          </w:tcPr>
          <w:p>
            <w:pPr>
              <w:pStyle w:val="TableContents"/>
              <w:bidi w:val="0"/>
              <w:spacing w:before="0" w:after="0"/>
              <w:jc w:val="left"/>
              <w:rPr>
                <w:color w:val="000000"/>
              </w:rPr>
            </w:pPr>
            <w:r>
              <w:rPr>
                <w:color w:val="000000"/>
              </w:rPr>
              <w:t>%</w:t>
            </w:r>
          </w:p>
        </w:tc>
      </w:tr>
      <w:tr>
        <w:trPr/>
        <w:tc>
          <w:tcPr>
            <w:tcW w:w="3725" w:type="dxa"/>
            <w:tcBorders/>
            <w:shd w:fill="CCEEFF" w:val="clear"/>
            <w:vAlign w:val="bottom"/>
          </w:tcPr>
          <w:p>
            <w:pPr>
              <w:pStyle w:val="TableContents"/>
              <w:bidi w:val="0"/>
              <w:spacing w:before="0" w:after="0"/>
              <w:jc w:val="left"/>
              <w:rPr>
                <w:color w:val="000000"/>
              </w:rPr>
            </w:pPr>
            <w:r>
              <w:rPr>
                <w:color w:val="000000"/>
              </w:rPr>
              <w:t>CET 1 capital (to risk-weighted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602,574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14.11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color w:val="000000"/>
              </w:rPr>
            </w:pPr>
            <w:r>
              <w:rPr>
                <w:color w:val="000000"/>
              </w:rPr>
              <w:t>521,107</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color w:val="000000"/>
              </w:rPr>
            </w:pPr>
            <w:r>
              <w:rPr>
                <w:color w:val="000000"/>
              </w:rPr>
              <w:t>14.45</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725" w:type="dxa"/>
            <w:tcBorders/>
            <w:vAlign w:val="bottom"/>
          </w:tcPr>
          <w:p>
            <w:pPr>
              <w:pStyle w:val="TableContents"/>
              <w:bidi w:val="0"/>
              <w:spacing w:before="0" w:after="0"/>
              <w:jc w:val="left"/>
              <w:rPr>
                <w:color w:val="000000"/>
              </w:rPr>
            </w:pPr>
            <w:r>
              <w:rPr>
                <w:color w:val="000000"/>
              </w:rPr>
              <w:t>Tier 1 capital (to average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647,574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12.21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color w:val="000000"/>
              </w:rPr>
            </w:pPr>
            <w:r>
              <w:rPr>
                <w:color w:val="000000"/>
              </w:rPr>
              <w:t>566,107</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0"/>
              <w:jc w:val="right"/>
              <w:rPr>
                <w:color w:val="000000"/>
              </w:rPr>
            </w:pPr>
            <w:r>
              <w:rPr>
                <w:color w:val="000000"/>
              </w:rPr>
              <w:t>12.53</w:t>
            </w:r>
          </w:p>
        </w:tc>
        <w:tc>
          <w:tcPr>
            <w:tcW w:w="290" w:type="dxa"/>
            <w:tcBorders/>
            <w:vAlign w:val="bottom"/>
          </w:tcPr>
          <w:p>
            <w:pPr>
              <w:pStyle w:val="TableContents"/>
              <w:bidi w:val="0"/>
              <w:spacing w:before="0" w:after="0"/>
              <w:jc w:val="left"/>
              <w:rPr>
                <w:color w:val="000000"/>
              </w:rPr>
            </w:pPr>
            <w:r>
              <w:rPr>
                <w:color w:val="000000"/>
              </w:rPr>
              <w:t>%</w:t>
            </w:r>
          </w:p>
        </w:tc>
      </w:tr>
      <w:tr>
        <w:trPr/>
        <w:tc>
          <w:tcPr>
            <w:tcW w:w="37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3725" w:type="dxa"/>
            <w:tcBorders/>
            <w:vAlign w:val="bottom"/>
          </w:tcPr>
          <w:p>
            <w:pPr>
              <w:pStyle w:val="TableContents"/>
              <w:bidi w:val="0"/>
              <w:spacing w:before="0" w:after="0"/>
              <w:jc w:val="left"/>
              <w:rPr>
                <w:b/>
                <w:color w:val="000000"/>
                <w:u w:val="single"/>
              </w:rPr>
            </w:pPr>
            <w:r>
              <w:rPr>
                <w:b/>
                <w:color w:val="000000"/>
                <w:u w:val="single"/>
              </w:rPr>
              <w:t>City Bank:</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3725" w:type="dxa"/>
            <w:tcBorders/>
            <w:shd w:fill="CCEEFF" w:val="clear"/>
            <w:vAlign w:val="bottom"/>
          </w:tcPr>
          <w:p>
            <w:pPr>
              <w:pStyle w:val="TableContents"/>
              <w:bidi w:val="0"/>
              <w:spacing w:before="0" w:after="0"/>
              <w:jc w:val="left"/>
              <w:rPr>
                <w:color w:val="000000"/>
              </w:rPr>
            </w:pPr>
            <w:r>
              <w:rPr>
                <w:color w:val="000000"/>
              </w:rPr>
              <w:t>Total capital (to risk-weighted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619,057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14.50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885" w:type="dxa"/>
            <w:tcBorders/>
            <w:shd w:fill="CCEEFF" w:val="clear"/>
            <w:vAlign w:val="bottom"/>
          </w:tcPr>
          <w:p>
            <w:pPr>
              <w:pStyle w:val="TableContents"/>
              <w:bidi w:val="0"/>
              <w:spacing w:before="0" w:after="0"/>
              <w:jc w:val="right"/>
              <w:rPr>
                <w:color w:val="000000"/>
              </w:rPr>
            </w:pPr>
            <w:r>
              <w:rPr>
                <w:color w:val="000000"/>
              </w:rPr>
              <w:t>537,444</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color w:val="000000"/>
              </w:rPr>
            </w:pPr>
            <w:r>
              <w:rPr>
                <w:color w:val="000000"/>
              </w:rPr>
              <w:t>14.91</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725" w:type="dxa"/>
            <w:tcBorders/>
            <w:vAlign w:val="bottom"/>
          </w:tcPr>
          <w:p>
            <w:pPr>
              <w:pStyle w:val="TableContents"/>
              <w:bidi w:val="0"/>
              <w:spacing w:before="0" w:after="0"/>
              <w:jc w:val="left"/>
              <w:rPr>
                <w:color w:val="000000"/>
              </w:rPr>
            </w:pPr>
            <w:r>
              <w:rPr>
                <w:color w:val="000000"/>
              </w:rPr>
              <w:t>Tier 1 capital (to risk-weighted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571,674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13.39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color w:val="000000"/>
              </w:rPr>
            </w:pPr>
            <w:r>
              <w:rPr>
                <w:color w:val="000000"/>
              </w:rPr>
              <w:t>492,355</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0"/>
              <w:jc w:val="right"/>
              <w:rPr>
                <w:color w:val="000000"/>
              </w:rPr>
            </w:pPr>
            <w:r>
              <w:rPr>
                <w:color w:val="000000"/>
              </w:rPr>
              <w:t>13.66</w:t>
            </w:r>
          </w:p>
        </w:tc>
        <w:tc>
          <w:tcPr>
            <w:tcW w:w="290" w:type="dxa"/>
            <w:tcBorders/>
            <w:vAlign w:val="bottom"/>
          </w:tcPr>
          <w:p>
            <w:pPr>
              <w:pStyle w:val="TableContents"/>
              <w:bidi w:val="0"/>
              <w:spacing w:before="0" w:after="0"/>
              <w:jc w:val="left"/>
              <w:rPr>
                <w:color w:val="000000"/>
              </w:rPr>
            </w:pPr>
            <w:r>
              <w:rPr>
                <w:color w:val="000000"/>
              </w:rPr>
              <w:t>%</w:t>
            </w:r>
          </w:p>
        </w:tc>
      </w:tr>
      <w:tr>
        <w:trPr/>
        <w:tc>
          <w:tcPr>
            <w:tcW w:w="3725" w:type="dxa"/>
            <w:tcBorders/>
            <w:shd w:fill="CCEEFF" w:val="clear"/>
            <w:vAlign w:val="bottom"/>
          </w:tcPr>
          <w:p>
            <w:pPr>
              <w:pStyle w:val="TableContents"/>
              <w:bidi w:val="0"/>
              <w:spacing w:before="0" w:after="0"/>
              <w:jc w:val="left"/>
              <w:rPr>
                <w:color w:val="000000"/>
              </w:rPr>
            </w:pPr>
            <w:r>
              <w:rPr>
                <w:color w:val="000000"/>
              </w:rPr>
              <w:t>CET 1 capital (to risk-weighted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571,674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13.39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color w:val="000000"/>
              </w:rPr>
            </w:pPr>
            <w:r>
              <w:rPr>
                <w:color w:val="000000"/>
              </w:rPr>
              <w:t>492,355</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0"/>
              <w:jc w:val="right"/>
              <w:rPr>
                <w:color w:val="000000"/>
              </w:rPr>
            </w:pPr>
            <w:r>
              <w:rPr>
                <w:color w:val="000000"/>
              </w:rPr>
              <w:t>13.66</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725" w:type="dxa"/>
            <w:tcBorders/>
            <w:vAlign w:val="bottom"/>
          </w:tcPr>
          <w:p>
            <w:pPr>
              <w:pStyle w:val="TableContents"/>
              <w:bidi w:val="0"/>
              <w:spacing w:before="0" w:after="0"/>
              <w:jc w:val="left"/>
              <w:rPr>
                <w:color w:val="000000"/>
              </w:rPr>
            </w:pPr>
            <w:r>
              <w:rPr>
                <w:color w:val="000000"/>
              </w:rPr>
              <w:t>Tier 1 capital (to average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571,674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10.79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color w:val="000000"/>
              </w:rPr>
            </w:pPr>
            <w:r>
              <w:rPr>
                <w:color w:val="000000"/>
              </w:rPr>
              <w:t>492,355</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0"/>
              <w:jc w:val="right"/>
              <w:rPr>
                <w:color w:val="000000"/>
              </w:rPr>
            </w:pPr>
            <w:r>
              <w:rPr>
                <w:color w:val="000000"/>
              </w:rPr>
              <w:t>10.90</w:t>
            </w:r>
          </w:p>
        </w:tc>
        <w:tc>
          <w:tcPr>
            <w:tcW w:w="29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Community Bank Leverage Ratio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off-balance-sheet exposures and trading assets and liabilities. On November 25, 2025, the federal banking agencies jointly proposed changes to the CBLR framework intended to encourage broader adoption, including reducing the required leverage ratio from 9.0% to 8.0%. Although the Company and the Bank are qualifying community banking organizations, the Company and the Bank have elected not to opt in to the CBLR framework at this time and will continue to follow the requirements of the Basel III capital framework as described above.</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Treasury Stock</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repurchased stock in accordance with our previously-announced stock repurchase program and also in a privately negotiated transaction during the three and six months ended June 30, 2026. For the three and six months ended June 30, 2026, we repurchased 310,965 shares of common stock for a total of $12.8 million. For the three months ended June 30, 2025, we repurchased 9,046 shares of common stock for a total of $276 thousand. For the six months ended June 30, 2025, we repurchased 259,046 shares of common stock for a total of $8.5 million. These shares were retired immediately upon repurchase and not included in treasury stock. See Part II, Item 2, “Unregistered Sales of Equity Securities and Use of Proceeds,” of this Form 10-Q for further information.</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Interest Rate Sensitivity and Market Risk</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manage our exposure to interest rates by structuring our balance sheet in the ordinary course of business. Based upon the nature of our operations, we are not subject to foreign exchange or commodity price risk. We do not own any trading assets.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simulated change in net interest income over a 12-month horizon as of the dates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9" w:name="z71381318310748ff94fb06eee1c10925"/>
      <w:bookmarkStart w:id="250" w:name="z71381318310748ff94fb06eee1c10925"/>
      <w:bookmarkEnd w:id="250"/>
    </w:p>
    <w:tbl>
      <w:tblPr>
        <w:tblW w:w="10205" w:type="dxa"/>
        <w:jc w:val="left"/>
        <w:tblInd w:w="0" w:type="dxa"/>
        <w:tblLayout w:type="fixed"/>
        <w:tblCellMar>
          <w:top w:w="0" w:type="dxa"/>
          <w:left w:w="0" w:type="dxa"/>
          <w:bottom w:w="0" w:type="dxa"/>
          <w:right w:w="0" w:type="dxa"/>
        </w:tblCellMar>
      </w:tblPr>
      <w:tblGrid>
        <w:gridCol w:w="3190"/>
        <w:gridCol w:w="90"/>
        <w:gridCol w:w="90"/>
        <w:gridCol w:w="473"/>
        <w:gridCol w:w="2727"/>
        <w:gridCol w:w="125"/>
        <w:gridCol w:w="90"/>
        <w:gridCol w:w="458"/>
        <w:gridCol w:w="2804"/>
        <w:gridCol w:w="158"/>
      </w:tblGrid>
      <w:tr>
        <w:trPr/>
        <w:tc>
          <w:tcPr>
            <w:tcW w:w="31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6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158" w:type="dxa"/>
            <w:tcBorders/>
            <w:vAlign w:val="bottom"/>
          </w:tcPr>
          <w:p>
            <w:pPr>
              <w:pStyle w:val="TableContents"/>
              <w:bidi w:val="0"/>
              <w:spacing w:before="0" w:after="283"/>
              <w:jc w:val="left"/>
              <w:rPr/>
            </w:pPr>
            <w:r>
              <w:rPr/>
              <w:t> </w:t>
            </w:r>
          </w:p>
        </w:tc>
      </w:tr>
      <w:tr>
        <w:trPr/>
        <w:tc>
          <w:tcPr>
            <w:tcW w:w="3190" w:type="dxa"/>
            <w:tcBorders/>
            <w:vAlign w:val="bottom"/>
          </w:tcPr>
          <w:p>
            <w:pPr>
              <w:pStyle w:val="TableContents"/>
              <w:bidi w:val="0"/>
              <w:spacing w:before="0" w:after="0"/>
              <w:jc w:val="left"/>
              <w:rPr>
                <w:b/>
                <w:color w:val="000000"/>
              </w:rPr>
            </w:pPr>
            <w:r>
              <w:rPr>
                <w:b/>
                <w:color w:val="000000"/>
              </w:rPr>
              <w:t>Change in Interest Rates (Basis Points)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 Change in Net Interest Income</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6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 Change in Net Interest Income</w:t>
            </w:r>
          </w:p>
        </w:tc>
        <w:tc>
          <w:tcPr>
            <w:tcW w:w="158" w:type="dxa"/>
            <w:tcBorders/>
            <w:vAlign w:val="bottom"/>
          </w:tcPr>
          <w:p>
            <w:pPr>
              <w:pStyle w:val="TableContents"/>
              <w:bidi w:val="0"/>
              <w:spacing w:before="0" w:after="283"/>
              <w:jc w:val="left"/>
              <w:rPr/>
            </w:pPr>
            <w:r>
              <w:rPr/>
              <w:t> </w:t>
            </w:r>
          </w:p>
        </w:tc>
      </w:tr>
      <w:tr>
        <w:trPr/>
        <w:tc>
          <w:tcPr>
            <w:tcW w:w="3190" w:type="dxa"/>
            <w:tcBorders/>
            <w:shd w:fill="CCEEFF" w:val="clear"/>
            <w:vAlign w:val="bottom"/>
          </w:tcPr>
          <w:p>
            <w:pPr>
              <w:pStyle w:val="TableContents"/>
              <w:bidi w:val="0"/>
              <w:spacing w:before="0" w:after="0"/>
              <w:jc w:val="left"/>
              <w:rPr>
                <w:color w:val="000000"/>
              </w:rPr>
            </w:pPr>
            <w:r>
              <w:rPr>
                <w:color w:val="000000"/>
              </w:rPr>
              <w:t>+300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2727" w:type="dxa"/>
            <w:tcBorders/>
            <w:shd w:fill="CCEEFF" w:val="clear"/>
            <w:vAlign w:val="bottom"/>
          </w:tcPr>
          <w:p>
            <w:pPr>
              <w:pStyle w:val="TableContents"/>
              <w:bidi w:val="0"/>
              <w:spacing w:before="0" w:after="0"/>
              <w:jc w:val="right"/>
              <w:rPr>
                <w:color w:val="000000"/>
              </w:rPr>
            </w:pPr>
            <w:r>
              <w:rPr>
                <w:color w:val="000000"/>
              </w:rPr>
              <w:t>0.53</w:t>
            </w:r>
          </w:p>
        </w:tc>
        <w:tc>
          <w:tcPr>
            <w:tcW w:w="125" w:type="dxa"/>
            <w:tcBorders/>
            <w:shd w:fill="CCEEFF" w:val="clear"/>
            <w:vAlign w:val="bottom"/>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2804" w:type="dxa"/>
            <w:tcBorders/>
            <w:shd w:fill="CCEEFF" w:val="clear"/>
            <w:vAlign w:val="bottom"/>
          </w:tcPr>
          <w:p>
            <w:pPr>
              <w:pStyle w:val="TableContents"/>
              <w:bidi w:val="0"/>
              <w:spacing w:before="0" w:after="0"/>
              <w:jc w:val="right"/>
              <w:rPr>
                <w:color w:val="000000"/>
              </w:rPr>
            </w:pPr>
            <w:r>
              <w:rPr>
                <w:color w:val="000000"/>
              </w:rPr>
              <w:t>(3.03</w:t>
            </w:r>
          </w:p>
        </w:tc>
        <w:tc>
          <w:tcPr>
            <w:tcW w:w="158" w:type="dxa"/>
            <w:tcBorders/>
            <w:shd w:fill="CCEEFF" w:val="clear"/>
            <w:vAlign w:val="bottom"/>
          </w:tcPr>
          <w:p>
            <w:pPr>
              <w:pStyle w:val="TableContents"/>
              <w:bidi w:val="0"/>
              <w:spacing w:before="0" w:after="0"/>
              <w:jc w:val="left"/>
              <w:rPr>
                <w:color w:val="000000"/>
              </w:rPr>
            </w:pPr>
            <w:r>
              <w:rPr>
                <w:color w:val="000000"/>
              </w:rPr>
              <w:t>)</w:t>
            </w:r>
          </w:p>
        </w:tc>
      </w:tr>
      <w:tr>
        <w:trPr/>
        <w:tc>
          <w:tcPr>
            <w:tcW w:w="3190" w:type="dxa"/>
            <w:tcBorders/>
            <w:vAlign w:val="bottom"/>
          </w:tcPr>
          <w:p>
            <w:pPr>
              <w:pStyle w:val="TableContents"/>
              <w:bidi w:val="0"/>
              <w:spacing w:before="0" w:after="0"/>
              <w:jc w:val="left"/>
              <w:rPr>
                <w:color w:val="000000"/>
              </w:rPr>
            </w:pPr>
            <w:r>
              <w:rPr>
                <w:color w:val="000000"/>
              </w:rPr>
              <w:t>+200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2727" w:type="dxa"/>
            <w:tcBorders/>
            <w:vAlign w:val="bottom"/>
          </w:tcPr>
          <w:p>
            <w:pPr>
              <w:pStyle w:val="TableContents"/>
              <w:bidi w:val="0"/>
              <w:spacing w:before="0" w:after="0"/>
              <w:jc w:val="right"/>
              <w:rPr>
                <w:color w:val="000000"/>
              </w:rPr>
            </w:pPr>
            <w:r>
              <w:rPr>
                <w:color w:val="000000"/>
              </w:rPr>
              <w:t>0.6</w:t>
            </w:r>
          </w:p>
        </w:tc>
        <w:tc>
          <w:tcPr>
            <w:tcW w:w="125" w:type="dxa"/>
            <w:tcBorders/>
            <w:vAlign w:val="bottom"/>
          </w:tcPr>
          <w:p>
            <w:pPr>
              <w:pStyle w:val="TableContents"/>
              <w:bidi w:val="0"/>
              <w:spacing w:before="0" w:after="0"/>
              <w:jc w:val="left"/>
              <w:rPr>
                <w:color w:val="000000"/>
              </w:rPr>
            </w:pPr>
            <w:r>
              <w:rPr>
                <w:color w:val="000000"/>
              </w:rPr>
            </w:r>
          </w:p>
        </w:tc>
        <w:tc>
          <w:tcPr>
            <w:tcW w:w="9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804" w:type="dxa"/>
            <w:tcBorders/>
            <w:vAlign w:val="bottom"/>
          </w:tcPr>
          <w:p>
            <w:pPr>
              <w:pStyle w:val="TableContents"/>
              <w:bidi w:val="0"/>
              <w:spacing w:before="0" w:after="0"/>
              <w:jc w:val="right"/>
              <w:rPr>
                <w:color w:val="000000"/>
              </w:rPr>
            </w:pPr>
            <w:r>
              <w:rPr>
                <w:color w:val="000000"/>
              </w:rPr>
              <w:t>(1.91</w:t>
            </w:r>
          </w:p>
        </w:tc>
        <w:tc>
          <w:tcPr>
            <w:tcW w:w="158" w:type="dxa"/>
            <w:tcBorders/>
            <w:vAlign w:val="bottom"/>
          </w:tcPr>
          <w:p>
            <w:pPr>
              <w:pStyle w:val="TableContents"/>
              <w:bidi w:val="0"/>
              <w:spacing w:before="0" w:after="0"/>
              <w:jc w:val="left"/>
              <w:rPr>
                <w:color w:val="000000"/>
              </w:rPr>
            </w:pPr>
            <w:r>
              <w:rPr>
                <w:color w:val="000000"/>
              </w:rPr>
              <w:t>)</w:t>
            </w:r>
          </w:p>
        </w:tc>
      </w:tr>
      <w:tr>
        <w:trPr/>
        <w:tc>
          <w:tcPr>
            <w:tcW w:w="3190" w:type="dxa"/>
            <w:tcBorders/>
            <w:shd w:fill="CCEEFF" w:val="clear"/>
            <w:vAlign w:val="bottom"/>
          </w:tcPr>
          <w:p>
            <w:pPr>
              <w:pStyle w:val="TableContents"/>
              <w:bidi w:val="0"/>
              <w:spacing w:before="0" w:after="0"/>
              <w:jc w:val="left"/>
              <w:rPr>
                <w:color w:val="000000"/>
              </w:rPr>
            </w:pPr>
            <w:r>
              <w:rPr>
                <w:color w:val="000000"/>
              </w:rPr>
              <w:t>+100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2727" w:type="dxa"/>
            <w:tcBorders/>
            <w:shd w:fill="CCEEFF" w:val="clear"/>
            <w:vAlign w:val="bottom"/>
          </w:tcPr>
          <w:p>
            <w:pPr>
              <w:pStyle w:val="TableContents"/>
              <w:bidi w:val="0"/>
              <w:spacing w:before="0" w:after="0"/>
              <w:jc w:val="right"/>
              <w:rPr>
                <w:color w:val="000000"/>
              </w:rPr>
            </w:pPr>
            <w:r>
              <w:rPr>
                <w:color w:val="000000"/>
              </w:rPr>
              <w:t>0.54</w:t>
            </w:r>
          </w:p>
        </w:tc>
        <w:tc>
          <w:tcPr>
            <w:tcW w:w="125" w:type="dxa"/>
            <w:tcBorders/>
            <w:shd w:fill="CCEEFF" w:val="clear"/>
            <w:vAlign w:val="bottom"/>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2804" w:type="dxa"/>
            <w:tcBorders/>
            <w:shd w:fill="CCEEFF" w:val="clear"/>
            <w:vAlign w:val="bottom"/>
          </w:tcPr>
          <w:p>
            <w:pPr>
              <w:pStyle w:val="TableContents"/>
              <w:bidi w:val="0"/>
              <w:spacing w:before="0" w:after="0"/>
              <w:jc w:val="right"/>
              <w:rPr>
                <w:color w:val="000000"/>
              </w:rPr>
            </w:pPr>
            <w:r>
              <w:rPr>
                <w:color w:val="000000"/>
              </w:rPr>
              <w:t>(0.89</w:t>
            </w:r>
          </w:p>
        </w:tc>
        <w:tc>
          <w:tcPr>
            <w:tcW w:w="158" w:type="dxa"/>
            <w:tcBorders/>
            <w:shd w:fill="CCEEFF" w:val="clear"/>
            <w:vAlign w:val="bottom"/>
          </w:tcPr>
          <w:p>
            <w:pPr>
              <w:pStyle w:val="TableContents"/>
              <w:bidi w:val="0"/>
              <w:spacing w:before="0" w:after="0"/>
              <w:jc w:val="left"/>
              <w:rPr>
                <w:color w:val="000000"/>
              </w:rPr>
            </w:pPr>
            <w:r>
              <w:rPr>
                <w:color w:val="000000"/>
              </w:rPr>
              <w:t>)</w:t>
            </w:r>
          </w:p>
        </w:tc>
      </w:tr>
      <w:tr>
        <w:trPr/>
        <w:tc>
          <w:tcPr>
            <w:tcW w:w="3190" w:type="dxa"/>
            <w:tcBorders/>
            <w:vAlign w:val="bottom"/>
          </w:tcPr>
          <w:p>
            <w:pPr>
              <w:pStyle w:val="TableContents"/>
              <w:bidi w:val="0"/>
              <w:spacing w:before="0" w:after="0"/>
              <w:jc w:val="left"/>
              <w:rPr>
                <w:color w:val="000000"/>
              </w:rPr>
            </w:pPr>
            <w:r>
              <w:rPr>
                <w:color w:val="000000"/>
              </w:rPr>
              <w:t>-100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2727" w:type="dxa"/>
            <w:tcBorders/>
            <w:vAlign w:val="bottom"/>
          </w:tcPr>
          <w:p>
            <w:pPr>
              <w:pStyle w:val="TableContents"/>
              <w:bidi w:val="0"/>
              <w:spacing w:before="0" w:after="0"/>
              <w:jc w:val="right"/>
              <w:rPr>
                <w:color w:val="000000"/>
              </w:rPr>
            </w:pPr>
            <w:r>
              <w:rPr>
                <w:color w:val="000000"/>
              </w:rPr>
              <w:t>(1.6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left"/>
              <w:rPr/>
            </w:pPr>
            <w:r>
              <w:rPr/>
              <w:t> </w:t>
            </w:r>
          </w:p>
        </w:tc>
        <w:tc>
          <w:tcPr>
            <w:tcW w:w="2804" w:type="dxa"/>
            <w:tcBorders/>
            <w:vAlign w:val="bottom"/>
          </w:tcPr>
          <w:p>
            <w:pPr>
              <w:pStyle w:val="TableContents"/>
              <w:bidi w:val="0"/>
              <w:spacing w:before="0" w:after="0"/>
              <w:jc w:val="right"/>
              <w:rPr>
                <w:color w:val="000000"/>
              </w:rPr>
            </w:pPr>
            <w:r>
              <w:rPr>
                <w:color w:val="000000"/>
              </w:rPr>
              <w:t>(0.26</w:t>
            </w:r>
          </w:p>
        </w:tc>
        <w:tc>
          <w:tcPr>
            <w:tcW w:w="158" w:type="dxa"/>
            <w:tcBorders/>
            <w:vAlign w:val="bottom"/>
          </w:tcPr>
          <w:p>
            <w:pPr>
              <w:pStyle w:val="TableContents"/>
              <w:bidi w:val="0"/>
              <w:spacing w:before="0" w:after="0"/>
              <w:jc w:val="left"/>
              <w:rPr>
                <w:color w:val="000000"/>
              </w:rPr>
            </w:pPr>
            <w:r>
              <w:rPr>
                <w:color w:val="000000"/>
              </w:rPr>
              <w:t>)</w:t>
            </w:r>
          </w:p>
        </w:tc>
      </w:tr>
      <w:tr>
        <w:trPr/>
        <w:tc>
          <w:tcPr>
            <w:tcW w:w="3190" w:type="dxa"/>
            <w:tcBorders/>
            <w:shd w:fill="CCEEFF" w:val="clear"/>
            <w:vAlign w:val="bottom"/>
          </w:tcPr>
          <w:p>
            <w:pPr>
              <w:pStyle w:val="TableContents"/>
              <w:bidi w:val="0"/>
              <w:spacing w:before="0" w:after="0"/>
              <w:jc w:val="left"/>
              <w:rPr>
                <w:color w:val="000000"/>
              </w:rPr>
            </w:pPr>
            <w:r>
              <w:rPr>
                <w:color w:val="000000"/>
              </w:rPr>
              <w:t>-200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2727" w:type="dxa"/>
            <w:tcBorders/>
            <w:shd w:fill="CCEEFF" w:val="clear"/>
            <w:vAlign w:val="bottom"/>
          </w:tcPr>
          <w:p>
            <w:pPr>
              <w:pStyle w:val="TableContents"/>
              <w:bidi w:val="0"/>
              <w:spacing w:before="0" w:after="0"/>
              <w:jc w:val="right"/>
              <w:rPr>
                <w:color w:val="000000"/>
              </w:rPr>
            </w:pPr>
            <w:r>
              <w:rPr>
                <w:color w:val="000000"/>
              </w:rPr>
              <w:t>(1.66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 </w:t>
            </w:r>
          </w:p>
        </w:tc>
        <w:tc>
          <w:tcPr>
            <w:tcW w:w="2804" w:type="dxa"/>
            <w:tcBorders/>
            <w:shd w:fill="CCEEFF" w:val="clear"/>
            <w:vAlign w:val="bottom"/>
          </w:tcPr>
          <w:p>
            <w:pPr>
              <w:pStyle w:val="TableContents"/>
              <w:bidi w:val="0"/>
              <w:spacing w:before="0" w:after="0"/>
              <w:jc w:val="right"/>
              <w:rPr>
                <w:color w:val="000000"/>
              </w:rPr>
            </w:pPr>
            <w:r>
              <w:rPr>
                <w:color w:val="000000"/>
              </w:rPr>
              <w:t>0.27</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Impact of Inflation</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consolidated financial statements and related notes included elsewhere in this Form 10-Q have been prepared in accordance with GAAP. GAAP requires the measurement of financial position and operating results in terms of historical dollars, without considering changes in the relative value of money over time due to inflation or recession.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 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 statements of comprehensive income (loss),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Tangible Book Value Per Common Share</w:t>
      </w:r>
      <w:r>
        <w:rPr>
          <w:rFonts w:ascii="Times New Roman" w:hAnsi="Times New Roman"/>
          <w:color w:val="000000"/>
          <w:sz w:val="20"/>
          <w:shd w:fill="FFFFFF" w:val="clear"/>
        </w:rPr>
        <w:t>. Tangible book value per share is a non-GAAP measure generally used by investors, 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Tangible Common Equity to Tangible Assets</w:t>
      </w:r>
      <w:r>
        <w:rPr>
          <w:rFonts w:ascii="Times New Roman" w:hAnsi="Times New Roman"/>
          <w:color w:val="000000"/>
          <w:sz w:val="20"/>
          <w:shd w:fill="FFFFFF" w:val="clear"/>
        </w:rPr>
        <w:t>. Tangible common equity to tangible assets is a non-GAAP measure generally 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51" w:name="zc320cdd70e6148cf99a4ff4ab8ea3f1a"/>
      <w:bookmarkStart w:id="252" w:name="zc320cdd70e6148cf99a4ff4ab8ea3f1a"/>
      <w:bookmarkEnd w:id="252"/>
    </w:p>
    <w:tbl>
      <w:tblPr>
        <w:tblW w:w="7400" w:type="dxa"/>
        <w:jc w:val="left"/>
        <w:tblInd w:w="0" w:type="dxa"/>
        <w:tblLayout w:type="fixed"/>
        <w:tblCellMar>
          <w:top w:w="0" w:type="dxa"/>
          <w:left w:w="0" w:type="dxa"/>
          <w:bottom w:w="0" w:type="dxa"/>
          <w:right w:w="0" w:type="dxa"/>
        </w:tblCellMar>
      </w:tblPr>
      <w:tblGrid>
        <w:gridCol w:w="4085"/>
        <w:gridCol w:w="90"/>
        <w:gridCol w:w="170"/>
        <w:gridCol w:w="1130"/>
        <w:gridCol w:w="245"/>
        <w:gridCol w:w="90"/>
        <w:gridCol w:w="170"/>
        <w:gridCol w:w="1130"/>
        <w:gridCol w:w="290"/>
      </w:tblGrid>
      <w:tr>
        <w:trPr/>
        <w:tc>
          <w:tcPr>
            <w:tcW w:w="40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w:t>
            </w:r>
          </w:p>
          <w:p>
            <w:pPr>
              <w:pStyle w:val="TableContents"/>
              <w:bidi w:val="0"/>
              <w:spacing w:before="0" w:after="0"/>
              <w:jc w:val="center"/>
              <w:rPr>
                <w:b/>
                <w:color w:val="000000"/>
              </w:rPr>
            </w:pPr>
            <w:r>
              <w:rPr>
                <w:b/>
                <w:color w:val="000000"/>
              </w:rPr>
              <w:t>2026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w:t>
            </w:r>
          </w:p>
          <w:p>
            <w:pPr>
              <w:pStyle w:val="TableContents"/>
              <w:bidi w:val="0"/>
              <w:spacing w:before="0" w:after="0"/>
              <w:jc w:val="center"/>
              <w:rPr>
                <w:b/>
                <w:color w:val="000000"/>
              </w:rPr>
            </w:pPr>
            <w:r>
              <w:rPr>
                <w:b/>
                <w:color w:val="000000"/>
              </w:rPr>
              <w:t>31, 2025</w:t>
            </w:r>
          </w:p>
        </w:tc>
        <w:tc>
          <w:tcPr>
            <w:tcW w:w="290"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35" w:type="dxa"/>
            <w:gridSpan w:val="6"/>
            <w:tcBorders/>
            <w:vAlign w:val="bottom"/>
          </w:tcPr>
          <w:p>
            <w:pPr>
              <w:pStyle w:val="TableContents"/>
              <w:bidi w:val="0"/>
              <w:spacing w:before="0" w:after="0"/>
              <w:jc w:val="center"/>
              <w:rPr>
                <w:b/>
                <w:color w:val="000000"/>
              </w:rPr>
            </w:pPr>
            <w:r>
              <w:rPr>
                <w:b/>
                <w:color w:val="000000"/>
              </w:rPr>
              <w:t>(Dollars in thousands)</w:t>
            </w:r>
          </w:p>
        </w:tc>
        <w:tc>
          <w:tcPr>
            <w:tcW w:w="290"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jc w:val="left"/>
              <w:rPr>
                <w:color w:val="000000"/>
              </w:rPr>
            </w:pPr>
            <w:r>
              <w:rPr>
                <w:color w:val="000000"/>
              </w:rPr>
              <w:t>Total 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629,765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493,837</w:t>
            </w:r>
          </w:p>
        </w:tc>
        <w:tc>
          <w:tcPr>
            <w:tcW w:w="29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jc w:val="left"/>
              <w:rPr>
                <w:color w:val="000000"/>
              </w:rPr>
            </w:pPr>
            <w:r>
              <w:rPr>
                <w:color w:val="000000"/>
              </w:rPr>
              <w:t>Less: Goodwill and other intangibles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(72,218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(20,448</w:t>
            </w:r>
          </w:p>
        </w:tc>
        <w:tc>
          <w:tcPr>
            <w:tcW w:w="290" w:type="dxa"/>
            <w:tcBorders/>
            <w:vAlign w:val="bottom"/>
          </w:tcPr>
          <w:p>
            <w:pPr>
              <w:pStyle w:val="TableContents"/>
              <w:bidi w:val="0"/>
              <w:spacing w:before="0" w:after="0"/>
              <w:jc w:val="left"/>
              <w:rPr>
                <w:color w:val="000000"/>
              </w:rPr>
            </w:pPr>
            <w:r>
              <w:rPr>
                <w:color w:val="000000"/>
              </w:rPr>
              <w:t>)</w:t>
            </w:r>
          </w:p>
        </w:tc>
      </w:tr>
      <w:tr>
        <w:trPr/>
        <w:tc>
          <w:tcPr>
            <w:tcW w:w="4085" w:type="dxa"/>
            <w:tcBorders/>
            <w:shd w:fill="CCEEFF" w:val="clear"/>
            <w:vAlign w:val="bottom"/>
          </w:tcPr>
          <w:p>
            <w:pPr>
              <w:pStyle w:val="TableContents"/>
              <w:bidi w:val="0"/>
              <w:spacing w:before="0" w:after="0"/>
              <w:ind w:left="180" w:right="0" w:hanging="0"/>
              <w:jc w:val="left"/>
              <w:rPr>
                <w:color w:val="000000"/>
              </w:rPr>
            </w:pPr>
            <w:r>
              <w:rPr>
                <w:color w:val="000000"/>
              </w:rPr>
              <w:t>Tangible common equity</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557,547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473,389</w:t>
            </w:r>
          </w:p>
        </w:tc>
        <w:tc>
          <w:tcPr>
            <w:tcW w:w="29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jc w:val="left"/>
              <w:rPr>
                <w:color w:val="000000"/>
              </w:rPr>
            </w:pPr>
            <w:r>
              <w:rPr>
                <w:color w:val="000000"/>
              </w:rPr>
              <w:t>Total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5,391,206</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4,480,500</w:t>
            </w:r>
          </w:p>
        </w:tc>
        <w:tc>
          <w:tcPr>
            <w:tcW w:w="29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jc w:val="left"/>
              <w:rPr>
                <w:color w:val="000000"/>
              </w:rPr>
            </w:pPr>
            <w:r>
              <w:rPr>
                <w:color w:val="000000"/>
              </w:rPr>
              <w:t>Less: Goodwill and other intangibles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(72,218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(20,448</w:t>
            </w:r>
          </w:p>
        </w:tc>
        <w:tc>
          <w:tcPr>
            <w:tcW w:w="290" w:type="dxa"/>
            <w:tcBorders/>
            <w:vAlign w:val="bottom"/>
          </w:tcPr>
          <w:p>
            <w:pPr>
              <w:pStyle w:val="TableContents"/>
              <w:bidi w:val="0"/>
              <w:spacing w:before="0" w:after="0"/>
              <w:jc w:val="left"/>
              <w:rPr>
                <w:color w:val="000000"/>
              </w:rPr>
            </w:pPr>
            <w:r>
              <w:rPr>
                <w:color w:val="000000"/>
              </w:rPr>
              <w:t>)</w:t>
            </w:r>
          </w:p>
        </w:tc>
      </w:tr>
      <w:tr>
        <w:trPr/>
        <w:tc>
          <w:tcPr>
            <w:tcW w:w="4085" w:type="dxa"/>
            <w:tcBorders/>
            <w:shd w:fill="CCEEFF" w:val="clear"/>
            <w:vAlign w:val="bottom"/>
          </w:tcPr>
          <w:p>
            <w:pPr>
              <w:pStyle w:val="TableContents"/>
              <w:bidi w:val="0"/>
              <w:spacing w:before="0" w:after="0"/>
              <w:ind w:left="180" w:right="0" w:hanging="0"/>
              <w:jc w:val="left"/>
              <w:rPr>
                <w:color w:val="000000"/>
              </w:rPr>
            </w:pPr>
            <w:r>
              <w:rPr>
                <w:color w:val="000000"/>
              </w:rPr>
              <w:t>Tangible assets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5,318,988</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4,460,052</w:t>
            </w:r>
          </w:p>
        </w:tc>
        <w:tc>
          <w:tcPr>
            <w:tcW w:w="29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0"/>
              <w:jc w:val="left"/>
              <w:rPr>
                <w:color w:val="000000"/>
              </w:rPr>
            </w:pPr>
            <w:r>
              <w:rPr>
                <w:color w:val="000000"/>
              </w:rPr>
              <w:t>Shares outstanding</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18,839,105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16,293,577</w:t>
            </w:r>
          </w:p>
        </w:tc>
        <w:tc>
          <w:tcPr>
            <w:tcW w:w="290"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180" w:right="0" w:hanging="0"/>
              <w:jc w:val="left"/>
              <w:rPr>
                <w:color w:val="000000"/>
              </w:rPr>
            </w:pPr>
            <w:r>
              <w:rPr>
                <w:color w:val="000000"/>
              </w:rPr>
              <w:t>Total stockholders' equity to total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11.68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11.02</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085" w:type="dxa"/>
            <w:tcBorders/>
            <w:vAlign w:val="bottom"/>
          </w:tcPr>
          <w:p>
            <w:pPr>
              <w:pStyle w:val="TableContents"/>
              <w:bidi w:val="0"/>
              <w:spacing w:before="0" w:after="0"/>
              <w:ind w:left="180" w:right="0" w:hanging="0"/>
              <w:jc w:val="left"/>
              <w:rPr>
                <w:color w:val="000000"/>
              </w:rPr>
            </w:pPr>
            <w:r>
              <w:rPr>
                <w:color w:val="000000"/>
              </w:rPr>
              <w:t>Tangible common equity to tangible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10.48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10.61</w:t>
            </w:r>
          </w:p>
        </w:tc>
        <w:tc>
          <w:tcPr>
            <w:tcW w:w="290" w:type="dxa"/>
            <w:tcBorders/>
            <w:vAlign w:val="bottom"/>
          </w:tcPr>
          <w:p>
            <w:pPr>
              <w:pStyle w:val="TableContents"/>
              <w:bidi w:val="0"/>
              <w:spacing w:before="0" w:after="0"/>
              <w:jc w:val="left"/>
              <w:rPr>
                <w:color w:val="000000"/>
              </w:rPr>
            </w:pPr>
            <w:r>
              <w:rPr>
                <w:color w:val="000000"/>
              </w:rPr>
              <w:t>%</w:t>
            </w:r>
          </w:p>
        </w:tc>
      </w:tr>
      <w:tr>
        <w:trPr/>
        <w:tc>
          <w:tcPr>
            <w:tcW w:w="4085" w:type="dxa"/>
            <w:tcBorders/>
            <w:shd w:fill="CCEEFF" w:val="clear"/>
            <w:vAlign w:val="bottom"/>
          </w:tcPr>
          <w:p>
            <w:pPr>
              <w:pStyle w:val="TableContents"/>
              <w:bidi w:val="0"/>
              <w:spacing w:before="0" w:after="0"/>
              <w:ind w:left="180" w:right="0" w:hanging="0"/>
              <w:jc w:val="left"/>
              <w:rPr>
                <w:color w:val="000000"/>
              </w:rPr>
            </w:pPr>
            <w:r>
              <w:rPr>
                <w:color w:val="000000"/>
              </w:rPr>
              <w:t>Book value per share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33.43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30.31</w:t>
            </w:r>
          </w:p>
        </w:tc>
        <w:tc>
          <w:tcPr>
            <w:tcW w:w="290"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0"/>
              <w:jc w:val="left"/>
              <w:rPr>
                <w:color w:val="000000"/>
              </w:rPr>
            </w:pPr>
            <w:r>
              <w:rPr>
                <w:color w:val="000000"/>
              </w:rPr>
              <w:t>Tangible book value per share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130" w:type="dxa"/>
            <w:tcBorders/>
            <w:vAlign w:val="bottom"/>
          </w:tcPr>
          <w:p>
            <w:pPr>
              <w:pStyle w:val="TableContents"/>
              <w:bidi w:val="0"/>
              <w:spacing w:before="0" w:after="0"/>
              <w:jc w:val="right"/>
              <w:rPr>
                <w:color w:val="000000"/>
              </w:rPr>
            </w:pPr>
            <w:r>
              <w:rPr>
                <w:color w:val="000000"/>
              </w:rPr>
              <w:t>29.60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130" w:type="dxa"/>
            <w:tcBorders/>
            <w:vAlign w:val="bottom"/>
          </w:tcPr>
          <w:p>
            <w:pPr>
              <w:pStyle w:val="TableContents"/>
              <w:bidi w:val="0"/>
              <w:spacing w:before="0" w:after="0"/>
              <w:jc w:val="right"/>
              <w:rPr>
                <w:color w:val="000000"/>
              </w:rPr>
            </w:pPr>
            <w:r>
              <w:rPr>
                <w:color w:val="000000"/>
              </w:rPr>
              <w:t>29.05</w:t>
            </w:r>
          </w:p>
        </w:tc>
        <w:tc>
          <w:tcPr>
            <w:tcW w:w="29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 We evaluate our estimates on an ongoing basis.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discussion of the critical accounting policies and significant estimates that we believe require us to make the most complex or subjective decisions or assessments. Additional information about these policies can be found in Note 1 of the consolidated financial statements as of December 31, 2025.</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 xml:space="preserve">Allowance for Credit Losses on Loans. </w:t>
      </w:r>
      <w:r>
        <w:rPr>
          <w:rFonts w:ascii="Times New Roman" w:hAnsi="Times New Roman"/>
          <w:color w:val="000000"/>
          <w:sz w:val="20"/>
          <w:shd w:fill="FFFFFF" w:val="clear"/>
        </w:rPr>
        <w:t>The ACL for loans is established for future expected credit losses through a provision for credit losses charged to earnings. 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The ACL for loans is affected by charge-offs, recoveries and the provision for credit losses on loans.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Loan losses are charged against the allowance when management believes the uncollectibility of a loan balance is confirmed.</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Recently Issued Accounting Pronouncements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See Note 1, Summary of Significant Accounting Policies, in the notes to the consolidated financial statements included elsewhere in this Form 10-Q regarding the impact of new accounting pronouncements.</w:t>
      </w:r>
    </w:p>
    <w:p>
      <w:pPr>
        <w:pStyle w:val="TextBody"/>
        <w:bidi w:val="0"/>
        <w:spacing w:before="0" w:after="0"/>
        <w:jc w:val="left"/>
        <w:rPr/>
      </w:pPr>
      <w:r>
        <w:rPr/>
      </w:r>
      <w:bookmarkStart w:id="253" w:name="ze5ce2766b6af4190b461a012c4d7c0f0"/>
      <w:bookmarkStart w:id="254" w:name="QuantitativeandQualitativ"/>
      <w:bookmarkStart w:id="255" w:name="ze5ce2766b6af4190b461a012c4d7c0f0"/>
      <w:bookmarkStart w:id="256" w:name="QuantitativeandQualitativ"/>
      <w:bookmarkEnd w:id="255"/>
      <w:bookmarkEnd w:id="256"/>
    </w:p>
    <w:tbl>
      <w:tblPr>
        <w:tblW w:w="6850" w:type="dxa"/>
        <w:jc w:val="left"/>
        <w:tblInd w:w="0" w:type="dxa"/>
        <w:tblLayout w:type="fixed"/>
        <w:tblCellMar>
          <w:top w:w="0" w:type="dxa"/>
          <w:left w:w="0" w:type="dxa"/>
          <w:bottom w:w="0" w:type="dxa"/>
          <w:right w:w="0" w:type="dxa"/>
        </w:tblCellMar>
      </w:tblPr>
      <w:tblGrid>
        <w:gridCol w:w="770"/>
        <w:gridCol w:w="6080"/>
      </w:tblGrid>
      <w:tr>
        <w:trPr/>
        <w:tc>
          <w:tcPr>
            <w:tcW w:w="770" w:type="dxa"/>
            <w:tcBorders/>
            <w:vAlign w:val="center"/>
          </w:tcPr>
          <w:p>
            <w:pPr>
              <w:pStyle w:val="TableContents"/>
              <w:bidi w:val="0"/>
              <w:spacing w:before="0" w:after="283"/>
              <w:jc w:val="left"/>
              <w:rPr>
                <w:b/>
                <w:color w:val="000000"/>
              </w:rPr>
            </w:pPr>
            <w:r>
              <w:rPr>
                <w:b/>
                <w:color w:val="000000"/>
              </w:rPr>
              <w:t>Item 3.</w:t>
            </w:r>
          </w:p>
        </w:tc>
        <w:tc>
          <w:tcPr>
            <w:tcW w:w="6080" w:type="dxa"/>
            <w:tcBorders/>
            <w:vAlign w:val="center"/>
          </w:tcPr>
          <w:p>
            <w:pPr>
              <w:pStyle w:val="TableContents"/>
              <w:bidi w:val="0"/>
              <w:spacing w:before="0" w:after="0"/>
              <w:jc w:val="left"/>
              <w:rPr>
                <w:b/>
                <w:color w:val="000000"/>
              </w:rPr>
            </w:pPr>
            <w:r>
              <w:rPr>
                <w:b/>
                <w:color w:val="000000"/>
              </w:rPr>
              <w:t>Quantitative and Qualitative Disclosure about Market Risk</w:t>
            </w:r>
          </w:p>
        </w:tc>
      </w:tr>
    </w:tbl>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57" w:name="z96f3896af16d4399ba849c7b1cc4c726"/>
      <w:bookmarkStart w:id="258" w:name="ControlsandProcedures"/>
      <w:bookmarkStart w:id="259" w:name="z96f3896af16d4399ba849c7b1cc4c726"/>
      <w:bookmarkStart w:id="260" w:name="ControlsandProcedures"/>
      <w:bookmarkEnd w:id="259"/>
      <w:bookmarkEnd w:id="260"/>
    </w:p>
    <w:tbl>
      <w:tblPr>
        <w:tblW w:w="3415" w:type="dxa"/>
        <w:jc w:val="left"/>
        <w:tblInd w:w="0" w:type="dxa"/>
        <w:tblLayout w:type="fixed"/>
        <w:tblCellMar>
          <w:top w:w="0" w:type="dxa"/>
          <w:left w:w="0" w:type="dxa"/>
          <w:bottom w:w="0" w:type="dxa"/>
          <w:right w:w="0" w:type="dxa"/>
        </w:tblCellMar>
      </w:tblPr>
      <w:tblGrid>
        <w:gridCol w:w="770"/>
        <w:gridCol w:w="2645"/>
      </w:tblGrid>
      <w:tr>
        <w:trPr/>
        <w:tc>
          <w:tcPr>
            <w:tcW w:w="770" w:type="dxa"/>
            <w:tcBorders/>
            <w:vAlign w:val="center"/>
          </w:tcPr>
          <w:p>
            <w:pPr>
              <w:pStyle w:val="TableContents"/>
              <w:bidi w:val="0"/>
              <w:spacing w:before="0" w:after="283"/>
              <w:jc w:val="left"/>
              <w:rPr>
                <w:b/>
                <w:color w:val="000000"/>
              </w:rPr>
            </w:pPr>
            <w:r>
              <w:rPr>
                <w:b/>
                <w:color w:val="000000"/>
              </w:rPr>
              <w:t>Item 4.</w:t>
            </w:r>
          </w:p>
        </w:tc>
        <w:tc>
          <w:tcPr>
            <w:tcW w:w="2645" w:type="dxa"/>
            <w:tcBorders/>
            <w:vAlign w:val="center"/>
          </w:tcPr>
          <w:p>
            <w:pPr>
              <w:pStyle w:val="TableContents"/>
              <w:bidi w:val="0"/>
              <w:spacing w:before="0" w:after="0"/>
              <w:jc w:val="left"/>
              <w:rPr>
                <w:b/>
                <w:color w:val="000000"/>
              </w:rPr>
            </w:pPr>
            <w:r>
              <w:rPr>
                <w:b/>
                <w:color w:val="000000"/>
              </w:rPr>
              <w:t>Controls and Procedures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Evaluation of Disclosure Controls and Procedures</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Internal Control over Financial Reporting</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no changes in the Company’s internal control over financial reporting (as such term is defined in Rules 13a-15(f) and 15d-15(f) under the Exchange Act) that occurred during the three months ended June 30, 2026 that have materially affected, or are reasonably likely to materially affect, the Company’s internal control over financial reporting.</w:t>
      </w:r>
    </w:p>
    <w:p>
      <w:pPr>
        <w:pStyle w:val="TextBody"/>
        <w:bidi w:val="0"/>
        <w:spacing w:before="0" w:after="0"/>
        <w:jc w:val="left"/>
        <w:rPr>
          <w:sz w:val="24"/>
        </w:rPr>
      </w:pPr>
      <w:r>
        <w:rPr>
          <w:sz w:val="24"/>
        </w:rPr>
      </w:r>
    </w:p>
    <w:p>
      <w:pPr>
        <w:pStyle w:val="TextBody"/>
        <w:bidi w:val="0"/>
        <w:spacing w:before="0" w:after="0"/>
        <w:jc w:val="left"/>
        <w:rPr>
          <w:rFonts w:ascii="Times New Roman" w:hAnsi="Times New Roman"/>
          <w:b/>
          <w:color w:val="000000"/>
          <w:sz w:val="20"/>
          <w:shd w:fill="FFFFFF" w:val="clear"/>
        </w:rPr>
      </w:pPr>
      <w:bookmarkStart w:id="261" w:name="PARTII.OTHERINFORMATION"/>
      <w:bookmarkEnd w:id="261"/>
      <w:r>
        <w:rPr>
          <w:rFonts w:ascii="Times New Roman" w:hAnsi="Times New Roman"/>
          <w:b/>
          <w:color w:val="000000"/>
          <w:sz w:val="20"/>
          <w:shd w:fill="FFFFFF" w:val="clear"/>
        </w:rPr>
        <w:t>PART II.</w:t>
      </w:r>
      <w:bookmarkStart w:id="262" w:name="PARTII."/>
      <w:bookmarkEnd w:id="262"/>
      <w:r>
        <w:rPr>
          <w:rFonts w:ascii="Times New Roman" w:hAnsi="Times New Roman"/>
          <w:b/>
          <w:color w:val="000000"/>
          <w:sz w:val="20"/>
          <w:shd w:fill="FFFFFF" w:val="clear"/>
        </w:rPr>
        <w:t xml:space="preserve"> OTHER INFORMATION</w:t>
      </w:r>
    </w:p>
    <w:p>
      <w:pPr>
        <w:pStyle w:val="TextBody"/>
        <w:bidi w:val="0"/>
        <w:spacing w:before="0" w:after="0"/>
        <w:jc w:val="left"/>
        <w:rPr>
          <w:b/>
          <w:color w:val="000000"/>
        </w:rPr>
      </w:pPr>
      <w:r>
        <w:rPr>
          <w:b/>
          <w:color w:val="000000"/>
        </w:rPr>
      </w:r>
    </w:p>
    <w:p>
      <w:pPr>
        <w:pStyle w:val="Normal"/>
        <w:bidi w:val="0"/>
        <w:spacing w:before="0" w:after="0"/>
        <w:jc w:val="left"/>
        <w:rPr>
          <w:sz w:val="4"/>
          <w:szCs w:val="4"/>
        </w:rPr>
      </w:pPr>
      <w:r>
        <w:rPr>
          <w:sz w:val="4"/>
          <w:szCs w:val="4"/>
        </w:rPr>
      </w:r>
      <w:bookmarkStart w:id="263" w:name="zfda4c56dcf964ee9986507c7b835e69a"/>
      <w:bookmarkStart w:id="264" w:name="Proceedings"/>
      <w:bookmarkStart w:id="265" w:name="LegalProceedings"/>
      <w:bookmarkStart w:id="266" w:name="Item1."/>
      <w:bookmarkStart w:id="267" w:name="zfda4c56dcf964ee9986507c7b835e69a"/>
      <w:bookmarkStart w:id="268" w:name="Proceedings"/>
      <w:bookmarkStart w:id="269" w:name="LegalProceedings"/>
      <w:bookmarkStart w:id="270" w:name="Item1."/>
      <w:bookmarkEnd w:id="267"/>
      <w:bookmarkEnd w:id="268"/>
      <w:bookmarkEnd w:id="269"/>
      <w:bookmarkEnd w:id="270"/>
    </w:p>
    <w:tbl>
      <w:tblPr>
        <w:tblW w:w="2725" w:type="dxa"/>
        <w:jc w:val="left"/>
        <w:tblInd w:w="0" w:type="dxa"/>
        <w:tblLayout w:type="fixed"/>
        <w:tblCellMar>
          <w:top w:w="0" w:type="dxa"/>
          <w:left w:w="0" w:type="dxa"/>
          <w:bottom w:w="0" w:type="dxa"/>
          <w:right w:w="0" w:type="dxa"/>
        </w:tblCellMar>
      </w:tblPr>
      <w:tblGrid>
        <w:gridCol w:w="770"/>
        <w:gridCol w:w="1955"/>
      </w:tblGrid>
      <w:tr>
        <w:trPr/>
        <w:tc>
          <w:tcPr>
            <w:tcW w:w="770" w:type="dxa"/>
            <w:tcBorders/>
            <w:vAlign w:val="center"/>
          </w:tcPr>
          <w:p>
            <w:pPr>
              <w:pStyle w:val="TableContents"/>
              <w:bidi w:val="0"/>
              <w:spacing w:before="0" w:after="283"/>
              <w:jc w:val="left"/>
              <w:rPr>
                <w:b/>
                <w:color w:val="000000"/>
              </w:rPr>
            </w:pPr>
            <w:r>
              <w:rPr>
                <w:b/>
                <w:color w:val="000000"/>
              </w:rPr>
              <w:t>Item 1.</w:t>
            </w:r>
          </w:p>
        </w:tc>
        <w:tc>
          <w:tcPr>
            <w:tcW w:w="1955" w:type="dxa"/>
            <w:tcBorders/>
            <w:vAlign w:val="center"/>
          </w:tcPr>
          <w:p>
            <w:pPr>
              <w:pStyle w:val="TableContents"/>
              <w:bidi w:val="0"/>
              <w:spacing w:before="0" w:after="0"/>
              <w:jc w:val="left"/>
              <w:rPr>
                <w:b/>
                <w:color w:val="000000"/>
              </w:rPr>
            </w:pPr>
            <w:r>
              <w:rPr>
                <w:b/>
                <w:color w:val="000000"/>
              </w:rPr>
              <w:t>Legal Proceedings</w:t>
            </w:r>
          </w:p>
        </w:tc>
      </w:tr>
    </w:tbl>
    <w:p>
      <w:pPr>
        <w:pStyle w:val="TextBody"/>
        <w:bidi w:val="0"/>
        <w:spacing w:before="0" w:after="0"/>
        <w:ind w:left="900" w:right="0" w:hanging="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subsidiaries are subject to various legal actions, as described in our Annual Report on Form 10-K for the year ended December 31, 2025 (the “2025 Annual Report on Form 10-K”) filed with the SEC on March 5, 2026. We are not presently involved in any litigation, nor to our knowledge is any litigation threatened against us, that in management’s opinion would result in any material adverse effect on our financial position or results of operations or that is not expected to be covered by insurance.</w:t>
      </w:r>
    </w:p>
    <w:p>
      <w:pPr>
        <w:pStyle w:val="TextBody"/>
        <w:bidi w:val="0"/>
        <w:spacing w:before="0" w:after="0"/>
        <w:jc w:val="left"/>
        <w:rPr/>
      </w:pPr>
      <w:r>
        <w:rPr/>
      </w:r>
      <w:bookmarkStart w:id="271" w:name="z78b766291d534effbe7fdd5d68a02bb6"/>
      <w:bookmarkStart w:id="272" w:name="RiskFactors"/>
      <w:bookmarkStart w:id="273" w:name="z78b766291d534effbe7fdd5d68a02bb6"/>
      <w:bookmarkStart w:id="274" w:name="RiskFactors"/>
      <w:bookmarkEnd w:id="273"/>
      <w:bookmarkEnd w:id="274"/>
    </w:p>
    <w:tbl>
      <w:tblPr>
        <w:tblW w:w="2335" w:type="dxa"/>
        <w:jc w:val="left"/>
        <w:tblInd w:w="0" w:type="dxa"/>
        <w:tblLayout w:type="fixed"/>
        <w:tblCellMar>
          <w:top w:w="0" w:type="dxa"/>
          <w:left w:w="0" w:type="dxa"/>
          <w:bottom w:w="0" w:type="dxa"/>
          <w:right w:w="0" w:type="dxa"/>
        </w:tblCellMar>
      </w:tblPr>
      <w:tblGrid>
        <w:gridCol w:w="950"/>
        <w:gridCol w:w="1385"/>
      </w:tblGrid>
      <w:tr>
        <w:trPr/>
        <w:tc>
          <w:tcPr>
            <w:tcW w:w="950" w:type="dxa"/>
            <w:tcBorders/>
            <w:vAlign w:val="center"/>
          </w:tcPr>
          <w:p>
            <w:pPr>
              <w:pStyle w:val="TableContents"/>
              <w:bidi w:val="0"/>
              <w:spacing w:before="0" w:after="283"/>
              <w:jc w:val="left"/>
              <w:rPr>
                <w:b/>
                <w:color w:val="000000"/>
              </w:rPr>
            </w:pPr>
            <w:r>
              <w:rPr>
                <w:b/>
                <w:color w:val="000000"/>
              </w:rPr>
              <w:t>Item 1A.</w:t>
            </w:r>
          </w:p>
        </w:tc>
        <w:tc>
          <w:tcPr>
            <w:tcW w:w="1385" w:type="dxa"/>
            <w:tcBorders/>
            <w:vAlign w:val="center"/>
          </w:tcPr>
          <w:p>
            <w:pPr>
              <w:pStyle w:val="TableContents"/>
              <w:bidi w:val="0"/>
              <w:spacing w:before="0" w:after="0"/>
              <w:jc w:val="left"/>
              <w:rPr>
                <w:b/>
                <w:color w:val="000000"/>
              </w:rPr>
            </w:pPr>
            <w:r>
              <w:rPr>
                <w:b/>
                <w:color w:val="000000"/>
              </w:rPr>
              <w:t>Risk Factors</w:t>
            </w:r>
          </w:p>
        </w:tc>
      </w:tr>
    </w:tbl>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2025 Annual Report on Form 10-K. Management believes there have been no material changes in the risk factors disclosed by the Company in Part I, Item 1A, “Risk Factors,” of the 2025 Annual Report on Form 10-K. Additional risks and uncertainties not currently known to us or that we currently deem to be immaterial also may materially adversely affect our business, financial condition and/or operating results.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Normal"/>
        <w:bidi w:val="0"/>
        <w:spacing w:before="0" w:after="0"/>
        <w:jc w:val="left"/>
        <w:rPr>
          <w:sz w:val="4"/>
          <w:szCs w:val="4"/>
        </w:rPr>
      </w:pPr>
      <w:r>
        <w:rPr>
          <w:sz w:val="4"/>
          <w:szCs w:val="4"/>
        </w:rPr>
      </w:r>
      <w:bookmarkStart w:id="275" w:name="z092dfbb711fa4bfcb21759f71684110b"/>
      <w:bookmarkStart w:id="276" w:name="UnregisteredSalesofEquity"/>
      <w:bookmarkStart w:id="277" w:name="z092dfbb711fa4bfcb21759f71684110b"/>
      <w:bookmarkStart w:id="278" w:name="UnregisteredSalesofEquity"/>
      <w:bookmarkEnd w:id="277"/>
      <w:bookmarkEnd w:id="278"/>
    </w:p>
    <w:tbl>
      <w:tblPr>
        <w:tblW w:w="6910" w:type="dxa"/>
        <w:jc w:val="left"/>
        <w:tblInd w:w="0" w:type="dxa"/>
        <w:tblLayout w:type="fixed"/>
        <w:tblCellMar>
          <w:top w:w="0" w:type="dxa"/>
          <w:left w:w="0" w:type="dxa"/>
          <w:bottom w:w="0" w:type="dxa"/>
          <w:right w:w="0" w:type="dxa"/>
        </w:tblCellMar>
      </w:tblPr>
      <w:tblGrid>
        <w:gridCol w:w="770"/>
        <w:gridCol w:w="6140"/>
      </w:tblGrid>
      <w:tr>
        <w:trPr/>
        <w:tc>
          <w:tcPr>
            <w:tcW w:w="770" w:type="dxa"/>
            <w:tcBorders/>
            <w:vAlign w:val="center"/>
          </w:tcPr>
          <w:p>
            <w:pPr>
              <w:pStyle w:val="TableContents"/>
              <w:bidi w:val="0"/>
              <w:spacing w:before="0" w:after="283"/>
              <w:jc w:val="left"/>
              <w:rPr>
                <w:b/>
                <w:color w:val="000000"/>
              </w:rPr>
            </w:pPr>
            <w:r>
              <w:rPr>
                <w:b/>
                <w:color w:val="000000"/>
              </w:rPr>
              <w:t>Item 2.</w:t>
            </w:r>
          </w:p>
        </w:tc>
        <w:tc>
          <w:tcPr>
            <w:tcW w:w="6140" w:type="dxa"/>
            <w:tcBorders/>
            <w:vAlign w:val="center"/>
          </w:tcPr>
          <w:p>
            <w:pPr>
              <w:pStyle w:val="TableContents"/>
              <w:bidi w:val="0"/>
              <w:spacing w:before="0" w:after="0"/>
              <w:jc w:val="left"/>
              <w:rPr>
                <w:b/>
                <w:color w:val="000000"/>
              </w:rPr>
            </w:pPr>
            <w:r>
              <w:rPr>
                <w:b/>
                <w:color w:val="000000"/>
              </w:rPr>
              <w:t>Unregistered Sales of Equity Securities and Use of Proceeds</w:t>
            </w:r>
          </w:p>
        </w:tc>
      </w:tr>
    </w:tbl>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Issuer Purchases of Equity Securities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February 21, 2025, the Company’s board of directors approved a stock repurchase program pursuant to which the Company may, from time to time, purchase up to $15.0 million of its outstanding shares of common stock (the “Program”). Upon the expiration of the Program, on February 23, 2026, the Company’s board of directors approved a new stock repurchase program pursuant to which the Company may, from time to time, purchase up to $10.0 million of its outstanding shares of common stock (the “New Program”).</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the New Program, the Company may repurchase shares of the Company’s common stock from time to time through various means, including open market purchases and privately negotiated transactions. Open market repurchases will be conducted in accordance with the limitations set forth in Rule 10b-18 promulgated under the Securities Exchange Act of 1934, as amended (the “Exchange Act”), and other applicable legal requirements. Repurchases under the New Program may also be made pursuant to a trading plan under Rule 10b5-1 under the Exchange Act, which would permit shares to be repurchased by the Company when the Company might otherwise be precluded from doing so because of self-imposed trading blackout periods or other regulatory restrictions. The extent to which the Company repurchases its shares, and the manner, timing and amount of such repurchases, will depend upon a variety of factors, including the performance of the Company’s stock price, general market and economic conditions, regulatory requirements, availability of funds, and other relevant considerations, as determined by the Company. The Company may, in its discretion, begin, suspend or terminate repurchases at any time prior to the New Program’s expiration, without any prior notice. The New Program does not obligate the Company to repurchase any particular number or amount of shares of the Company’s common stock and there is no guarantee as to the exact number or value of shares that will be repurchased by the Company under the New Program.</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repurchases of Common Stock under the New Program, the Company also repurchased Common Stock in a privately negotiated transaction during the three months ended June 30, 2026.</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share repurchase activity under the New Program and through privately negotiated transactions for the three months ended June 30, 2026.</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279" w:name="z42cfec6d4b1a4f3598e03b6ef0239fbb"/>
      <w:bookmarkStart w:id="280" w:name="z42cfec6d4b1a4f3598e03b6ef0239fbb"/>
      <w:bookmarkEnd w:id="280"/>
    </w:p>
    <w:tbl>
      <w:tblPr>
        <w:tblW w:w="10205" w:type="dxa"/>
        <w:jc w:val="left"/>
        <w:tblInd w:w="0" w:type="dxa"/>
        <w:tblLayout w:type="fixed"/>
        <w:tblCellMar>
          <w:top w:w="0" w:type="dxa"/>
          <w:left w:w="0" w:type="dxa"/>
          <w:bottom w:w="0" w:type="dxa"/>
          <w:right w:w="0" w:type="dxa"/>
        </w:tblCellMar>
      </w:tblPr>
      <w:tblGrid>
        <w:gridCol w:w="700"/>
        <w:gridCol w:w="90"/>
        <w:gridCol w:w="159"/>
        <w:gridCol w:w="1478"/>
        <w:gridCol w:w="90"/>
        <w:gridCol w:w="90"/>
        <w:gridCol w:w="288"/>
        <w:gridCol w:w="1003"/>
        <w:gridCol w:w="90"/>
        <w:gridCol w:w="90"/>
        <w:gridCol w:w="518"/>
        <w:gridCol w:w="2537"/>
        <w:gridCol w:w="90"/>
        <w:gridCol w:w="90"/>
        <w:gridCol w:w="359"/>
        <w:gridCol w:w="2394"/>
        <w:gridCol w:w="139"/>
      </w:tblGrid>
      <w:tr>
        <w:trPr/>
        <w:tc>
          <w:tcPr>
            <w:tcW w:w="7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3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Shares Repurchased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9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 Price Paid Per Share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Dollar Amount Purchased Pursuant to Publicly-Announced Plans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5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Maximum Dollar Amount Remaining Available </w:t>
            </w:r>
          </w:p>
          <w:p>
            <w:pPr>
              <w:pStyle w:val="TableContents"/>
              <w:bidi w:val="0"/>
              <w:spacing w:before="0" w:after="0"/>
              <w:jc w:val="center"/>
              <w:rPr>
                <w:b/>
                <w:color w:val="000000"/>
              </w:rPr>
            </w:pPr>
            <w:r>
              <w:rPr>
                <w:b/>
                <w:color w:val="000000"/>
              </w:rPr>
              <w:t>for Repurchase Pursuant to Publicly-Announced Plans</w:t>
            </w:r>
          </w:p>
        </w:tc>
        <w:tc>
          <w:tcPr>
            <w:tcW w:w="139" w:type="dxa"/>
            <w:tcBorders/>
            <w:vAlign w:val="bottom"/>
          </w:tcPr>
          <w:p>
            <w:pPr>
              <w:pStyle w:val="TableContents"/>
              <w:bidi w:val="0"/>
              <w:spacing w:before="0" w:after="283"/>
              <w:jc w:val="left"/>
              <w:rPr/>
            </w:pPr>
            <w:r>
              <w:rPr/>
              <w:t> </w:t>
            </w:r>
          </w:p>
        </w:tc>
      </w:tr>
      <w:tr>
        <w:trPr/>
        <w:tc>
          <w:tcPr>
            <w:tcW w:w="700" w:type="dxa"/>
            <w:tcBorders/>
            <w:shd w:fill="CCEEFF" w:val="clear"/>
            <w:vAlign w:val="bottom"/>
          </w:tcPr>
          <w:p>
            <w:pPr>
              <w:pStyle w:val="TableContents"/>
              <w:bidi w:val="0"/>
              <w:spacing w:before="0" w:after="0"/>
              <w:jc w:val="left"/>
              <w:rPr>
                <w:b/>
                <w:color w:val="000000"/>
              </w:rPr>
            </w:pPr>
            <w:r>
              <w:rPr>
                <w:b/>
                <w:color w:val="000000"/>
              </w:rPr>
              <w:t>April 2026</w:t>
            </w:r>
          </w:p>
        </w:tc>
        <w:tc>
          <w:tcPr>
            <w:tcW w:w="9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7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0"/>
              <w:jc w:val="left"/>
              <w:rPr>
                <w:color w:val="000000"/>
              </w:rPr>
            </w:pPr>
            <w:r>
              <w:rPr>
                <w:color w:val="000000"/>
              </w:rPr>
              <w:t>$</w:t>
            </w:r>
          </w:p>
        </w:tc>
        <w:tc>
          <w:tcPr>
            <w:tcW w:w="100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0"/>
              <w:jc w:val="left"/>
              <w:rPr>
                <w:color w:val="000000"/>
              </w:rPr>
            </w:pPr>
            <w:r>
              <w:rPr>
                <w:color w:val="000000"/>
              </w:rPr>
              <w:t>$</w:t>
            </w:r>
          </w:p>
        </w:tc>
        <w:tc>
          <w:tcPr>
            <w:tcW w:w="253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0"/>
              <w:jc w:val="left"/>
              <w:rPr>
                <w:color w:val="000000"/>
              </w:rPr>
            </w:pPr>
            <w:r>
              <w:rPr>
                <w:color w:val="000000"/>
              </w:rPr>
              <w:t>$</w:t>
            </w:r>
          </w:p>
        </w:tc>
        <w:tc>
          <w:tcPr>
            <w:tcW w:w="2394" w:type="dxa"/>
            <w:tcBorders/>
            <w:shd w:fill="CCEEFF" w:val="clear"/>
            <w:vAlign w:val="bottom"/>
          </w:tcPr>
          <w:p>
            <w:pPr>
              <w:pStyle w:val="TableContents"/>
              <w:bidi w:val="0"/>
              <w:spacing w:before="0" w:after="0"/>
              <w:jc w:val="right"/>
              <w:rPr>
                <w:color w:val="000000"/>
              </w:rPr>
            </w:pPr>
            <w:r>
              <w:rPr>
                <w:color w:val="000000"/>
              </w:rPr>
              <w:t>10,000,000</w:t>
            </w:r>
          </w:p>
        </w:tc>
        <w:tc>
          <w:tcPr>
            <w:tcW w:w="139" w:type="dxa"/>
            <w:tcBorders/>
            <w:shd w:fill="CCEEFF" w:val="clear"/>
            <w:vAlign w:val="bottom"/>
          </w:tcPr>
          <w:p>
            <w:pPr>
              <w:pStyle w:val="TableContents"/>
              <w:bidi w:val="0"/>
              <w:spacing w:before="0" w:after="283"/>
              <w:jc w:val="left"/>
              <w:rPr/>
            </w:pPr>
            <w:r>
              <w:rPr/>
              <w:t> </w:t>
            </w:r>
          </w:p>
        </w:tc>
      </w:tr>
      <w:tr>
        <w:trPr/>
        <w:tc>
          <w:tcPr>
            <w:tcW w:w="700" w:type="dxa"/>
            <w:tcBorders/>
            <w:vAlign w:val="bottom"/>
          </w:tcPr>
          <w:p>
            <w:pPr>
              <w:pStyle w:val="TableContents"/>
              <w:bidi w:val="0"/>
              <w:spacing w:before="0" w:after="0"/>
              <w:jc w:val="left"/>
              <w:rPr>
                <w:b/>
                <w:color w:val="000000"/>
              </w:rPr>
            </w:pPr>
            <w:r>
              <w:rPr>
                <w:b/>
                <w:color w:val="000000"/>
              </w:rPr>
              <w:t>May 2026</w:t>
            </w:r>
          </w:p>
        </w:tc>
        <w:tc>
          <w:tcPr>
            <w:tcW w:w="9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78" w:type="dxa"/>
            <w:tcBorders/>
            <w:vAlign w:val="bottom"/>
          </w:tcPr>
          <w:p>
            <w:pPr>
              <w:pStyle w:val="TableContents"/>
              <w:bidi w:val="0"/>
              <w:spacing w:before="0" w:after="0"/>
              <w:jc w:val="right"/>
              <w:rPr>
                <w:color w:val="000000"/>
              </w:rPr>
            </w:pPr>
            <w:r>
              <w:rPr>
                <w:color w:val="000000"/>
              </w:rPr>
              <w:t>10,965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0"/>
              <w:jc w:val="right"/>
              <w:rPr>
                <w:color w:val="000000"/>
              </w:rPr>
            </w:pPr>
            <w:r>
              <w:rPr>
                <w:color w:val="000000"/>
              </w:rPr>
              <w:t>38.91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537" w:type="dxa"/>
            <w:tcBorders/>
            <w:vAlign w:val="bottom"/>
          </w:tcPr>
          <w:p>
            <w:pPr>
              <w:pStyle w:val="TableContents"/>
              <w:bidi w:val="0"/>
              <w:spacing w:before="0" w:after="0"/>
              <w:jc w:val="right"/>
              <w:rPr>
                <w:color w:val="000000"/>
              </w:rPr>
            </w:pPr>
            <w:r>
              <w:rPr>
                <w:color w:val="000000"/>
              </w:rPr>
              <w:t>426,181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394" w:type="dxa"/>
            <w:tcBorders/>
            <w:vAlign w:val="bottom"/>
          </w:tcPr>
          <w:p>
            <w:pPr>
              <w:pStyle w:val="TableContents"/>
              <w:bidi w:val="0"/>
              <w:spacing w:before="0" w:after="0"/>
              <w:jc w:val="right"/>
              <w:rPr>
                <w:color w:val="000000"/>
              </w:rPr>
            </w:pPr>
            <w:r>
              <w:rPr>
                <w:color w:val="000000"/>
              </w:rPr>
              <w:t>9,573,819</w:t>
            </w:r>
          </w:p>
        </w:tc>
        <w:tc>
          <w:tcPr>
            <w:tcW w:w="139" w:type="dxa"/>
            <w:tcBorders/>
            <w:vAlign w:val="bottom"/>
          </w:tcPr>
          <w:p>
            <w:pPr>
              <w:pStyle w:val="TableContents"/>
              <w:bidi w:val="0"/>
              <w:spacing w:before="0" w:after="283"/>
              <w:jc w:val="left"/>
              <w:rPr/>
            </w:pPr>
            <w:r>
              <w:rPr/>
              <w:t> </w:t>
            </w:r>
          </w:p>
        </w:tc>
      </w:tr>
      <w:tr>
        <w:trPr/>
        <w:tc>
          <w:tcPr>
            <w:tcW w:w="700" w:type="dxa"/>
            <w:tcBorders/>
            <w:shd w:fill="CCEEFF" w:val="clear"/>
            <w:vAlign w:val="bottom"/>
          </w:tcPr>
          <w:p>
            <w:pPr>
              <w:pStyle w:val="TableContents"/>
              <w:bidi w:val="0"/>
              <w:spacing w:before="0" w:after="0"/>
              <w:jc w:val="left"/>
              <w:rPr>
                <w:b/>
                <w:color w:val="000000"/>
              </w:rPr>
            </w:pPr>
            <w:r>
              <w:rPr>
                <w:b/>
                <w:color w:val="000000"/>
              </w:rPr>
              <w:t>June 2026</w:t>
            </w:r>
          </w:p>
        </w:tc>
        <w:tc>
          <w:tcPr>
            <w:tcW w:w="90" w:type="dxa"/>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7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300,000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0"/>
              <w:jc w:val="right"/>
              <w:rPr>
                <w:color w:val="000000"/>
              </w:rPr>
            </w:pPr>
            <w:r>
              <w:rPr>
                <w:color w:val="000000"/>
              </w:rPr>
              <w:t>41.39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253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2394" w:type="dxa"/>
            <w:tcBorders/>
            <w:shd w:fill="CCEEFF" w:val="clear"/>
            <w:vAlign w:val="bottom"/>
          </w:tcPr>
          <w:p>
            <w:pPr>
              <w:pStyle w:val="TableContents"/>
              <w:bidi w:val="0"/>
              <w:spacing w:before="0" w:after="0"/>
              <w:jc w:val="right"/>
              <w:rPr>
                <w:color w:val="000000"/>
              </w:rPr>
            </w:pPr>
            <w:r>
              <w:rPr>
                <w:color w:val="000000"/>
              </w:rPr>
              <w:t>9,573,819</w:t>
            </w:r>
          </w:p>
        </w:tc>
        <w:tc>
          <w:tcPr>
            <w:tcW w:w="139" w:type="dxa"/>
            <w:tcBorders/>
            <w:shd w:fill="CCEEFF" w:val="clear"/>
            <w:vAlign w:val="bottom"/>
          </w:tcPr>
          <w:p>
            <w:pPr>
              <w:pStyle w:val="TableContents"/>
              <w:bidi w:val="0"/>
              <w:spacing w:before="0" w:after="283"/>
              <w:jc w:val="left"/>
              <w:rPr/>
            </w:pPr>
            <w:r>
              <w:rPr/>
              <w:t> </w:t>
            </w:r>
          </w:p>
        </w:tc>
      </w:tr>
      <w:tr>
        <w:trPr/>
        <w:tc>
          <w:tcPr>
            <w:tcW w:w="700" w:type="dxa"/>
            <w:tcBorders/>
            <w:vAlign w:val="bottom"/>
          </w:tcPr>
          <w:p>
            <w:pPr>
              <w:pStyle w:val="TableContents"/>
              <w:bidi w:val="0"/>
              <w:spacing w:before="0" w:after="0"/>
              <w:ind w:left="180" w:right="0" w:hanging="0"/>
              <w:jc w:val="left"/>
              <w:rPr>
                <w:b/>
                <w:color w:val="000000"/>
              </w:rPr>
            </w:pPr>
            <w:r>
              <w:rPr>
                <w:b/>
                <w:color w:val="000000"/>
              </w:rPr>
              <w:t>Total</w:t>
            </w:r>
          </w:p>
        </w:tc>
        <w:tc>
          <w:tcPr>
            <w:tcW w:w="90" w:type="dxa"/>
            <w:tcBorders/>
            <w:vAlign w:val="bottom"/>
          </w:tcPr>
          <w:p>
            <w:pPr>
              <w:pStyle w:val="TableContents"/>
              <w:bidi w:val="0"/>
              <w:spacing w:before="0" w:after="283"/>
              <w:jc w:val="left"/>
              <w:rPr/>
            </w:pPr>
            <w:r>
              <w:rPr/>
              <w:t> </w:t>
            </w:r>
          </w:p>
        </w:tc>
        <w:tc>
          <w:tcPr>
            <w:tcW w:w="159" w:type="dxa"/>
            <w:tcBorders>
              <w:bottom w:val="double" w:sz="8" w:space="0" w:color="000000"/>
            </w:tcBorders>
            <w:tcMar>
              <w:bottom w:w="28" w:type="dxa"/>
            </w:tcMar>
            <w:vAlign w:val="bottom"/>
          </w:tcPr>
          <w:p>
            <w:pPr>
              <w:pStyle w:val="TableContents"/>
              <w:bidi w:val="0"/>
              <w:spacing w:before="0" w:after="283"/>
              <w:jc w:val="left"/>
              <w:rPr/>
            </w:pPr>
            <w:r>
              <w:rPr/>
              <w:t> </w:t>
            </w:r>
          </w:p>
        </w:tc>
        <w:tc>
          <w:tcPr>
            <w:tcW w:w="147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310,965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2537"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2394"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281" w:name="z6c10d08482fd4f19a6c8e246b28e9ab4"/>
      <w:bookmarkStart w:id="282" w:name="DefaultsuponSeniorSecurit"/>
      <w:bookmarkStart w:id="283" w:name="z6c10d08482fd4f19a6c8e246b28e9ab4"/>
      <w:bookmarkStart w:id="284" w:name="DefaultsuponSeniorSecurit"/>
      <w:bookmarkEnd w:id="283"/>
      <w:bookmarkEnd w:id="284"/>
    </w:p>
    <w:tbl>
      <w:tblPr>
        <w:tblW w:w="4045" w:type="dxa"/>
        <w:jc w:val="left"/>
        <w:tblInd w:w="0" w:type="dxa"/>
        <w:tblLayout w:type="fixed"/>
        <w:tblCellMar>
          <w:top w:w="0" w:type="dxa"/>
          <w:left w:w="0" w:type="dxa"/>
          <w:bottom w:w="0" w:type="dxa"/>
          <w:right w:w="0" w:type="dxa"/>
        </w:tblCellMar>
      </w:tblPr>
      <w:tblGrid>
        <w:gridCol w:w="770"/>
        <w:gridCol w:w="3275"/>
      </w:tblGrid>
      <w:tr>
        <w:trPr/>
        <w:tc>
          <w:tcPr>
            <w:tcW w:w="770" w:type="dxa"/>
            <w:tcBorders/>
            <w:vAlign w:val="center"/>
          </w:tcPr>
          <w:p>
            <w:pPr>
              <w:pStyle w:val="TableContents"/>
              <w:bidi w:val="0"/>
              <w:spacing w:before="0" w:after="283"/>
              <w:jc w:val="left"/>
              <w:rPr>
                <w:b/>
                <w:color w:val="000000"/>
              </w:rPr>
            </w:pPr>
            <w:r>
              <w:rPr>
                <w:b/>
                <w:color w:val="000000"/>
              </w:rPr>
              <w:t>Item 3.</w:t>
            </w:r>
          </w:p>
        </w:tc>
        <w:tc>
          <w:tcPr>
            <w:tcW w:w="3275" w:type="dxa"/>
            <w:tcBorders/>
            <w:vAlign w:val="center"/>
          </w:tcPr>
          <w:p>
            <w:pPr>
              <w:pStyle w:val="TableContents"/>
              <w:bidi w:val="0"/>
              <w:spacing w:before="0" w:after="0"/>
              <w:jc w:val="left"/>
              <w:rPr>
                <w:b/>
                <w:color w:val="000000"/>
              </w:rPr>
            </w:pPr>
            <w:r>
              <w:rPr>
                <w:b/>
                <w:color w:val="000000"/>
              </w:rPr>
              <w:t>Defaults upon Senior Securities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both"/>
        <w:rPr>
          <w:sz w:val="4"/>
          <w:szCs w:val="4"/>
        </w:rPr>
      </w:pPr>
      <w:r>
        <w:rPr>
          <w:sz w:val="4"/>
          <w:szCs w:val="4"/>
        </w:rPr>
      </w:r>
      <w:bookmarkStart w:id="285" w:name="zca941b96745e489b8dd1079bbb3afd36"/>
      <w:bookmarkStart w:id="286" w:name="MineSafetyDisclosures"/>
      <w:bookmarkStart w:id="287" w:name="zca941b96745e489b8dd1079bbb3afd36"/>
      <w:bookmarkStart w:id="288" w:name="MineSafetyDisclosures"/>
      <w:bookmarkEnd w:id="287"/>
      <w:bookmarkEnd w:id="288"/>
    </w:p>
    <w:tbl>
      <w:tblPr>
        <w:tblW w:w="3280" w:type="dxa"/>
        <w:jc w:val="left"/>
        <w:tblInd w:w="0" w:type="dxa"/>
        <w:tblLayout w:type="fixed"/>
        <w:tblCellMar>
          <w:top w:w="0" w:type="dxa"/>
          <w:left w:w="0" w:type="dxa"/>
          <w:bottom w:w="0" w:type="dxa"/>
          <w:right w:w="0" w:type="dxa"/>
        </w:tblCellMar>
      </w:tblPr>
      <w:tblGrid>
        <w:gridCol w:w="770"/>
        <w:gridCol w:w="2510"/>
      </w:tblGrid>
      <w:tr>
        <w:trPr/>
        <w:tc>
          <w:tcPr>
            <w:tcW w:w="770" w:type="dxa"/>
            <w:tcBorders/>
            <w:vAlign w:val="center"/>
          </w:tcPr>
          <w:p>
            <w:pPr>
              <w:pStyle w:val="TableContents"/>
              <w:bidi w:val="0"/>
              <w:spacing w:before="0" w:after="283"/>
              <w:jc w:val="left"/>
              <w:rPr>
                <w:b/>
                <w:color w:val="000000"/>
              </w:rPr>
            </w:pPr>
            <w:r>
              <w:rPr>
                <w:b/>
                <w:color w:val="000000"/>
              </w:rPr>
              <w:t>Item 4.</w:t>
            </w:r>
          </w:p>
        </w:tc>
        <w:tc>
          <w:tcPr>
            <w:tcW w:w="2510" w:type="dxa"/>
            <w:tcBorders/>
            <w:vAlign w:val="center"/>
          </w:tcPr>
          <w:p>
            <w:pPr>
              <w:pStyle w:val="TableContents"/>
              <w:bidi w:val="0"/>
              <w:spacing w:before="0" w:after="0"/>
              <w:jc w:val="left"/>
              <w:rPr>
                <w:b/>
                <w:color w:val="000000"/>
              </w:rPr>
            </w:pPr>
            <w:r>
              <w:rPr>
                <w:b/>
                <w:color w:val="000000"/>
              </w:rPr>
              <w:t>Mine Safety Disclosures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both"/>
        <w:rPr>
          <w:sz w:val="4"/>
          <w:szCs w:val="4"/>
        </w:rPr>
      </w:pPr>
      <w:r>
        <w:rPr>
          <w:sz w:val="4"/>
          <w:szCs w:val="4"/>
        </w:rPr>
      </w:r>
      <w:bookmarkStart w:id="289" w:name="zdc69b5764c994eea814ff5b03e014935"/>
      <w:bookmarkStart w:id="290" w:name="Item5."/>
      <w:bookmarkStart w:id="291" w:name="OtherInformation"/>
      <w:bookmarkStart w:id="292" w:name="zdc69b5764c994eea814ff5b03e014935"/>
      <w:bookmarkStart w:id="293" w:name="Item5."/>
      <w:bookmarkStart w:id="294" w:name="OtherInformation"/>
      <w:bookmarkEnd w:id="292"/>
      <w:bookmarkEnd w:id="293"/>
      <w:bookmarkEnd w:id="294"/>
    </w:p>
    <w:tbl>
      <w:tblPr>
        <w:tblW w:w="2755" w:type="dxa"/>
        <w:jc w:val="left"/>
        <w:tblInd w:w="0" w:type="dxa"/>
        <w:tblLayout w:type="fixed"/>
        <w:tblCellMar>
          <w:top w:w="0" w:type="dxa"/>
          <w:left w:w="0" w:type="dxa"/>
          <w:bottom w:w="0" w:type="dxa"/>
          <w:right w:w="0" w:type="dxa"/>
        </w:tblCellMar>
      </w:tblPr>
      <w:tblGrid>
        <w:gridCol w:w="770"/>
        <w:gridCol w:w="1985"/>
      </w:tblGrid>
      <w:tr>
        <w:trPr/>
        <w:tc>
          <w:tcPr>
            <w:tcW w:w="770" w:type="dxa"/>
            <w:tcBorders/>
            <w:vAlign w:val="center"/>
          </w:tcPr>
          <w:p>
            <w:pPr>
              <w:pStyle w:val="TableContents"/>
              <w:bidi w:val="0"/>
              <w:spacing w:before="0" w:after="283"/>
              <w:jc w:val="left"/>
              <w:rPr>
                <w:b/>
                <w:color w:val="000000"/>
              </w:rPr>
            </w:pPr>
            <w:r>
              <w:rPr>
                <w:b/>
                <w:color w:val="000000"/>
              </w:rPr>
              <w:t>Item 5.</w:t>
            </w:r>
          </w:p>
        </w:tc>
        <w:tc>
          <w:tcPr>
            <w:tcW w:w="1985" w:type="dxa"/>
            <w:tcBorders/>
            <w:vAlign w:val="center"/>
          </w:tcPr>
          <w:p>
            <w:pPr>
              <w:pStyle w:val="TableContents"/>
              <w:bidi w:val="0"/>
              <w:spacing w:before="0" w:after="0"/>
              <w:jc w:val="left"/>
              <w:rPr>
                <w:b/>
                <w:color w:val="000000"/>
              </w:rPr>
            </w:pPr>
            <w:r>
              <w:rPr>
                <w:b/>
                <w:color w:val="000000"/>
              </w:rPr>
              <w:t>Other Information</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June 30, 2026, no director or officer of the Company adopted, modified, or terminated a “Rule 10b5-1 trading arrangement” or a “non-Rule 10b5-1 trading arrangement,” as each term is defined in Item 408 of Regulation S-K.</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Normal"/>
        <w:bidi w:val="0"/>
        <w:spacing w:before="0" w:after="0"/>
        <w:jc w:val="left"/>
        <w:rPr>
          <w:sz w:val="4"/>
          <w:szCs w:val="4"/>
        </w:rPr>
      </w:pPr>
      <w:r>
        <w:rPr>
          <w:sz w:val="4"/>
          <w:szCs w:val="4"/>
        </w:rPr>
      </w:r>
      <w:bookmarkStart w:id="295" w:name="z0f2fea06f5eb4f6c992c8b3f87eb04be"/>
      <w:bookmarkStart w:id="296" w:name="Exhibits"/>
      <w:bookmarkStart w:id="297" w:name="z0f2fea06f5eb4f6c992c8b3f87eb04be"/>
      <w:bookmarkStart w:id="298" w:name="Exhibits"/>
      <w:bookmarkEnd w:id="297"/>
      <w:bookmarkEnd w:id="298"/>
    </w:p>
    <w:tbl>
      <w:tblPr>
        <w:tblW w:w="1705" w:type="dxa"/>
        <w:jc w:val="left"/>
        <w:tblInd w:w="0" w:type="dxa"/>
        <w:tblLayout w:type="fixed"/>
        <w:tblCellMar>
          <w:top w:w="0" w:type="dxa"/>
          <w:left w:w="0" w:type="dxa"/>
          <w:bottom w:w="0" w:type="dxa"/>
          <w:right w:w="0" w:type="dxa"/>
        </w:tblCellMar>
      </w:tblPr>
      <w:tblGrid>
        <w:gridCol w:w="770"/>
        <w:gridCol w:w="935"/>
      </w:tblGrid>
      <w:tr>
        <w:trPr/>
        <w:tc>
          <w:tcPr>
            <w:tcW w:w="770" w:type="dxa"/>
            <w:tcBorders/>
            <w:vAlign w:val="center"/>
          </w:tcPr>
          <w:p>
            <w:pPr>
              <w:pStyle w:val="TableContents"/>
              <w:bidi w:val="0"/>
              <w:spacing w:before="0" w:after="283"/>
              <w:jc w:val="left"/>
              <w:rPr>
                <w:b/>
                <w:color w:val="000000"/>
              </w:rPr>
            </w:pPr>
            <w:r>
              <w:rPr>
                <w:b/>
                <w:color w:val="000000"/>
              </w:rPr>
              <w:t>Item 6.</w:t>
            </w:r>
          </w:p>
        </w:tc>
        <w:tc>
          <w:tcPr>
            <w:tcW w:w="935" w:type="dxa"/>
            <w:tcBorders/>
            <w:vAlign w:val="center"/>
          </w:tcPr>
          <w:p>
            <w:pPr>
              <w:pStyle w:val="TableContents"/>
              <w:bidi w:val="0"/>
              <w:spacing w:before="0" w:after="0"/>
              <w:jc w:val="left"/>
              <w:rPr>
                <w:b/>
                <w:color w:val="000000"/>
              </w:rPr>
            </w:pPr>
            <w:r>
              <w:rPr>
                <w:b/>
                <w:color w:val="000000"/>
              </w:rPr>
              <w:t>Exhibits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99" w:name="z576d1206bacd499e9a2382991deb86b1"/>
      <w:bookmarkStart w:id="300" w:name="z576d1206bacd499e9a2382991deb86b1"/>
      <w:bookmarkEnd w:id="300"/>
    </w:p>
    <w:tbl>
      <w:tblPr>
        <w:tblW w:w="10205" w:type="dxa"/>
        <w:jc w:val="left"/>
        <w:tblInd w:w="0" w:type="dxa"/>
        <w:tblLayout w:type="fixed"/>
        <w:tblCellMar>
          <w:top w:w="0" w:type="dxa"/>
          <w:left w:w="0" w:type="dxa"/>
          <w:bottom w:w="28" w:type="dxa"/>
          <w:right w:w="0" w:type="dxa"/>
        </w:tblCellMar>
      </w:tblPr>
      <w:tblGrid>
        <w:gridCol w:w="1052"/>
        <w:gridCol w:w="90"/>
        <w:gridCol w:w="9063"/>
      </w:tblGrid>
      <w:tr>
        <w:trPr/>
        <w:tc>
          <w:tcPr>
            <w:tcW w:w="1052" w:type="dxa"/>
            <w:tcBorders>
              <w:bottom w:val="single" w:sz="12" w:space="0" w:color="000000"/>
            </w:tcBorders>
            <w:vAlign w:val="center"/>
          </w:tcPr>
          <w:p>
            <w:pPr>
              <w:pStyle w:val="TableContents"/>
              <w:bidi w:val="0"/>
              <w:spacing w:before="0" w:after="0"/>
              <w:jc w:val="center"/>
              <w:rPr>
                <w:b/>
              </w:rPr>
            </w:pPr>
            <w:r>
              <w:rPr>
                <w:b/>
              </w:rPr>
              <w:t>Exhibit Number</w:t>
            </w:r>
          </w:p>
        </w:tc>
        <w:tc>
          <w:tcPr>
            <w:tcW w:w="90" w:type="dxa"/>
            <w:tcBorders/>
            <w:tcMar>
              <w:bottom w:w="0" w:type="dxa"/>
            </w:tcMar>
            <w:vAlign w:val="center"/>
          </w:tcPr>
          <w:p>
            <w:pPr>
              <w:pStyle w:val="TableContents"/>
              <w:bidi w:val="0"/>
              <w:spacing w:before="0" w:after="283"/>
              <w:jc w:val="left"/>
              <w:rPr/>
            </w:pPr>
            <w:r>
              <w:rPr/>
              <w:t> </w:t>
            </w:r>
          </w:p>
        </w:tc>
        <w:tc>
          <w:tcPr>
            <w:tcW w:w="9063" w:type="dxa"/>
            <w:tcBorders>
              <w:bottom w:val="single" w:sz="12" w:space="0" w:color="000000"/>
            </w:tcBorders>
            <w:vAlign w:val="center"/>
          </w:tcPr>
          <w:p>
            <w:pPr>
              <w:pStyle w:val="TableContents"/>
              <w:bidi w:val="0"/>
              <w:spacing w:before="0" w:after="0"/>
              <w:jc w:val="center"/>
              <w:rPr>
                <w:b/>
              </w:rPr>
            </w:pPr>
            <w:r>
              <w:rPr>
                <w:b/>
              </w:rPr>
              <w:t>Description</w:t>
            </w:r>
          </w:p>
        </w:tc>
      </w:tr>
      <w:tr>
        <w:trPr/>
        <w:tc>
          <w:tcPr>
            <w:tcW w:w="1052" w:type="dxa"/>
            <w:tcBorders/>
            <w:shd w:fill="CCEEFF" w:val="clear"/>
            <w:tcMar>
              <w:bottom w:w="0" w:type="dxa"/>
            </w:tcMar>
            <w:vAlign w:val="center"/>
          </w:tcPr>
          <w:p>
            <w:pPr>
              <w:pStyle w:val="TableContents"/>
              <w:bidi w:val="0"/>
              <w:spacing w:before="0" w:after="0"/>
              <w:jc w:val="left"/>
              <w:rPr/>
            </w:pPr>
            <w:hyperlink r:id="rId2">
              <w:r>
                <w:rPr>
                  <w:rStyle w:val="InternetLink"/>
                </w:rPr>
                <w:t>3.1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063" w:type="dxa"/>
            <w:tcBorders/>
            <w:shd w:fill="CCEEFF" w:val="clear"/>
            <w:tcMar>
              <w:bottom w:w="0" w:type="dxa"/>
            </w:tcMar>
            <w:vAlign w:val="center"/>
          </w:tcPr>
          <w:p>
            <w:pPr>
              <w:pStyle w:val="TableContents"/>
              <w:bidi w:val="0"/>
              <w:spacing w:before="0" w:after="0"/>
              <w:jc w:val="both"/>
              <w:rPr/>
            </w:pPr>
            <w:r>
              <w:rPr/>
              <w:t>Amended and Restated Certificate of Formation of South Plains Financial, Inc. (incorporated by reference to Exhibit 3.1 to the Company’s Registration Statement on Form S-1 filed with the SEC on April 12, 2019) (File No. 333-230851).</w:t>
            </w:r>
          </w:p>
        </w:tc>
      </w:tr>
      <w:tr>
        <w:trPr/>
        <w:tc>
          <w:tcPr>
            <w:tcW w:w="10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63" w:type="dxa"/>
            <w:tcBorders/>
            <w:tcMar>
              <w:bottom w:w="0" w:type="dxa"/>
            </w:tcMar>
            <w:vAlign w:val="center"/>
          </w:tcPr>
          <w:p>
            <w:pPr>
              <w:pStyle w:val="TableContents"/>
              <w:bidi w:val="0"/>
              <w:spacing w:before="0" w:after="283"/>
              <w:jc w:val="left"/>
              <w:rPr/>
            </w:pPr>
            <w:r>
              <w:rPr/>
              <w:t> </w:t>
            </w:r>
          </w:p>
        </w:tc>
      </w:tr>
      <w:tr>
        <w:trPr/>
        <w:tc>
          <w:tcPr>
            <w:tcW w:w="1052" w:type="dxa"/>
            <w:tcBorders/>
            <w:shd w:fill="CCEEFF" w:val="clear"/>
            <w:tcMar>
              <w:bottom w:w="0" w:type="dxa"/>
            </w:tcMar>
            <w:vAlign w:val="center"/>
          </w:tcPr>
          <w:p>
            <w:pPr>
              <w:pStyle w:val="TableContents"/>
              <w:bidi w:val="0"/>
              <w:spacing w:before="0" w:after="0"/>
              <w:jc w:val="left"/>
              <w:rPr/>
            </w:pPr>
            <w:hyperlink r:id="rId3">
              <w:r>
                <w:rPr>
                  <w:rStyle w:val="InternetLink"/>
                </w:rPr>
                <w:t>3.2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063" w:type="dxa"/>
            <w:tcBorders/>
            <w:shd w:fill="CCEEFF" w:val="clear"/>
            <w:tcMar>
              <w:bottom w:w="0" w:type="dxa"/>
            </w:tcMar>
            <w:vAlign w:val="center"/>
          </w:tcPr>
          <w:p>
            <w:pPr>
              <w:pStyle w:val="TableContents"/>
              <w:bidi w:val="0"/>
              <w:spacing w:before="0" w:after="0"/>
              <w:jc w:val="both"/>
              <w:rPr/>
            </w:pPr>
            <w:r>
              <w:rPr/>
              <w:t>Third Amended and Restated Bylaws of South Plains Financial, Inc. (incorporated by reference to Exhibit 3.1 to the Company’s Current Report on Form 8-K filed with the SEC on August 26, 2025) (File No. 001-38895).</w:t>
            </w:r>
          </w:p>
        </w:tc>
      </w:tr>
      <w:tr>
        <w:trPr/>
        <w:tc>
          <w:tcPr>
            <w:tcW w:w="10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63" w:type="dxa"/>
            <w:tcBorders/>
            <w:tcMar>
              <w:bottom w:w="0" w:type="dxa"/>
            </w:tcMar>
            <w:vAlign w:val="center"/>
          </w:tcPr>
          <w:p>
            <w:pPr>
              <w:pStyle w:val="TableContents"/>
              <w:bidi w:val="0"/>
              <w:spacing w:before="0" w:after="283"/>
              <w:jc w:val="left"/>
              <w:rPr/>
            </w:pPr>
            <w:r>
              <w:rPr/>
              <w:t> </w:t>
            </w:r>
          </w:p>
        </w:tc>
      </w:tr>
      <w:tr>
        <w:trPr/>
        <w:tc>
          <w:tcPr>
            <w:tcW w:w="1052" w:type="dxa"/>
            <w:tcBorders/>
            <w:shd w:fill="CCEEFF" w:val="clear"/>
            <w:tcMar>
              <w:bottom w:w="0" w:type="dxa"/>
            </w:tcMar>
            <w:vAlign w:val="center"/>
          </w:tcPr>
          <w:p>
            <w:pPr>
              <w:pStyle w:val="TableContents"/>
              <w:bidi w:val="0"/>
              <w:spacing w:before="0" w:after="0"/>
              <w:jc w:val="left"/>
              <w:rPr/>
            </w:pPr>
            <w:hyperlink r:id="rId4">
              <w:r>
                <w:rPr>
                  <w:rStyle w:val="InternetLink"/>
                </w:rPr>
                <w:t>10.1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063" w:type="dxa"/>
            <w:tcBorders/>
            <w:shd w:fill="CCEEFF" w:val="clear"/>
            <w:tcMar>
              <w:bottom w:w="0" w:type="dxa"/>
            </w:tcMar>
            <w:vAlign w:val="center"/>
          </w:tcPr>
          <w:p>
            <w:pPr>
              <w:pStyle w:val="TableContents"/>
              <w:bidi w:val="0"/>
              <w:spacing w:before="0" w:after="0"/>
              <w:jc w:val="left"/>
              <w:rPr/>
            </w:pPr>
            <w:r>
              <w:rPr/>
              <w:t>Employment Agreement, by and between City Bank and James D. Stein (incorporated by reference to Exhibit 10.1 to the Company’s Current Report on Form 8-K filed with the SEC on April 1, 2026) (File No. 001-38895).</w:t>
            </w:r>
          </w:p>
        </w:tc>
      </w:tr>
      <w:tr>
        <w:trPr/>
        <w:tc>
          <w:tcPr>
            <w:tcW w:w="10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63" w:type="dxa"/>
            <w:tcBorders/>
            <w:tcMar>
              <w:bottom w:w="0" w:type="dxa"/>
            </w:tcMar>
            <w:vAlign w:val="center"/>
          </w:tcPr>
          <w:p>
            <w:pPr>
              <w:pStyle w:val="TableContents"/>
              <w:bidi w:val="0"/>
              <w:spacing w:before="0" w:after="283"/>
              <w:jc w:val="left"/>
              <w:rPr/>
            </w:pPr>
            <w:r>
              <w:rPr/>
              <w:t> </w:t>
            </w:r>
          </w:p>
        </w:tc>
      </w:tr>
      <w:tr>
        <w:trPr/>
        <w:tc>
          <w:tcPr>
            <w:tcW w:w="1052" w:type="dxa"/>
            <w:tcBorders/>
            <w:shd w:fill="CCEEFF" w:val="clear"/>
            <w:tcMar>
              <w:bottom w:w="0" w:type="dxa"/>
            </w:tcMar>
            <w:vAlign w:val="center"/>
          </w:tcPr>
          <w:p>
            <w:pPr>
              <w:pStyle w:val="TableContents"/>
              <w:bidi w:val="0"/>
              <w:spacing w:before="0" w:after="0"/>
              <w:jc w:val="left"/>
              <w:rPr/>
            </w:pPr>
            <w:hyperlink w:anchor="ef20074919_ex31-1.htm">
              <w:r>
                <w:rPr>
                  <w:rStyle w:val="InternetLink"/>
                </w:rPr>
                <w:t>31.1*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063" w:type="dxa"/>
            <w:tcBorders/>
            <w:shd w:fill="CCEEFF" w:val="clear"/>
            <w:tcMar>
              <w:bottom w:w="0" w:type="dxa"/>
            </w:tcMar>
            <w:vAlign w:val="center"/>
          </w:tcPr>
          <w:p>
            <w:pPr>
              <w:pStyle w:val="TableContents"/>
              <w:bidi w:val="0"/>
              <w:spacing w:before="0" w:after="0"/>
              <w:jc w:val="both"/>
              <w:rPr/>
            </w:pPr>
            <w:r>
              <w:rPr/>
              <w:t>Certification by Chief Executive Officer pursuant to Rule 13a-14(a) under the Securities Exchange Act of 1934, as amended.</w:t>
            </w:r>
          </w:p>
        </w:tc>
      </w:tr>
      <w:tr>
        <w:trPr/>
        <w:tc>
          <w:tcPr>
            <w:tcW w:w="10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63" w:type="dxa"/>
            <w:tcBorders/>
            <w:tcMar>
              <w:bottom w:w="0" w:type="dxa"/>
            </w:tcMar>
            <w:vAlign w:val="center"/>
          </w:tcPr>
          <w:p>
            <w:pPr>
              <w:pStyle w:val="TableContents"/>
              <w:bidi w:val="0"/>
              <w:spacing w:before="0" w:after="283"/>
              <w:jc w:val="left"/>
              <w:rPr/>
            </w:pPr>
            <w:r>
              <w:rPr/>
              <w:t> </w:t>
            </w:r>
          </w:p>
        </w:tc>
      </w:tr>
      <w:tr>
        <w:trPr/>
        <w:tc>
          <w:tcPr>
            <w:tcW w:w="1052" w:type="dxa"/>
            <w:tcBorders/>
            <w:shd w:fill="CCEEFF" w:val="clear"/>
            <w:tcMar>
              <w:bottom w:w="0" w:type="dxa"/>
            </w:tcMar>
            <w:vAlign w:val="center"/>
          </w:tcPr>
          <w:p>
            <w:pPr>
              <w:pStyle w:val="TableContents"/>
              <w:bidi w:val="0"/>
              <w:spacing w:before="0" w:after="0"/>
              <w:jc w:val="left"/>
              <w:rPr/>
            </w:pPr>
            <w:hyperlink w:anchor="ef20074919_ex31-2.htm">
              <w:r>
                <w:rPr>
                  <w:rStyle w:val="InternetLink"/>
                </w:rPr>
                <w:t>31.2*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063" w:type="dxa"/>
            <w:tcBorders/>
            <w:shd w:fill="CCEEFF" w:val="clear"/>
            <w:tcMar>
              <w:bottom w:w="0" w:type="dxa"/>
            </w:tcMar>
            <w:vAlign w:val="center"/>
          </w:tcPr>
          <w:p>
            <w:pPr>
              <w:pStyle w:val="TableContents"/>
              <w:bidi w:val="0"/>
              <w:spacing w:before="0" w:after="0"/>
              <w:jc w:val="both"/>
              <w:rPr/>
            </w:pPr>
            <w:r>
              <w:rPr/>
              <w:t>Certification by Chief Financial Officer pursuant to Rule 13a-14(a) under the Securities Exchange Act of 1934, as amended.</w:t>
            </w:r>
          </w:p>
        </w:tc>
      </w:tr>
      <w:tr>
        <w:trPr/>
        <w:tc>
          <w:tcPr>
            <w:tcW w:w="10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63" w:type="dxa"/>
            <w:tcBorders/>
            <w:tcMar>
              <w:bottom w:w="0" w:type="dxa"/>
            </w:tcMar>
            <w:vAlign w:val="center"/>
          </w:tcPr>
          <w:p>
            <w:pPr>
              <w:pStyle w:val="TableContents"/>
              <w:bidi w:val="0"/>
              <w:spacing w:before="0" w:after="283"/>
              <w:jc w:val="left"/>
              <w:rPr/>
            </w:pPr>
            <w:r>
              <w:rPr/>
              <w:t> </w:t>
            </w:r>
          </w:p>
        </w:tc>
      </w:tr>
      <w:tr>
        <w:trPr/>
        <w:tc>
          <w:tcPr>
            <w:tcW w:w="1052" w:type="dxa"/>
            <w:tcBorders/>
            <w:shd w:fill="CCEEFF" w:val="clear"/>
            <w:tcMar>
              <w:bottom w:w="0" w:type="dxa"/>
            </w:tcMar>
            <w:vAlign w:val="center"/>
          </w:tcPr>
          <w:p>
            <w:pPr>
              <w:pStyle w:val="TableContents"/>
              <w:bidi w:val="0"/>
              <w:spacing w:before="0" w:after="0"/>
              <w:jc w:val="left"/>
              <w:rPr/>
            </w:pPr>
            <w:hyperlink w:anchor="ef20074919_ex32-1.htm">
              <w:r>
                <w:rPr>
                  <w:rStyle w:val="InternetLink"/>
                </w:rPr>
                <w:t>32.1**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063" w:type="dxa"/>
            <w:tcBorders/>
            <w:shd w:fill="CCEEFF" w:val="clear"/>
            <w:tcMar>
              <w:bottom w:w="0" w:type="dxa"/>
            </w:tcMar>
            <w:vAlign w:val="center"/>
          </w:tcPr>
          <w:p>
            <w:pPr>
              <w:pStyle w:val="TableContents"/>
              <w:bidi w:val="0"/>
              <w:spacing w:before="0" w:after="0"/>
              <w:jc w:val="both"/>
              <w:rPr/>
            </w:pPr>
            <w:r>
              <w:rPr/>
              <w:t>Section 1350 Certification of Chief Executive Officer.</w:t>
            </w:r>
          </w:p>
        </w:tc>
      </w:tr>
      <w:tr>
        <w:trPr/>
        <w:tc>
          <w:tcPr>
            <w:tcW w:w="10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63" w:type="dxa"/>
            <w:tcBorders/>
            <w:tcMar>
              <w:bottom w:w="0" w:type="dxa"/>
            </w:tcMar>
            <w:vAlign w:val="center"/>
          </w:tcPr>
          <w:p>
            <w:pPr>
              <w:pStyle w:val="TableContents"/>
              <w:bidi w:val="0"/>
              <w:spacing w:before="0" w:after="283"/>
              <w:jc w:val="left"/>
              <w:rPr/>
            </w:pPr>
            <w:r>
              <w:rPr/>
              <w:t> </w:t>
            </w:r>
          </w:p>
        </w:tc>
      </w:tr>
      <w:tr>
        <w:trPr/>
        <w:tc>
          <w:tcPr>
            <w:tcW w:w="1052" w:type="dxa"/>
            <w:tcBorders/>
            <w:shd w:fill="CCEEFF" w:val="clear"/>
            <w:tcMar>
              <w:bottom w:w="0" w:type="dxa"/>
            </w:tcMar>
            <w:vAlign w:val="center"/>
          </w:tcPr>
          <w:p>
            <w:pPr>
              <w:pStyle w:val="TableContents"/>
              <w:bidi w:val="0"/>
              <w:spacing w:before="0" w:after="0"/>
              <w:jc w:val="left"/>
              <w:rPr/>
            </w:pPr>
            <w:hyperlink w:anchor="ef20074919_ex32-2.htm">
              <w:r>
                <w:rPr>
                  <w:rStyle w:val="InternetLink"/>
                </w:rPr>
                <w:t>32.2**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9063" w:type="dxa"/>
            <w:tcBorders/>
            <w:shd w:fill="CCEEFF" w:val="clear"/>
            <w:tcMar>
              <w:bottom w:w="0" w:type="dxa"/>
            </w:tcMar>
            <w:vAlign w:val="center"/>
          </w:tcPr>
          <w:p>
            <w:pPr>
              <w:pStyle w:val="TableContents"/>
              <w:bidi w:val="0"/>
              <w:spacing w:before="0" w:after="0"/>
              <w:jc w:val="both"/>
              <w:rPr/>
            </w:pPr>
            <w:r>
              <w:rPr/>
              <w:t>Section 1350 Certification of Chief Financial Officer.</w:t>
            </w:r>
          </w:p>
        </w:tc>
      </w:tr>
      <w:tr>
        <w:trPr/>
        <w:tc>
          <w:tcPr>
            <w:tcW w:w="10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63" w:type="dxa"/>
            <w:tcBorders/>
            <w:tcMar>
              <w:bottom w:w="0" w:type="dxa"/>
            </w:tcMar>
            <w:vAlign w:val="center"/>
          </w:tcPr>
          <w:p>
            <w:pPr>
              <w:pStyle w:val="TableContents"/>
              <w:bidi w:val="0"/>
              <w:spacing w:before="0" w:after="283"/>
              <w:jc w:val="left"/>
              <w:rPr/>
            </w:pPr>
            <w:r>
              <w:rPr/>
              <w:t> </w:t>
            </w:r>
          </w:p>
        </w:tc>
      </w:tr>
      <w:tr>
        <w:trPr/>
        <w:tc>
          <w:tcPr>
            <w:tcW w:w="1052" w:type="dxa"/>
            <w:tcBorders/>
            <w:shd w:fill="CCEEFF" w:val="clear"/>
            <w:tcMar>
              <w:bottom w:w="0" w:type="dxa"/>
            </w:tcMar>
            <w:vAlign w:val="center"/>
          </w:tcPr>
          <w:p>
            <w:pPr>
              <w:pStyle w:val="TableContents"/>
              <w:bidi w:val="0"/>
              <w:spacing w:before="0" w:after="0"/>
              <w:jc w:val="left"/>
              <w:rPr/>
            </w:pPr>
            <w:r>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63" w:type="dxa"/>
            <w:tcBorders/>
            <w:shd w:fill="CCEEFF" w:val="clear"/>
            <w:tcMar>
              <w:bottom w:w="0" w:type="dxa"/>
            </w:tcMar>
            <w:vAlign w:val="center"/>
          </w:tcPr>
          <w:p>
            <w:pPr>
              <w:pStyle w:val="TableContents"/>
              <w:bidi w:val="0"/>
              <w:spacing w:before="0" w:after="0"/>
              <w:jc w:val="both"/>
              <w:rPr/>
            </w:pPr>
            <w:r>
              <w:rPr/>
              <w:t>The following material from South Plains Financial, Inc.’s Form 10-Q for the quarter ended June 30, 2026, formatted in XBRL (eXtensible Business Reporting Language), filed herewith: (i) Consolidated Balance Sheets, (ii) Consolidated Statements of Comprehensive Income, (iii) Consolidated Statements of Changes in Stockholders’ Equity, (iv) Consolidated Statements of Cash Flows, and (v) Notes to Unaudited Consolidated Financial Statements.</w:t>
            </w:r>
          </w:p>
        </w:tc>
      </w:tr>
      <w:tr>
        <w:trPr/>
        <w:tc>
          <w:tcPr>
            <w:tcW w:w="105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63" w:type="dxa"/>
            <w:tcBorders/>
            <w:tcMar>
              <w:bottom w:w="0" w:type="dxa"/>
            </w:tcMar>
            <w:vAlign w:val="center"/>
          </w:tcPr>
          <w:p>
            <w:pPr>
              <w:pStyle w:val="TableContents"/>
              <w:bidi w:val="0"/>
              <w:spacing w:before="0" w:after="283"/>
              <w:jc w:val="left"/>
              <w:rPr/>
            </w:pPr>
            <w:r>
              <w:rPr/>
              <w:t> </w:t>
            </w:r>
          </w:p>
        </w:tc>
      </w:tr>
      <w:tr>
        <w:trPr/>
        <w:tc>
          <w:tcPr>
            <w:tcW w:w="1052" w:type="dxa"/>
            <w:tcBorders/>
            <w:shd w:fill="CCEEFF" w:val="clear"/>
            <w:tcMar>
              <w:bottom w:w="0" w:type="dxa"/>
            </w:tcMar>
            <w:vAlign w:val="center"/>
          </w:tcPr>
          <w:p>
            <w:pPr>
              <w:pStyle w:val="TableContents"/>
              <w:bidi w:val="0"/>
              <w:spacing w:before="0" w:after="0"/>
              <w:jc w:val="left"/>
              <w:rPr/>
            </w:pPr>
            <w:r>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63" w:type="dxa"/>
            <w:tcBorders/>
            <w:shd w:fill="CCEEFF" w:val="clear"/>
            <w:tcMar>
              <w:bottom w:w="0" w:type="dxa"/>
            </w:tcMar>
            <w:vAlign w:val="center"/>
          </w:tcPr>
          <w:p>
            <w:pPr>
              <w:pStyle w:val="TableContents"/>
              <w:bidi w:val="0"/>
              <w:spacing w:before="0" w:after="0"/>
              <w:jc w:val="both"/>
              <w:rPr/>
            </w:pPr>
            <w:r>
              <w:rPr/>
              <w:t>Cover Page Interactive Data File (formatted as Inline XBRL).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1" w:name="zb62d3834a41243e98e951fd73541ee8f"/>
      <w:bookmarkStart w:id="302" w:name="zb62d3834a41243e98e951fd73541ee8f"/>
      <w:bookmarkEnd w:id="302"/>
    </w:p>
    <w:tbl>
      <w:tblPr>
        <w:tblW w:w="2755" w:type="dxa"/>
        <w:jc w:val="left"/>
        <w:tblInd w:w="0" w:type="dxa"/>
        <w:tblLayout w:type="fixed"/>
        <w:tblCellMar>
          <w:top w:w="0" w:type="dxa"/>
          <w:left w:w="0" w:type="dxa"/>
          <w:bottom w:w="0" w:type="dxa"/>
          <w:right w:w="0" w:type="dxa"/>
        </w:tblCellMar>
      </w:tblPr>
      <w:tblGrid>
        <w:gridCol w:w="185"/>
        <w:gridCol w:w="2570"/>
      </w:tblGrid>
      <w:tr>
        <w:trPr/>
        <w:tc>
          <w:tcPr>
            <w:tcW w:w="185" w:type="dxa"/>
            <w:tcBorders/>
            <w:vAlign w:val="center"/>
          </w:tcPr>
          <w:p>
            <w:pPr>
              <w:pStyle w:val="TableContents"/>
              <w:bidi w:val="0"/>
              <w:spacing w:before="0" w:after="283"/>
              <w:jc w:val="left"/>
              <w:rPr>
                <w:color w:val="222222"/>
              </w:rPr>
            </w:pPr>
            <w:r>
              <w:rPr>
                <w:color w:val="222222"/>
              </w:rPr>
              <w:t>*</w:t>
            </w:r>
          </w:p>
        </w:tc>
        <w:tc>
          <w:tcPr>
            <w:tcW w:w="2570" w:type="dxa"/>
            <w:tcBorders/>
            <w:vAlign w:val="center"/>
          </w:tcPr>
          <w:p>
            <w:pPr>
              <w:pStyle w:val="TableContents"/>
              <w:bidi w:val="0"/>
              <w:spacing w:before="0" w:after="0"/>
              <w:jc w:val="left"/>
              <w:rPr>
                <w:color w:val="222222"/>
              </w:rPr>
            </w:pPr>
            <w:r>
              <w:rPr>
                <w:color w:val="222222"/>
              </w:rPr>
              <w:t>Filed with this Form 10-Q</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03" w:name="zd723ee15aa5f48aabfc8f88c8f10482c"/>
      <w:bookmarkStart w:id="304" w:name="zd723ee15aa5f48aabfc8f88c8f10482c"/>
      <w:bookmarkEnd w:id="304"/>
    </w:p>
    <w:tbl>
      <w:tblPr>
        <w:tblW w:w="3340" w:type="dxa"/>
        <w:jc w:val="left"/>
        <w:tblInd w:w="0" w:type="dxa"/>
        <w:tblLayout w:type="fixed"/>
        <w:tblCellMar>
          <w:top w:w="0" w:type="dxa"/>
          <w:left w:w="0" w:type="dxa"/>
          <w:bottom w:w="0" w:type="dxa"/>
          <w:right w:w="0" w:type="dxa"/>
        </w:tblCellMar>
      </w:tblPr>
      <w:tblGrid>
        <w:gridCol w:w="305"/>
        <w:gridCol w:w="3035"/>
      </w:tblGrid>
      <w:tr>
        <w:trPr/>
        <w:tc>
          <w:tcPr>
            <w:tcW w:w="305" w:type="dxa"/>
            <w:tcBorders/>
            <w:vAlign w:val="center"/>
          </w:tcPr>
          <w:p>
            <w:pPr>
              <w:pStyle w:val="TableContents"/>
              <w:bidi w:val="0"/>
              <w:spacing w:before="0" w:after="283"/>
              <w:jc w:val="left"/>
              <w:rPr>
                <w:color w:val="222222"/>
              </w:rPr>
            </w:pPr>
            <w:r>
              <w:rPr>
                <w:color w:val="222222"/>
              </w:rPr>
              <w:t>**</w:t>
            </w:r>
          </w:p>
        </w:tc>
        <w:tc>
          <w:tcPr>
            <w:tcW w:w="3035" w:type="dxa"/>
            <w:tcBorders/>
            <w:vAlign w:val="center"/>
          </w:tcPr>
          <w:p>
            <w:pPr>
              <w:pStyle w:val="TableContents"/>
              <w:bidi w:val="0"/>
              <w:spacing w:before="0" w:after="0"/>
              <w:jc w:val="left"/>
              <w:rPr>
                <w:color w:val="222222"/>
              </w:rPr>
            </w:pPr>
            <w:r>
              <w:rPr>
                <w:color w:val="222222"/>
              </w:rPr>
              <w:t>Furnished with this Form 10-Q</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r>
        <w:rPr>
          <w:rFonts w:ascii="Times New Roman" w:hAnsi="Times New Roman"/>
          <w:color w:val="000000"/>
          <w:sz w:val="20"/>
          <w:shd w:fill="FFFFFF" w:val="clear"/>
        </w:rPr>
        <w:t xml:space="preserve"> </w:t>
      </w:r>
    </w:p>
    <w:p>
      <w:pPr>
        <w:pStyle w:val="TextBody"/>
        <w:bidi w:val="0"/>
        <w:spacing w:before="0" w:after="0"/>
        <w:jc w:val="center"/>
        <w:rPr>
          <w:rFonts w:ascii="Times New Roman" w:hAnsi="Times New Roman"/>
          <w:b/>
          <w:color w:val="000000"/>
          <w:sz w:val="20"/>
          <w:shd w:fill="FFFFFF" w:val="clear"/>
        </w:rPr>
      </w:pPr>
      <w:bookmarkStart w:id="305" w:name="SIGNATURES"/>
      <w:bookmarkEnd w:id="305"/>
      <w:r>
        <w:rPr>
          <w:rFonts w:ascii="Times New Roman" w:hAnsi="Times New Roman"/>
          <w:b/>
          <w:color w:val="000000"/>
          <w:sz w:val="20"/>
          <w:shd w:fill="FFFFFF" w:val="clear"/>
        </w:rPr>
        <w:t>SIGNATURES</w:t>
      </w:r>
    </w:p>
    <w:p>
      <w:pPr>
        <w:pStyle w:val="TextBody"/>
        <w:bidi w:val="0"/>
        <w:spacing w:before="0" w:after="0"/>
        <w:jc w:val="center"/>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306" w:name="z62213d976d2943f3b2f7c31a3101f064"/>
      <w:bookmarkStart w:id="307" w:name="z62213d976d2943f3b2f7c31a3101f064"/>
      <w:bookmarkEnd w:id="307"/>
    </w:p>
    <w:tbl>
      <w:tblPr>
        <w:tblW w:w="6110" w:type="dxa"/>
        <w:jc w:val="left"/>
        <w:tblInd w:w="0" w:type="dxa"/>
        <w:tblLayout w:type="fixed"/>
        <w:tblCellMar>
          <w:top w:w="0" w:type="dxa"/>
          <w:left w:w="0" w:type="dxa"/>
          <w:bottom w:w="0" w:type="dxa"/>
          <w:right w:w="0" w:type="dxa"/>
        </w:tblCellMar>
      </w:tblPr>
      <w:tblGrid>
        <w:gridCol w:w="560"/>
        <w:gridCol w:w="1520"/>
        <w:gridCol w:w="395"/>
        <w:gridCol w:w="3635"/>
      </w:tblGrid>
      <w:tr>
        <w:trPr/>
        <w:tc>
          <w:tcPr>
            <w:tcW w:w="2080" w:type="dxa"/>
            <w:gridSpan w:val="2"/>
            <w:tcBorders/>
            <w:vAlign w:val="center"/>
          </w:tcPr>
          <w:p>
            <w:pPr>
              <w:pStyle w:val="TableContents"/>
              <w:bidi w:val="0"/>
              <w:spacing w:before="0" w:after="283"/>
              <w:jc w:val="left"/>
              <w:rPr/>
            </w:pPr>
            <w:r>
              <w:rPr/>
              <w:t> </w:t>
            </w:r>
          </w:p>
        </w:tc>
        <w:tc>
          <w:tcPr>
            <w:tcW w:w="4030" w:type="dxa"/>
            <w:gridSpan w:val="2"/>
            <w:tcBorders/>
            <w:vAlign w:val="center"/>
          </w:tcPr>
          <w:p>
            <w:pPr>
              <w:pStyle w:val="TableContents"/>
              <w:bidi w:val="0"/>
              <w:spacing w:before="0" w:after="0"/>
              <w:jc w:val="left"/>
              <w:rPr>
                <w:b/>
                <w:color w:val="000000"/>
              </w:rPr>
            </w:pPr>
            <w:r>
              <w:rPr>
                <w:b/>
                <w:color w:val="000000"/>
              </w:rPr>
              <w:t>South Plains Financial, Inc.</w:t>
            </w:r>
          </w:p>
        </w:tc>
      </w:tr>
      <w:tr>
        <w:trPr/>
        <w:tc>
          <w:tcPr>
            <w:tcW w:w="2080" w:type="dxa"/>
            <w:gridSpan w:val="2"/>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color w:val="000000"/>
              </w:rPr>
            </w:pPr>
            <w:r>
              <w:rPr>
                <w:color w:val="000000"/>
              </w:rPr>
              <w:t>Date:</w:t>
            </w:r>
          </w:p>
        </w:tc>
        <w:tc>
          <w:tcPr>
            <w:tcW w:w="1520" w:type="dxa"/>
            <w:tcBorders/>
            <w:vAlign w:val="center"/>
          </w:tcPr>
          <w:p>
            <w:pPr>
              <w:pStyle w:val="TableContents"/>
              <w:bidi w:val="0"/>
              <w:spacing w:before="0" w:after="0"/>
              <w:jc w:val="left"/>
              <w:rPr>
                <w:color w:val="000000"/>
              </w:rPr>
            </w:pPr>
            <w:r>
              <w:rPr>
                <w:color w:val="000000"/>
              </w:rPr>
              <w:t>August 6, 2026</w:t>
            </w:r>
          </w:p>
        </w:tc>
        <w:tc>
          <w:tcPr>
            <w:tcW w:w="395" w:type="dxa"/>
            <w:tcBorders/>
            <w:vAlign w:val="center"/>
          </w:tcPr>
          <w:p>
            <w:pPr>
              <w:pStyle w:val="TableContents"/>
              <w:bidi w:val="0"/>
              <w:spacing w:before="0" w:after="0"/>
              <w:jc w:val="left"/>
              <w:rPr>
                <w:color w:val="000000"/>
              </w:rPr>
            </w:pPr>
            <w:r>
              <w:rPr>
                <w:color w:val="000000"/>
              </w:rPr>
              <w:t>By:</w:t>
            </w:r>
          </w:p>
        </w:tc>
        <w:tc>
          <w:tcPr>
            <w:tcW w:w="363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Cory T. Newsom</w:t>
            </w:r>
          </w:p>
        </w:tc>
      </w:tr>
      <w:tr>
        <w:trPr/>
        <w:tc>
          <w:tcPr>
            <w:tcW w:w="2080" w:type="dxa"/>
            <w:gridSpan w:val="2"/>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center"/>
              <w:rPr>
                <w:color w:val="000000"/>
              </w:rPr>
            </w:pPr>
            <w:r>
              <w:rPr>
                <w:color w:val="000000"/>
              </w:rPr>
              <w:t>Cory T. Newsom</w:t>
            </w:r>
          </w:p>
        </w:tc>
      </w:tr>
      <w:tr>
        <w:trPr/>
        <w:tc>
          <w:tcPr>
            <w:tcW w:w="2080" w:type="dxa"/>
            <w:gridSpan w:val="2"/>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center"/>
              <w:rPr>
                <w:color w:val="000000"/>
              </w:rPr>
            </w:pPr>
            <w:r>
              <w:rPr>
                <w:color w:val="000000"/>
              </w:rPr>
              <w:t>President</w:t>
            </w:r>
          </w:p>
          <w:p>
            <w:pPr>
              <w:pStyle w:val="TableContents"/>
              <w:bidi w:val="0"/>
              <w:spacing w:before="0" w:after="0"/>
              <w:jc w:val="center"/>
              <w:rPr>
                <w:color w:val="000000"/>
              </w:rPr>
            </w:pPr>
            <w:r>
              <w:rPr>
                <w:color w:val="000000"/>
              </w:rPr>
              <w:t>(Principal Executive Officer)</w:t>
            </w:r>
          </w:p>
        </w:tc>
      </w:tr>
      <w:tr>
        <w:trPr/>
        <w:tc>
          <w:tcPr>
            <w:tcW w:w="2080" w:type="dxa"/>
            <w:gridSpan w:val="2"/>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color w:val="000000"/>
              </w:rPr>
            </w:pPr>
            <w:r>
              <w:rPr>
                <w:color w:val="000000"/>
              </w:rPr>
              <w:t>Date:</w:t>
            </w:r>
          </w:p>
        </w:tc>
        <w:tc>
          <w:tcPr>
            <w:tcW w:w="1520" w:type="dxa"/>
            <w:tcBorders/>
            <w:vAlign w:val="center"/>
          </w:tcPr>
          <w:p>
            <w:pPr>
              <w:pStyle w:val="TableContents"/>
              <w:bidi w:val="0"/>
              <w:spacing w:before="0" w:after="0"/>
              <w:jc w:val="left"/>
              <w:rPr>
                <w:color w:val="000000"/>
              </w:rPr>
            </w:pPr>
            <w:r>
              <w:rPr>
                <w:color w:val="000000"/>
              </w:rPr>
              <w:t>August 6, 2026</w:t>
            </w:r>
          </w:p>
        </w:tc>
        <w:tc>
          <w:tcPr>
            <w:tcW w:w="395" w:type="dxa"/>
            <w:tcBorders/>
            <w:vAlign w:val="center"/>
          </w:tcPr>
          <w:p>
            <w:pPr>
              <w:pStyle w:val="TableContents"/>
              <w:bidi w:val="0"/>
              <w:spacing w:before="0" w:after="0"/>
              <w:jc w:val="left"/>
              <w:rPr>
                <w:color w:val="000000"/>
              </w:rPr>
            </w:pPr>
            <w:r>
              <w:rPr>
                <w:color w:val="000000"/>
              </w:rPr>
              <w:t>By:</w:t>
            </w:r>
          </w:p>
        </w:tc>
        <w:tc>
          <w:tcPr>
            <w:tcW w:w="363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Steven B. Crockett</w:t>
            </w:r>
          </w:p>
        </w:tc>
      </w:tr>
      <w:tr>
        <w:trPr/>
        <w:tc>
          <w:tcPr>
            <w:tcW w:w="2080" w:type="dxa"/>
            <w:gridSpan w:val="2"/>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center"/>
              <w:rPr>
                <w:color w:val="000000"/>
              </w:rPr>
            </w:pPr>
            <w:r>
              <w:rPr>
                <w:color w:val="000000"/>
              </w:rPr>
              <w:t>Steven B. Crockett</w:t>
            </w:r>
          </w:p>
        </w:tc>
      </w:tr>
      <w:tr>
        <w:trPr/>
        <w:tc>
          <w:tcPr>
            <w:tcW w:w="2080" w:type="dxa"/>
            <w:gridSpan w:val="2"/>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center"/>
              <w:rPr>
                <w:color w:val="000000"/>
              </w:rPr>
            </w:pPr>
            <w:r>
              <w:rPr>
                <w:color w:val="000000"/>
              </w:rPr>
              <w:t>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shd w:fill="FFFFFF" w:val="clear"/>
        </w:rPr>
      </w:pPr>
      <w:r>
        <w:rPr>
          <w:rFonts w:ascii="Times New Roman" w:hAnsi="Times New Roman"/>
          <w:color w:val="000000"/>
          <w:sz w:val="16"/>
          <w:shd w:fill="FFFFFF" w:val="clear"/>
        </w:rPr>
        <w:t>55</w:t>
      </w:r>
    </w:p>
    <w:p>
      <w:pPr>
        <w:pStyle w:val="HorizontalLine"/>
        <w:bidi w:val="0"/>
        <w:jc w:val="left"/>
        <w:rPr/>
      </w:pPr>
      <w:r>
        <w:rPr/>
      </w:r>
    </w:p>
    <w:p>
      <w:pPr>
        <w:pStyle w:val="HorizontalLine"/>
        <w:bidi w:val="0"/>
        <w:jc w:val="left"/>
        <w:rPr/>
      </w:pPr>
      <w:r>
        <w:rPr/>
      </w:r>
      <w:bookmarkStart w:id="308" w:name="ef20074919_ex31-1.htm"/>
      <w:bookmarkStart w:id="309" w:name="ksef20074919_ex311"/>
      <w:bookmarkStart w:id="310" w:name="ef20074919_ex31-1.htm"/>
      <w:bookmarkStart w:id="311" w:name="ksef20074919_ex311"/>
      <w:bookmarkEnd w:id="310"/>
      <w:bookmarkEnd w:id="311"/>
      <w:r>
        <w:br w:type="page"/>
      </w:r>
    </w:p>
    <w:p>
      <w:pPr>
        <w:pStyle w:val="TextBody"/>
        <w:bidi w:val="0"/>
        <w:spacing w:before="0" w:after="0"/>
        <w:jc w:val="right"/>
        <w:rPr>
          <w:color w:val="000000"/>
        </w:rPr>
      </w:pPr>
      <w:r>
        <w:rPr>
          <w:color w:val="000000"/>
        </w:rPr>
        <w:t> </w:t>
      </w:r>
      <w:r>
        <w:rPr>
          <w:rFonts w:ascii="Times New Roman" w:hAnsi="Times New Roman"/>
          <w:b/>
          <w:color w:val="000000"/>
          <w:sz w:val="20"/>
        </w:rPr>
        <w:t>Exhibit 31.1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Cory T. Newsom, certify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2" w:name="z10df1c74500b4eb588d17d166afce858"/>
      <w:bookmarkStart w:id="313" w:name="z10df1c74500b4eb588d17d166afce858"/>
      <w:bookmarkEnd w:id="313"/>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pPr>
            <w:r>
              <w:rPr/>
              <w:t>1.</w:t>
            </w:r>
          </w:p>
        </w:tc>
        <w:tc>
          <w:tcPr>
            <w:tcW w:w="9982" w:type="dxa"/>
            <w:tcBorders/>
            <w:vAlign w:val="center"/>
          </w:tcPr>
          <w:p>
            <w:pPr>
              <w:pStyle w:val="TableContents"/>
              <w:bidi w:val="0"/>
              <w:spacing w:before="0" w:after="0"/>
              <w:jc w:val="left"/>
              <w:rPr/>
            </w:pPr>
            <w:r>
              <w:rPr/>
              <w:t>I have reviewed this Quarterly Report on Form 10-Q of South Plains Financial, Inc. (the “registrant”) for the quarter ended September 30, 2025 (this “report”);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4" w:name="zc9c8cfb8e0804671931e2af342026998"/>
      <w:bookmarkStart w:id="315" w:name="zc9c8cfb8e0804671931e2af342026998"/>
      <w:bookmarkEnd w:id="315"/>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pPr>
            <w:r>
              <w:rPr/>
              <w:t>2.</w:t>
            </w:r>
          </w:p>
        </w:tc>
        <w:tc>
          <w:tcPr>
            <w:tcW w:w="10001" w:type="dxa"/>
            <w:tcBorders/>
            <w:vAlign w:val="center"/>
          </w:tcPr>
          <w:p>
            <w:pPr>
              <w:pStyle w:val="TableContents"/>
              <w:bidi w:val="0"/>
              <w:spacing w:before="0" w:after="0"/>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6" w:name="z0bbbd495a6414c67bfe64dcabb4b6cbe"/>
      <w:bookmarkStart w:id="317" w:name="z0bbbd495a6414c67bfe64dcabb4b6cbe"/>
      <w:bookmarkEnd w:id="317"/>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pPr>
            <w:r>
              <w:rPr/>
              <w:t>3.</w:t>
            </w:r>
          </w:p>
        </w:tc>
        <w:tc>
          <w:tcPr>
            <w:tcW w:w="9999" w:type="dxa"/>
            <w:tcBorders/>
            <w:vAlign w:val="center"/>
          </w:tcPr>
          <w:p>
            <w:pPr>
              <w:pStyle w:val="TableContents"/>
              <w:bidi w:val="0"/>
              <w:spacing w:before="0" w:after="0"/>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8" w:name="z3f94441ef4da4b4581af96edf2427479"/>
      <w:bookmarkStart w:id="319" w:name="z3f94441ef4da4b4581af96edf2427479"/>
      <w:bookmarkEnd w:id="319"/>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pPr>
            <w:r>
              <w:rPr/>
              <w:t>4.</w:t>
            </w:r>
          </w:p>
        </w:tc>
        <w:tc>
          <w:tcPr>
            <w:tcW w:w="10002" w:type="dxa"/>
            <w:tcBorders/>
            <w:vAlign w:val="center"/>
          </w:tcPr>
          <w:p>
            <w:pPr>
              <w:pStyle w:val="TableContents"/>
              <w:bidi w:val="0"/>
              <w:spacing w:before="0" w:after="0"/>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0" w:name="ze6bb30a2e6de4ab099e6b201f294e1a2"/>
      <w:bookmarkStart w:id="321" w:name="ze6bb30a2e6de4ab099e6b201f294e1a2"/>
      <w:bookmarkEnd w:id="321"/>
    </w:p>
    <w:tbl>
      <w:tblPr>
        <w:tblW w:w="10205" w:type="dxa"/>
        <w:jc w:val="left"/>
        <w:tblInd w:w="0" w:type="dxa"/>
        <w:tblLayout w:type="fixed"/>
        <w:tblCellMar>
          <w:top w:w="0" w:type="dxa"/>
          <w:left w:w="0" w:type="dxa"/>
          <w:bottom w:w="0" w:type="dxa"/>
          <w:right w:w="0" w:type="dxa"/>
        </w:tblCellMar>
      </w:tblPr>
      <w:tblGrid>
        <w:gridCol w:w="105"/>
        <w:gridCol w:w="249"/>
        <w:gridCol w:w="9851"/>
      </w:tblGrid>
      <w:tr>
        <w:trPr/>
        <w:tc>
          <w:tcPr>
            <w:tcW w:w="10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0"/>
              <w:jc w:val="left"/>
              <w:rPr/>
            </w:pPr>
            <w:r>
              <w:rPr/>
              <w:t>(a)</w:t>
            </w:r>
          </w:p>
        </w:tc>
        <w:tc>
          <w:tcPr>
            <w:tcW w:w="9851" w:type="dxa"/>
            <w:tcBorders/>
            <w:vAlign w:val="center"/>
          </w:tcPr>
          <w:p>
            <w:pPr>
              <w:pStyle w:val="TableContents"/>
              <w:bidi w:val="0"/>
              <w:spacing w:before="0" w:after="0"/>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2" w:name="z5a63256907024c3aa67eceb2c02c6af4"/>
      <w:bookmarkStart w:id="323" w:name="z5a63256907024c3aa67eceb2c02c6af4"/>
      <w:bookmarkEnd w:id="323"/>
    </w:p>
    <w:tbl>
      <w:tblPr>
        <w:tblW w:w="10205" w:type="dxa"/>
        <w:jc w:val="left"/>
        <w:tblInd w:w="0" w:type="dxa"/>
        <w:tblLayout w:type="fixed"/>
        <w:tblCellMar>
          <w:top w:w="0" w:type="dxa"/>
          <w:left w:w="0" w:type="dxa"/>
          <w:bottom w:w="0" w:type="dxa"/>
          <w:right w:w="0" w:type="dxa"/>
        </w:tblCellMar>
      </w:tblPr>
      <w:tblGrid>
        <w:gridCol w:w="105"/>
        <w:gridCol w:w="265"/>
        <w:gridCol w:w="9835"/>
      </w:tblGrid>
      <w:tr>
        <w:trPr/>
        <w:tc>
          <w:tcPr>
            <w:tcW w:w="10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pPr>
            <w:r>
              <w:rPr/>
              <w:t>(b)</w:t>
            </w:r>
          </w:p>
        </w:tc>
        <w:tc>
          <w:tcPr>
            <w:tcW w:w="9835" w:type="dxa"/>
            <w:tcBorders/>
            <w:vAlign w:val="center"/>
          </w:tcPr>
          <w:p>
            <w:pPr>
              <w:pStyle w:val="TableContents"/>
              <w:bidi w:val="0"/>
              <w:spacing w:before="0" w:after="0"/>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4" w:name="z5d59d566ee4a4f99a342bba79c99b8e6"/>
      <w:bookmarkStart w:id="325" w:name="z5d59d566ee4a4f99a342bba79c99b8e6"/>
      <w:bookmarkEnd w:id="325"/>
    </w:p>
    <w:tbl>
      <w:tblPr>
        <w:tblW w:w="10205" w:type="dxa"/>
        <w:jc w:val="left"/>
        <w:tblInd w:w="0" w:type="dxa"/>
        <w:tblLayout w:type="fixed"/>
        <w:tblCellMar>
          <w:top w:w="0" w:type="dxa"/>
          <w:left w:w="0" w:type="dxa"/>
          <w:bottom w:w="0" w:type="dxa"/>
          <w:right w:w="0" w:type="dxa"/>
        </w:tblCellMar>
      </w:tblPr>
      <w:tblGrid>
        <w:gridCol w:w="105"/>
        <w:gridCol w:w="256"/>
        <w:gridCol w:w="9844"/>
      </w:tblGrid>
      <w:tr>
        <w:trPr/>
        <w:tc>
          <w:tcPr>
            <w:tcW w:w="10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pPr>
            <w:r>
              <w:rPr/>
              <w:t>(c)</w:t>
            </w:r>
          </w:p>
        </w:tc>
        <w:tc>
          <w:tcPr>
            <w:tcW w:w="9844" w:type="dxa"/>
            <w:tcBorders/>
            <w:vAlign w:val="center"/>
          </w:tcPr>
          <w:p>
            <w:pPr>
              <w:pStyle w:val="TableContents"/>
              <w:bidi w:val="0"/>
              <w:spacing w:before="0" w:after="0"/>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6" w:name="zee0abbac5e234a92bb79f26c76ff033a"/>
      <w:bookmarkStart w:id="327" w:name="zee0abbac5e234a92bb79f26c76ff033a"/>
      <w:bookmarkEnd w:id="327"/>
    </w:p>
    <w:tbl>
      <w:tblPr>
        <w:tblW w:w="10205" w:type="dxa"/>
        <w:jc w:val="left"/>
        <w:tblInd w:w="0" w:type="dxa"/>
        <w:tblLayout w:type="fixed"/>
        <w:tblCellMar>
          <w:top w:w="0" w:type="dxa"/>
          <w:left w:w="0" w:type="dxa"/>
          <w:bottom w:w="0" w:type="dxa"/>
          <w:right w:w="0" w:type="dxa"/>
        </w:tblCellMar>
      </w:tblPr>
      <w:tblGrid>
        <w:gridCol w:w="105"/>
        <w:gridCol w:w="265"/>
        <w:gridCol w:w="9835"/>
      </w:tblGrid>
      <w:tr>
        <w:trPr/>
        <w:tc>
          <w:tcPr>
            <w:tcW w:w="10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pPr>
            <w:r>
              <w:rPr/>
              <w:t>(d)</w:t>
            </w:r>
          </w:p>
        </w:tc>
        <w:tc>
          <w:tcPr>
            <w:tcW w:w="9835" w:type="dxa"/>
            <w:tcBorders/>
            <w:vAlign w:val="center"/>
          </w:tcPr>
          <w:p>
            <w:pPr>
              <w:pStyle w:val="TableContents"/>
              <w:bidi w:val="0"/>
              <w:spacing w:before="0" w:after="0"/>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8" w:name="zfc2517091da74d4ab166fc93339198cd"/>
      <w:bookmarkStart w:id="329" w:name="zfc2517091da74d4ab166fc93339198cd"/>
      <w:bookmarkEnd w:id="329"/>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pPr>
            <w:r>
              <w:rPr/>
              <w:t>5.</w:t>
            </w:r>
          </w:p>
        </w:tc>
        <w:tc>
          <w:tcPr>
            <w:tcW w:w="9999" w:type="dxa"/>
            <w:tcBorders/>
            <w:vAlign w:val="center"/>
          </w:tcPr>
          <w:p>
            <w:pPr>
              <w:pStyle w:val="TableContents"/>
              <w:bidi w:val="0"/>
              <w:spacing w:before="0" w:after="0"/>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0" w:name="z4b314e2f650b431ea02fb0fc37b7d509"/>
      <w:bookmarkStart w:id="331" w:name="z4b314e2f650b431ea02fb0fc37b7d509"/>
      <w:bookmarkEnd w:id="331"/>
    </w:p>
    <w:tbl>
      <w:tblPr>
        <w:tblW w:w="10205" w:type="dxa"/>
        <w:jc w:val="left"/>
        <w:tblInd w:w="0" w:type="dxa"/>
        <w:tblLayout w:type="fixed"/>
        <w:tblCellMar>
          <w:top w:w="0" w:type="dxa"/>
          <w:left w:w="0" w:type="dxa"/>
          <w:bottom w:w="0" w:type="dxa"/>
          <w:right w:w="0" w:type="dxa"/>
        </w:tblCellMar>
      </w:tblPr>
      <w:tblGrid>
        <w:gridCol w:w="105"/>
        <w:gridCol w:w="257"/>
        <w:gridCol w:w="9843"/>
      </w:tblGrid>
      <w:tr>
        <w:trPr/>
        <w:tc>
          <w:tcPr>
            <w:tcW w:w="10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0"/>
              <w:jc w:val="left"/>
              <w:rPr/>
            </w:pPr>
            <w:r>
              <w:rPr/>
              <w:t>(a)</w:t>
            </w:r>
          </w:p>
        </w:tc>
        <w:tc>
          <w:tcPr>
            <w:tcW w:w="9843" w:type="dxa"/>
            <w:tcBorders/>
            <w:vAlign w:val="center"/>
          </w:tcPr>
          <w:p>
            <w:pPr>
              <w:pStyle w:val="TableContents"/>
              <w:bidi w:val="0"/>
              <w:spacing w:before="0" w:after="0"/>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2" w:name="z4f45c00205024a5197542958624e2315"/>
      <w:bookmarkStart w:id="333" w:name="z4f45c00205024a5197542958624e2315"/>
      <w:bookmarkEnd w:id="333"/>
    </w:p>
    <w:tbl>
      <w:tblPr>
        <w:tblW w:w="10205" w:type="dxa"/>
        <w:jc w:val="left"/>
        <w:tblInd w:w="0" w:type="dxa"/>
        <w:tblLayout w:type="fixed"/>
        <w:tblCellMar>
          <w:top w:w="0" w:type="dxa"/>
          <w:left w:w="0" w:type="dxa"/>
          <w:bottom w:w="0" w:type="dxa"/>
          <w:right w:w="0" w:type="dxa"/>
        </w:tblCellMar>
      </w:tblPr>
      <w:tblGrid>
        <w:gridCol w:w="105"/>
        <w:gridCol w:w="288"/>
        <w:gridCol w:w="9812"/>
      </w:tblGrid>
      <w:tr>
        <w:trPr/>
        <w:tc>
          <w:tcPr>
            <w:tcW w:w="10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0"/>
              <w:jc w:val="left"/>
              <w:rPr/>
            </w:pPr>
            <w:r>
              <w:rPr/>
              <w:t>(b)</w:t>
            </w:r>
          </w:p>
        </w:tc>
        <w:tc>
          <w:tcPr>
            <w:tcW w:w="9812" w:type="dxa"/>
            <w:tcBorders/>
            <w:vAlign w:val="center"/>
          </w:tcPr>
          <w:p>
            <w:pPr>
              <w:pStyle w:val="TableContents"/>
              <w:bidi w:val="0"/>
              <w:spacing w:before="0" w:after="0"/>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4" w:name="zf6cc4deaca5848029b320d3ef4580253"/>
      <w:bookmarkStart w:id="335" w:name="zf6cc4deaca5848029b320d3ef4580253"/>
      <w:bookmarkEnd w:id="335"/>
    </w:p>
    <w:tbl>
      <w:tblPr>
        <w:tblW w:w="5295" w:type="dxa"/>
        <w:jc w:val="left"/>
        <w:tblInd w:w="0" w:type="dxa"/>
        <w:tblLayout w:type="fixed"/>
        <w:tblCellMar>
          <w:top w:w="0" w:type="dxa"/>
          <w:left w:w="0" w:type="dxa"/>
          <w:bottom w:w="0" w:type="dxa"/>
          <w:right w:w="0" w:type="dxa"/>
        </w:tblCellMar>
      </w:tblPr>
      <w:tblGrid>
        <w:gridCol w:w="2090"/>
        <w:gridCol w:w="395"/>
        <w:gridCol w:w="2810"/>
      </w:tblGrid>
      <w:tr>
        <w:trPr/>
        <w:tc>
          <w:tcPr>
            <w:tcW w:w="2090" w:type="dxa"/>
            <w:tcBorders/>
            <w:vAlign w:val="center"/>
          </w:tcPr>
          <w:p>
            <w:pPr>
              <w:pStyle w:val="TableContents"/>
              <w:bidi w:val="0"/>
              <w:spacing w:before="0" w:after="0"/>
              <w:jc w:val="left"/>
              <w:rPr>
                <w:color w:val="000000"/>
              </w:rPr>
            </w:pPr>
            <w:r>
              <w:rPr>
                <w:color w:val="000000"/>
              </w:rPr>
              <w:t>Date: August 6, 2026</w:t>
            </w:r>
          </w:p>
        </w:tc>
        <w:tc>
          <w:tcPr>
            <w:tcW w:w="395" w:type="dxa"/>
            <w:tcBorders/>
            <w:vAlign w:val="center"/>
          </w:tcPr>
          <w:p>
            <w:pPr>
              <w:pStyle w:val="TableContents"/>
              <w:bidi w:val="0"/>
              <w:spacing w:before="0" w:after="0"/>
              <w:jc w:val="left"/>
              <w:rPr>
                <w:color w:val="000000"/>
              </w:rPr>
            </w:pPr>
            <w:r>
              <w:rPr>
                <w:color w:val="000000"/>
              </w:rPr>
              <w:t>By:</w:t>
            </w:r>
          </w:p>
        </w:tc>
        <w:tc>
          <w:tcPr>
            <w:tcW w:w="2810"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Cory T. Newsom</w:t>
            </w:r>
          </w:p>
        </w:tc>
      </w:tr>
      <w:tr>
        <w:trPr/>
        <w:tc>
          <w:tcPr>
            <w:tcW w:w="2090" w:type="dxa"/>
            <w:tcBorders/>
            <w:vAlign w:val="center"/>
          </w:tcPr>
          <w:p>
            <w:pPr>
              <w:pStyle w:val="TableContents"/>
              <w:bidi w:val="0"/>
              <w:spacing w:before="0" w:after="0"/>
              <w:jc w:val="left"/>
              <w:rPr>
                <w:color w:val="000000"/>
              </w:rPr>
            </w:pPr>
            <w:r>
              <w:rPr>
                <w:color w:val="000000"/>
              </w:rPr>
              <w:t> </w:t>
            </w:r>
          </w:p>
        </w:tc>
        <w:tc>
          <w:tcPr>
            <w:tcW w:w="395" w:type="dxa"/>
            <w:tcBorders/>
            <w:vAlign w:val="center"/>
          </w:tcPr>
          <w:p>
            <w:pPr>
              <w:pStyle w:val="TableContents"/>
              <w:bidi w:val="0"/>
              <w:spacing w:before="0" w:after="0"/>
              <w:jc w:val="left"/>
              <w:rPr>
                <w:color w:val="000000"/>
              </w:rPr>
            </w:pPr>
            <w:r>
              <w:rPr>
                <w:color w:val="000000"/>
              </w:rPr>
              <w:t> </w:t>
            </w:r>
          </w:p>
        </w:tc>
        <w:tc>
          <w:tcPr>
            <w:tcW w:w="2810" w:type="dxa"/>
            <w:tcBorders/>
            <w:vAlign w:val="center"/>
          </w:tcPr>
          <w:p>
            <w:pPr>
              <w:pStyle w:val="TableContents"/>
              <w:bidi w:val="0"/>
              <w:spacing w:before="0" w:after="0"/>
              <w:jc w:val="center"/>
              <w:rPr>
                <w:color w:val="000000"/>
              </w:rPr>
            </w:pPr>
            <w:r>
              <w:rPr>
                <w:color w:val="000000"/>
              </w:rPr>
              <w:t>Cory T. Newsom</w:t>
            </w:r>
          </w:p>
        </w:tc>
      </w:tr>
      <w:tr>
        <w:trPr/>
        <w:tc>
          <w:tcPr>
            <w:tcW w:w="2090" w:type="dxa"/>
            <w:tcBorders/>
            <w:vAlign w:val="center"/>
          </w:tcPr>
          <w:p>
            <w:pPr>
              <w:pStyle w:val="TableContents"/>
              <w:bidi w:val="0"/>
              <w:spacing w:before="0" w:after="0"/>
              <w:jc w:val="left"/>
              <w:rPr>
                <w:color w:val="000000"/>
              </w:rPr>
            </w:pPr>
            <w:r>
              <w:rPr>
                <w:color w:val="000000"/>
              </w:rPr>
              <w:t> </w:t>
            </w:r>
          </w:p>
        </w:tc>
        <w:tc>
          <w:tcPr>
            <w:tcW w:w="395" w:type="dxa"/>
            <w:tcBorders/>
            <w:vAlign w:val="center"/>
          </w:tcPr>
          <w:p>
            <w:pPr>
              <w:pStyle w:val="TableContents"/>
              <w:bidi w:val="0"/>
              <w:spacing w:before="0" w:after="0"/>
              <w:jc w:val="left"/>
              <w:rPr>
                <w:color w:val="000000"/>
              </w:rPr>
            </w:pPr>
            <w:r>
              <w:rPr>
                <w:color w:val="000000"/>
              </w:rPr>
              <w:t> </w:t>
            </w:r>
          </w:p>
        </w:tc>
        <w:tc>
          <w:tcPr>
            <w:tcW w:w="2810" w:type="dxa"/>
            <w:tcBorders/>
            <w:vAlign w:val="center"/>
          </w:tcPr>
          <w:p>
            <w:pPr>
              <w:pStyle w:val="TableContents"/>
              <w:bidi w:val="0"/>
              <w:spacing w:before="0" w:after="0"/>
              <w:jc w:val="center"/>
              <w:rPr>
                <w:color w:val="000000"/>
              </w:rPr>
            </w:pPr>
            <w:r>
              <w:rPr>
                <w:color w:val="000000"/>
              </w:rPr>
              <w:t>President</w:t>
              <w:br/>
              <w:t>(Principal Executive Officer)</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HorizontalLine"/>
        <w:bidi w:val="0"/>
        <w:jc w:val="left"/>
        <w:rPr/>
      </w:pPr>
      <w:r>
        <w:rPr/>
      </w:r>
    </w:p>
    <w:p>
      <w:pPr>
        <w:pStyle w:val="HorizontalLine"/>
        <w:bidi w:val="0"/>
        <w:jc w:val="left"/>
        <w:rPr/>
      </w:pPr>
      <w:r>
        <w:rPr/>
      </w:r>
      <w:bookmarkStart w:id="336" w:name="ef20074919_ex31-2.htm"/>
      <w:bookmarkStart w:id="337" w:name="ksef20074919_ex312"/>
      <w:bookmarkStart w:id="338" w:name="ef20074919_ex31-2.htm"/>
      <w:bookmarkStart w:id="339" w:name="ksef20074919_ex312"/>
      <w:bookmarkEnd w:id="338"/>
      <w:bookmarkEnd w:id="339"/>
      <w:r>
        <w:br w:type="page"/>
      </w:r>
    </w:p>
    <w:p>
      <w:pPr>
        <w:pStyle w:val="TextBody"/>
        <w:bidi w:val="0"/>
        <w:spacing w:before="0" w:after="0"/>
        <w:jc w:val="right"/>
        <w:rPr>
          <w:color w:val="000000"/>
        </w:rPr>
      </w:pPr>
      <w:r>
        <w:rPr>
          <w:color w:val="000000"/>
        </w:rPr>
        <w:t> </w:t>
      </w:r>
      <w:r>
        <w:rPr>
          <w:rFonts w:ascii="Times New Roman" w:hAnsi="Times New Roman"/>
          <w:b/>
          <w:color w:val="000000"/>
          <w:sz w:val="20"/>
        </w:rPr>
        <w:t>Exhibit 31.2</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Steven B. Crockett, certify that:</w:t>
      </w:r>
    </w:p>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340" w:name="z03525d43c6b844db8c25ba3e9528ca23"/>
      <w:bookmarkStart w:id="341" w:name="z03525d43c6b844db8c25ba3e9528ca23"/>
      <w:bookmarkEnd w:id="341"/>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pPr>
            <w:r>
              <w:rPr/>
              <w:t>1.</w:t>
            </w:r>
          </w:p>
        </w:tc>
        <w:tc>
          <w:tcPr>
            <w:tcW w:w="9982" w:type="dxa"/>
            <w:tcBorders/>
            <w:vAlign w:val="center"/>
          </w:tcPr>
          <w:p>
            <w:pPr>
              <w:pStyle w:val="TableContents"/>
              <w:bidi w:val="0"/>
              <w:spacing w:before="0" w:after="0"/>
              <w:jc w:val="left"/>
              <w:rPr/>
            </w:pPr>
            <w:r>
              <w:rPr/>
              <w:t>I have reviewed this Quarterly Report on Form 10-Q of South Plains Financial, Inc. (the “registrant”) for the quarter ended September 30, 2025 (this “report”);</w:t>
            </w:r>
          </w:p>
        </w:tc>
      </w:tr>
    </w:tbl>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342" w:name="zc999204eea7d407dbbd9fd12623dcd1e"/>
      <w:bookmarkStart w:id="343" w:name="zc999204eea7d407dbbd9fd12623dcd1e"/>
      <w:bookmarkEnd w:id="343"/>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pPr>
            <w:r>
              <w:rPr/>
              <w:t>2.</w:t>
            </w:r>
          </w:p>
        </w:tc>
        <w:tc>
          <w:tcPr>
            <w:tcW w:w="10001" w:type="dxa"/>
            <w:tcBorders/>
            <w:vAlign w:val="center"/>
          </w:tcPr>
          <w:p>
            <w:pPr>
              <w:pStyle w:val="TableContents"/>
              <w:bidi w:val="0"/>
              <w:spacing w:before="0" w:after="0"/>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344" w:name="z48ae79b88e674021af7c6e29512e2bfd"/>
      <w:bookmarkStart w:id="345" w:name="z48ae79b88e674021af7c6e29512e2bfd"/>
      <w:bookmarkEnd w:id="345"/>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pPr>
            <w:r>
              <w:rPr/>
              <w:t>3.</w:t>
            </w:r>
          </w:p>
        </w:tc>
        <w:tc>
          <w:tcPr>
            <w:tcW w:w="9999" w:type="dxa"/>
            <w:tcBorders/>
            <w:vAlign w:val="center"/>
          </w:tcPr>
          <w:p>
            <w:pPr>
              <w:pStyle w:val="TableContents"/>
              <w:bidi w:val="0"/>
              <w:spacing w:before="0" w:after="0"/>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346" w:name="zbdd9320dd78c454c9876587afaede2d6"/>
      <w:bookmarkStart w:id="347" w:name="zbdd9320dd78c454c9876587afaede2d6"/>
      <w:bookmarkEnd w:id="347"/>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pPr>
            <w:r>
              <w:rPr/>
              <w:t>4.</w:t>
            </w:r>
          </w:p>
        </w:tc>
        <w:tc>
          <w:tcPr>
            <w:tcW w:w="10002" w:type="dxa"/>
            <w:tcBorders/>
            <w:vAlign w:val="center"/>
          </w:tcPr>
          <w:p>
            <w:pPr>
              <w:pStyle w:val="TableContents"/>
              <w:bidi w:val="0"/>
              <w:spacing w:before="0" w:after="0"/>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348" w:name="z7b56b20701004ab4b460647b198c29f9"/>
      <w:bookmarkStart w:id="349" w:name="z7b56b20701004ab4b460647b198c29f9"/>
      <w:bookmarkEnd w:id="349"/>
    </w:p>
    <w:tbl>
      <w:tblPr>
        <w:tblW w:w="10205" w:type="dxa"/>
        <w:jc w:val="left"/>
        <w:tblInd w:w="0" w:type="dxa"/>
        <w:tblLayout w:type="fixed"/>
        <w:tblCellMar>
          <w:top w:w="0" w:type="dxa"/>
          <w:left w:w="0" w:type="dxa"/>
          <w:bottom w:w="0" w:type="dxa"/>
          <w:right w:w="0" w:type="dxa"/>
        </w:tblCellMar>
      </w:tblPr>
      <w:tblGrid>
        <w:gridCol w:w="105"/>
        <w:gridCol w:w="249"/>
        <w:gridCol w:w="9851"/>
      </w:tblGrid>
      <w:tr>
        <w:trPr/>
        <w:tc>
          <w:tcPr>
            <w:tcW w:w="10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0"/>
              <w:jc w:val="left"/>
              <w:rPr/>
            </w:pPr>
            <w:r>
              <w:rPr/>
              <w:t>(a)</w:t>
            </w:r>
          </w:p>
        </w:tc>
        <w:tc>
          <w:tcPr>
            <w:tcW w:w="9851" w:type="dxa"/>
            <w:tcBorders/>
            <w:vAlign w:val="center"/>
          </w:tcPr>
          <w:p>
            <w:pPr>
              <w:pStyle w:val="TableContents"/>
              <w:bidi w:val="0"/>
              <w:spacing w:before="0" w:after="0"/>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350" w:name="ze2d52671fee94bbd97d96d8e6e1d7551"/>
      <w:bookmarkStart w:id="351" w:name="ze2d52671fee94bbd97d96d8e6e1d7551"/>
      <w:bookmarkEnd w:id="351"/>
    </w:p>
    <w:tbl>
      <w:tblPr>
        <w:tblW w:w="10205" w:type="dxa"/>
        <w:jc w:val="left"/>
        <w:tblInd w:w="0" w:type="dxa"/>
        <w:tblLayout w:type="fixed"/>
        <w:tblCellMar>
          <w:top w:w="0" w:type="dxa"/>
          <w:left w:w="0" w:type="dxa"/>
          <w:bottom w:w="0" w:type="dxa"/>
          <w:right w:w="0" w:type="dxa"/>
        </w:tblCellMar>
      </w:tblPr>
      <w:tblGrid>
        <w:gridCol w:w="105"/>
        <w:gridCol w:w="265"/>
        <w:gridCol w:w="9835"/>
      </w:tblGrid>
      <w:tr>
        <w:trPr/>
        <w:tc>
          <w:tcPr>
            <w:tcW w:w="10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pPr>
            <w:r>
              <w:rPr/>
              <w:t>(b)</w:t>
            </w:r>
          </w:p>
        </w:tc>
        <w:tc>
          <w:tcPr>
            <w:tcW w:w="9835" w:type="dxa"/>
            <w:tcBorders/>
            <w:vAlign w:val="center"/>
          </w:tcPr>
          <w:p>
            <w:pPr>
              <w:pStyle w:val="TableContents"/>
              <w:bidi w:val="0"/>
              <w:spacing w:before="0" w:after="0"/>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352" w:name="z8c6012a17e7f40d789e165c5237a26c6"/>
      <w:bookmarkStart w:id="353" w:name="z8c6012a17e7f40d789e165c5237a26c6"/>
      <w:bookmarkEnd w:id="353"/>
    </w:p>
    <w:tbl>
      <w:tblPr>
        <w:tblW w:w="10205" w:type="dxa"/>
        <w:jc w:val="left"/>
        <w:tblInd w:w="0" w:type="dxa"/>
        <w:tblLayout w:type="fixed"/>
        <w:tblCellMar>
          <w:top w:w="0" w:type="dxa"/>
          <w:left w:w="0" w:type="dxa"/>
          <w:bottom w:w="0" w:type="dxa"/>
          <w:right w:w="0" w:type="dxa"/>
        </w:tblCellMar>
      </w:tblPr>
      <w:tblGrid>
        <w:gridCol w:w="105"/>
        <w:gridCol w:w="256"/>
        <w:gridCol w:w="9844"/>
      </w:tblGrid>
      <w:tr>
        <w:trPr/>
        <w:tc>
          <w:tcPr>
            <w:tcW w:w="10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pPr>
            <w:r>
              <w:rPr/>
              <w:t>(c)</w:t>
            </w:r>
          </w:p>
        </w:tc>
        <w:tc>
          <w:tcPr>
            <w:tcW w:w="9844" w:type="dxa"/>
            <w:tcBorders/>
            <w:vAlign w:val="center"/>
          </w:tcPr>
          <w:p>
            <w:pPr>
              <w:pStyle w:val="TableContents"/>
              <w:bidi w:val="0"/>
              <w:spacing w:before="0" w:after="0"/>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354" w:name="z9e84cb8d617a41fa808468fa8b6bd28c"/>
      <w:bookmarkStart w:id="355" w:name="z9e84cb8d617a41fa808468fa8b6bd28c"/>
      <w:bookmarkEnd w:id="355"/>
    </w:p>
    <w:tbl>
      <w:tblPr>
        <w:tblW w:w="10205" w:type="dxa"/>
        <w:jc w:val="left"/>
        <w:tblInd w:w="0" w:type="dxa"/>
        <w:tblLayout w:type="fixed"/>
        <w:tblCellMar>
          <w:top w:w="0" w:type="dxa"/>
          <w:left w:w="0" w:type="dxa"/>
          <w:bottom w:w="0" w:type="dxa"/>
          <w:right w:w="0" w:type="dxa"/>
        </w:tblCellMar>
      </w:tblPr>
      <w:tblGrid>
        <w:gridCol w:w="105"/>
        <w:gridCol w:w="265"/>
        <w:gridCol w:w="9835"/>
      </w:tblGrid>
      <w:tr>
        <w:trPr/>
        <w:tc>
          <w:tcPr>
            <w:tcW w:w="10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jc w:val="left"/>
              <w:rPr/>
            </w:pPr>
            <w:r>
              <w:rPr/>
              <w:t>(d)</w:t>
            </w:r>
          </w:p>
        </w:tc>
        <w:tc>
          <w:tcPr>
            <w:tcW w:w="9835" w:type="dxa"/>
            <w:tcBorders/>
            <w:vAlign w:val="center"/>
          </w:tcPr>
          <w:p>
            <w:pPr>
              <w:pStyle w:val="TableContents"/>
              <w:bidi w:val="0"/>
              <w:spacing w:before="0" w:after="0"/>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356" w:name="ze8bebd5b0e40453492abb3584dab042b"/>
      <w:bookmarkStart w:id="357" w:name="ze8bebd5b0e40453492abb3584dab042b"/>
      <w:bookmarkEnd w:id="357"/>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pPr>
            <w:r>
              <w:rPr/>
              <w:t>5.</w:t>
            </w:r>
          </w:p>
        </w:tc>
        <w:tc>
          <w:tcPr>
            <w:tcW w:w="9999" w:type="dxa"/>
            <w:tcBorders/>
            <w:vAlign w:val="center"/>
          </w:tcPr>
          <w:p>
            <w:pPr>
              <w:pStyle w:val="TableContents"/>
              <w:bidi w:val="0"/>
              <w:spacing w:before="0" w:after="0"/>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358" w:name="z3b030b4fbde84b6cac0b9a0b058d6dd1"/>
      <w:bookmarkStart w:id="359" w:name="z3b030b4fbde84b6cac0b9a0b058d6dd1"/>
      <w:bookmarkEnd w:id="359"/>
    </w:p>
    <w:tbl>
      <w:tblPr>
        <w:tblW w:w="10205" w:type="dxa"/>
        <w:jc w:val="left"/>
        <w:tblInd w:w="0" w:type="dxa"/>
        <w:tblLayout w:type="fixed"/>
        <w:tblCellMar>
          <w:top w:w="0" w:type="dxa"/>
          <w:left w:w="0" w:type="dxa"/>
          <w:bottom w:w="0" w:type="dxa"/>
          <w:right w:w="0" w:type="dxa"/>
        </w:tblCellMar>
      </w:tblPr>
      <w:tblGrid>
        <w:gridCol w:w="105"/>
        <w:gridCol w:w="257"/>
        <w:gridCol w:w="9843"/>
      </w:tblGrid>
      <w:tr>
        <w:trPr/>
        <w:tc>
          <w:tcPr>
            <w:tcW w:w="10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0"/>
              <w:jc w:val="left"/>
              <w:rPr/>
            </w:pPr>
            <w:r>
              <w:rPr/>
              <w:t>(a)</w:t>
            </w:r>
          </w:p>
        </w:tc>
        <w:tc>
          <w:tcPr>
            <w:tcW w:w="9843" w:type="dxa"/>
            <w:tcBorders/>
            <w:vAlign w:val="center"/>
          </w:tcPr>
          <w:p>
            <w:pPr>
              <w:pStyle w:val="TableContents"/>
              <w:bidi w:val="0"/>
              <w:spacing w:before="0" w:after="0"/>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olor w:val="000000"/>
        </w:rPr>
      </w:pPr>
      <w:r>
        <w:rPr>
          <w:color w:val="000000"/>
        </w:rPr>
        <w:t xml:space="preserve">  </w:t>
      </w:r>
    </w:p>
    <w:p>
      <w:pPr>
        <w:pStyle w:val="Normal"/>
        <w:bidi w:val="0"/>
        <w:spacing w:before="0" w:after="0"/>
        <w:jc w:val="left"/>
        <w:rPr>
          <w:sz w:val="4"/>
          <w:szCs w:val="4"/>
        </w:rPr>
      </w:pPr>
      <w:r>
        <w:rPr>
          <w:sz w:val="4"/>
          <w:szCs w:val="4"/>
        </w:rPr>
      </w:r>
      <w:bookmarkStart w:id="360" w:name="z4d9fe17514d44f5984d24d4b6228b607"/>
      <w:bookmarkStart w:id="361" w:name="z4d9fe17514d44f5984d24d4b6228b607"/>
      <w:bookmarkEnd w:id="361"/>
    </w:p>
    <w:tbl>
      <w:tblPr>
        <w:tblW w:w="10205" w:type="dxa"/>
        <w:jc w:val="left"/>
        <w:tblInd w:w="0" w:type="dxa"/>
        <w:tblLayout w:type="fixed"/>
        <w:tblCellMar>
          <w:top w:w="0" w:type="dxa"/>
          <w:left w:w="0" w:type="dxa"/>
          <w:bottom w:w="0" w:type="dxa"/>
          <w:right w:w="0" w:type="dxa"/>
        </w:tblCellMar>
      </w:tblPr>
      <w:tblGrid>
        <w:gridCol w:w="105"/>
        <w:gridCol w:w="288"/>
        <w:gridCol w:w="9812"/>
      </w:tblGrid>
      <w:tr>
        <w:trPr/>
        <w:tc>
          <w:tcPr>
            <w:tcW w:w="10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0"/>
              <w:jc w:val="left"/>
              <w:rPr/>
            </w:pPr>
            <w:r>
              <w:rPr/>
              <w:t>(b)</w:t>
            </w:r>
          </w:p>
        </w:tc>
        <w:tc>
          <w:tcPr>
            <w:tcW w:w="9812" w:type="dxa"/>
            <w:tcBorders/>
            <w:vAlign w:val="center"/>
          </w:tcPr>
          <w:p>
            <w:pPr>
              <w:pStyle w:val="TableContents"/>
              <w:bidi w:val="0"/>
              <w:spacing w:before="0" w:after="0"/>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2" w:name="zfea734e8af2d4b91813e946a2543dd2e"/>
      <w:bookmarkStart w:id="363" w:name="zfea734e8af2d4b91813e946a2543dd2e"/>
      <w:bookmarkEnd w:id="363"/>
    </w:p>
    <w:tbl>
      <w:tblPr>
        <w:tblW w:w="4755" w:type="dxa"/>
        <w:jc w:val="left"/>
        <w:tblInd w:w="0" w:type="dxa"/>
        <w:tblLayout w:type="fixed"/>
        <w:tblCellMar>
          <w:top w:w="0" w:type="dxa"/>
          <w:left w:w="0" w:type="dxa"/>
          <w:bottom w:w="0" w:type="dxa"/>
          <w:right w:w="0" w:type="dxa"/>
        </w:tblCellMar>
      </w:tblPr>
      <w:tblGrid>
        <w:gridCol w:w="2090"/>
        <w:gridCol w:w="395"/>
        <w:gridCol w:w="2270"/>
      </w:tblGrid>
      <w:tr>
        <w:trPr/>
        <w:tc>
          <w:tcPr>
            <w:tcW w:w="2090" w:type="dxa"/>
            <w:tcBorders/>
            <w:vAlign w:val="center"/>
          </w:tcPr>
          <w:p>
            <w:pPr>
              <w:pStyle w:val="TableContents"/>
              <w:bidi w:val="0"/>
              <w:spacing w:before="0" w:after="0"/>
              <w:jc w:val="left"/>
              <w:rPr>
                <w:color w:val="000000"/>
              </w:rPr>
            </w:pPr>
            <w:r>
              <w:rPr>
                <w:color w:val="000000"/>
              </w:rPr>
              <w:t>Date: August 6, 2026</w:t>
            </w:r>
          </w:p>
        </w:tc>
        <w:tc>
          <w:tcPr>
            <w:tcW w:w="395" w:type="dxa"/>
            <w:tcBorders/>
            <w:vAlign w:val="center"/>
          </w:tcPr>
          <w:p>
            <w:pPr>
              <w:pStyle w:val="TableContents"/>
              <w:bidi w:val="0"/>
              <w:spacing w:before="0" w:after="0"/>
              <w:jc w:val="left"/>
              <w:rPr>
                <w:color w:val="000000"/>
              </w:rPr>
            </w:pPr>
            <w:r>
              <w:rPr>
                <w:color w:val="000000"/>
              </w:rPr>
              <w:t>By:</w:t>
            </w:r>
          </w:p>
        </w:tc>
        <w:tc>
          <w:tcPr>
            <w:tcW w:w="2270"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Steven B. Crockett</w:t>
            </w:r>
          </w:p>
        </w:tc>
      </w:tr>
      <w:tr>
        <w:trPr/>
        <w:tc>
          <w:tcPr>
            <w:tcW w:w="2090" w:type="dxa"/>
            <w:tcBorders/>
            <w:vAlign w:val="center"/>
          </w:tcPr>
          <w:p>
            <w:pPr>
              <w:pStyle w:val="TableContents"/>
              <w:bidi w:val="0"/>
              <w:spacing w:before="0" w:after="0"/>
              <w:jc w:val="left"/>
              <w:rPr>
                <w:color w:val="000000"/>
              </w:rPr>
            </w:pPr>
            <w:r>
              <w:rPr>
                <w:color w:val="000000"/>
              </w:rPr>
              <w:t> </w:t>
            </w:r>
          </w:p>
        </w:tc>
        <w:tc>
          <w:tcPr>
            <w:tcW w:w="39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center"/>
              <w:rPr>
                <w:color w:val="000000"/>
              </w:rPr>
            </w:pPr>
            <w:r>
              <w:rPr>
                <w:color w:val="000000"/>
              </w:rPr>
              <w:t>Steven B. Crockett</w:t>
            </w:r>
          </w:p>
        </w:tc>
      </w:tr>
      <w:tr>
        <w:trPr/>
        <w:tc>
          <w:tcPr>
            <w:tcW w:w="2090" w:type="dxa"/>
            <w:tcBorders/>
            <w:vAlign w:val="center"/>
          </w:tcPr>
          <w:p>
            <w:pPr>
              <w:pStyle w:val="TableContents"/>
              <w:bidi w:val="0"/>
              <w:spacing w:before="0" w:after="0"/>
              <w:jc w:val="left"/>
              <w:rPr>
                <w:color w:val="000000"/>
              </w:rPr>
            </w:pPr>
            <w:r>
              <w:rPr>
                <w:color w:val="000000"/>
              </w:rPr>
              <w:t> </w:t>
            </w:r>
          </w:p>
        </w:tc>
        <w:tc>
          <w:tcPr>
            <w:tcW w:w="39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center"/>
              <w:rPr>
                <w:color w:val="000000"/>
              </w:rPr>
            </w:pPr>
            <w:r>
              <w:rPr>
                <w:color w:val="000000"/>
              </w:rPr>
              <w:t>Chief Financial Officer</w:t>
            </w:r>
          </w:p>
        </w:tc>
      </w:tr>
    </w:tbl>
    <w:p>
      <w:pPr>
        <w:pStyle w:val="TextBody"/>
        <w:bidi w:val="0"/>
        <w:jc w:val="left"/>
        <w:rPr/>
      </w:pPr>
      <w:r>
        <w:rPr/>
      </w:r>
    </w:p>
    <w:p>
      <w:pPr>
        <w:pStyle w:val="HorizontalLine"/>
        <w:bidi w:val="0"/>
        <w:jc w:val="left"/>
        <w:rPr/>
      </w:pPr>
      <w:r>
        <w:rPr/>
      </w:r>
    </w:p>
    <w:p>
      <w:pPr>
        <w:pStyle w:val="HorizontalLine"/>
        <w:bidi w:val="0"/>
        <w:jc w:val="left"/>
        <w:rPr/>
      </w:pPr>
      <w:r>
        <w:rPr/>
      </w:r>
      <w:bookmarkStart w:id="364" w:name="ef20074919_ex32-1.htm"/>
      <w:bookmarkStart w:id="365" w:name="ksef20074919_ex321"/>
      <w:bookmarkStart w:id="366" w:name="ef20074919_ex32-1.htm"/>
      <w:bookmarkStart w:id="367" w:name="ksef20074919_ex321"/>
      <w:bookmarkEnd w:id="366"/>
      <w:bookmarkEnd w:id="367"/>
      <w:r>
        <w:br w:type="page"/>
      </w:r>
    </w:p>
    <w:p>
      <w:pPr>
        <w:pStyle w:val="TextBody"/>
        <w:bidi w:val="0"/>
        <w:spacing w:before="0" w:after="0"/>
        <w:jc w:val="right"/>
        <w:rPr>
          <w:color w:val="000000"/>
        </w:rPr>
      </w:pPr>
      <w:r>
        <w:rPr>
          <w:color w:val="000000"/>
        </w:rPr>
        <w:t> </w:t>
      </w:r>
      <w:r>
        <w:rPr>
          <w:rFonts w:ascii="Times New Roman" w:hAnsi="Times New Roman"/>
          <w:b/>
          <w:color w:val="000000"/>
          <w:sz w:val="20"/>
        </w:rPr>
        <w:t>Exhibit 32.1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Quarterly Report on Form 10-Q of South Plains Financial, Inc. (the “Company”) for the quarter ended September 30, 2025 (the “Report”), as filed with the Securities and Exchange Commission on the date hereof, I certify, pursuant to 18 U.S.C. § 1350, as adopted pursuant to § 906 of the Sarbanes-Oxley Act of 2002, that to the best of my knowledge: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8" w:name="ze385de76b24f4816a3570985fc0d9bd8"/>
      <w:bookmarkStart w:id="369" w:name="ze385de76b24f4816a3570985fc0d9bd8"/>
      <w:bookmarkEnd w:id="369"/>
    </w:p>
    <w:tbl>
      <w:tblPr>
        <w:tblW w:w="10205" w:type="dxa"/>
        <w:jc w:val="left"/>
        <w:tblInd w:w="0" w:type="dxa"/>
        <w:tblLayout w:type="fixed"/>
        <w:tblCellMar>
          <w:top w:w="0" w:type="dxa"/>
          <w:left w:w="0" w:type="dxa"/>
          <w:bottom w:w="0" w:type="dxa"/>
          <w:right w:w="0" w:type="dxa"/>
        </w:tblCellMar>
      </w:tblPr>
      <w:tblGrid>
        <w:gridCol w:w="105"/>
        <w:gridCol w:w="298"/>
        <w:gridCol w:w="9802"/>
      </w:tblGrid>
      <w:tr>
        <w:trPr/>
        <w:tc>
          <w:tcPr>
            <w:tcW w:w="10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pPr>
            <w:r>
              <w:rPr/>
              <w:t>(1)</w:t>
            </w:r>
          </w:p>
        </w:tc>
        <w:tc>
          <w:tcPr>
            <w:tcW w:w="9802" w:type="dxa"/>
            <w:tcBorders/>
            <w:vAlign w:val="center"/>
          </w:tcPr>
          <w:p>
            <w:pPr>
              <w:pStyle w:val="TableContents"/>
              <w:bidi w:val="0"/>
              <w:spacing w:before="0" w:after="0"/>
              <w:jc w:val="left"/>
              <w:rPr/>
            </w:pPr>
            <w:r>
              <w:rPr/>
              <w:t>The Report fully complies with the requirements of Section 13(a) or Section 15(d) of the Securities Exchange Act of 1934, as amended;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0" w:name="z26e9deb6d3b74813aa3b242061e3b1a7"/>
      <w:bookmarkStart w:id="371" w:name="z26e9deb6d3b74813aa3b242061e3b1a7"/>
      <w:bookmarkEnd w:id="371"/>
    </w:p>
    <w:tbl>
      <w:tblPr>
        <w:tblW w:w="10205" w:type="dxa"/>
        <w:jc w:val="left"/>
        <w:tblInd w:w="0" w:type="dxa"/>
        <w:tblLayout w:type="fixed"/>
        <w:tblCellMar>
          <w:top w:w="0" w:type="dxa"/>
          <w:left w:w="0" w:type="dxa"/>
          <w:bottom w:w="0" w:type="dxa"/>
          <w:right w:w="0" w:type="dxa"/>
        </w:tblCellMar>
      </w:tblPr>
      <w:tblGrid>
        <w:gridCol w:w="105"/>
        <w:gridCol w:w="296"/>
        <w:gridCol w:w="9804"/>
      </w:tblGrid>
      <w:tr>
        <w:trPr/>
        <w:tc>
          <w:tcPr>
            <w:tcW w:w="10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0"/>
              <w:jc w:val="left"/>
              <w:rPr/>
            </w:pPr>
            <w:r>
              <w:rPr/>
              <w:t>(2)</w:t>
            </w:r>
          </w:p>
        </w:tc>
        <w:tc>
          <w:tcPr>
            <w:tcW w:w="9804" w:type="dxa"/>
            <w:tcBorders/>
            <w:vAlign w:val="center"/>
          </w:tcPr>
          <w:p>
            <w:pPr>
              <w:pStyle w:val="TableContents"/>
              <w:bidi w:val="0"/>
              <w:spacing w:before="0" w:after="0"/>
              <w:jc w:val="left"/>
              <w:rPr/>
            </w:pPr>
            <w:r>
              <w:rPr/>
              <w:t>The information contained in the Report fairly presents, in all material respects, the financial condition and results of operations of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2" w:name="za421f69fc8d84f44a34c969846796cc1"/>
      <w:bookmarkStart w:id="373" w:name="za421f69fc8d84f44a34c969846796cc1"/>
      <w:bookmarkEnd w:id="373"/>
    </w:p>
    <w:tbl>
      <w:tblPr>
        <w:tblW w:w="5295" w:type="dxa"/>
        <w:jc w:val="left"/>
        <w:tblInd w:w="0" w:type="dxa"/>
        <w:tblLayout w:type="fixed"/>
        <w:tblCellMar>
          <w:top w:w="0" w:type="dxa"/>
          <w:left w:w="0" w:type="dxa"/>
          <w:bottom w:w="0" w:type="dxa"/>
          <w:right w:w="0" w:type="dxa"/>
        </w:tblCellMar>
      </w:tblPr>
      <w:tblGrid>
        <w:gridCol w:w="2090"/>
        <w:gridCol w:w="395"/>
        <w:gridCol w:w="2810"/>
      </w:tblGrid>
      <w:tr>
        <w:trPr/>
        <w:tc>
          <w:tcPr>
            <w:tcW w:w="2090" w:type="dxa"/>
            <w:tcBorders/>
            <w:vAlign w:val="center"/>
          </w:tcPr>
          <w:p>
            <w:pPr>
              <w:pStyle w:val="TableContents"/>
              <w:bidi w:val="0"/>
              <w:spacing w:before="0" w:after="0"/>
              <w:jc w:val="left"/>
              <w:rPr>
                <w:color w:val="000000"/>
              </w:rPr>
            </w:pPr>
            <w:r>
              <w:rPr>
                <w:color w:val="000000"/>
              </w:rPr>
              <w:t>Date: August 6, 2026</w:t>
            </w:r>
          </w:p>
        </w:tc>
        <w:tc>
          <w:tcPr>
            <w:tcW w:w="395" w:type="dxa"/>
            <w:tcBorders/>
            <w:vAlign w:val="center"/>
          </w:tcPr>
          <w:p>
            <w:pPr>
              <w:pStyle w:val="TableContents"/>
              <w:bidi w:val="0"/>
              <w:spacing w:before="0" w:after="0"/>
              <w:jc w:val="left"/>
              <w:rPr>
                <w:color w:val="000000"/>
              </w:rPr>
            </w:pPr>
            <w:r>
              <w:rPr>
                <w:color w:val="000000"/>
              </w:rPr>
              <w:t>By:</w:t>
            </w:r>
          </w:p>
        </w:tc>
        <w:tc>
          <w:tcPr>
            <w:tcW w:w="2810"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Cory T. Newsom</w:t>
            </w:r>
          </w:p>
        </w:tc>
      </w:tr>
      <w:tr>
        <w:trPr/>
        <w:tc>
          <w:tcPr>
            <w:tcW w:w="2090" w:type="dxa"/>
            <w:tcBorders/>
            <w:vAlign w:val="center"/>
          </w:tcPr>
          <w:p>
            <w:pPr>
              <w:pStyle w:val="TableContents"/>
              <w:bidi w:val="0"/>
              <w:spacing w:before="0" w:after="0"/>
              <w:jc w:val="left"/>
              <w:rPr>
                <w:color w:val="000000"/>
              </w:rPr>
            </w:pPr>
            <w:r>
              <w:rPr>
                <w:color w:val="000000"/>
              </w:rPr>
              <w:t> </w:t>
            </w:r>
          </w:p>
        </w:tc>
        <w:tc>
          <w:tcPr>
            <w:tcW w:w="395" w:type="dxa"/>
            <w:tcBorders/>
            <w:vAlign w:val="center"/>
          </w:tcPr>
          <w:p>
            <w:pPr>
              <w:pStyle w:val="TableContents"/>
              <w:bidi w:val="0"/>
              <w:spacing w:before="0" w:after="0"/>
              <w:jc w:val="left"/>
              <w:rPr>
                <w:color w:val="000000"/>
              </w:rPr>
            </w:pPr>
            <w:r>
              <w:rPr>
                <w:color w:val="000000"/>
              </w:rPr>
              <w:t> </w:t>
            </w:r>
          </w:p>
        </w:tc>
        <w:tc>
          <w:tcPr>
            <w:tcW w:w="2810" w:type="dxa"/>
            <w:tcBorders/>
            <w:vAlign w:val="center"/>
          </w:tcPr>
          <w:p>
            <w:pPr>
              <w:pStyle w:val="TableContents"/>
              <w:bidi w:val="0"/>
              <w:spacing w:before="0" w:after="0"/>
              <w:jc w:val="center"/>
              <w:rPr>
                <w:color w:val="000000"/>
              </w:rPr>
            </w:pPr>
            <w:r>
              <w:rPr>
                <w:color w:val="000000"/>
              </w:rPr>
              <w:t>Cory T. Newsom</w:t>
            </w:r>
          </w:p>
        </w:tc>
      </w:tr>
      <w:tr>
        <w:trPr/>
        <w:tc>
          <w:tcPr>
            <w:tcW w:w="2090" w:type="dxa"/>
            <w:tcBorders/>
            <w:vAlign w:val="center"/>
          </w:tcPr>
          <w:p>
            <w:pPr>
              <w:pStyle w:val="TableContents"/>
              <w:bidi w:val="0"/>
              <w:spacing w:before="0" w:after="0"/>
              <w:jc w:val="left"/>
              <w:rPr>
                <w:color w:val="000000"/>
              </w:rPr>
            </w:pPr>
            <w:r>
              <w:rPr>
                <w:color w:val="000000"/>
              </w:rPr>
              <w:t> </w:t>
            </w:r>
          </w:p>
        </w:tc>
        <w:tc>
          <w:tcPr>
            <w:tcW w:w="395" w:type="dxa"/>
            <w:tcBorders/>
            <w:vAlign w:val="center"/>
          </w:tcPr>
          <w:p>
            <w:pPr>
              <w:pStyle w:val="TableContents"/>
              <w:bidi w:val="0"/>
              <w:spacing w:before="0" w:after="0"/>
              <w:jc w:val="left"/>
              <w:rPr>
                <w:color w:val="000000"/>
              </w:rPr>
            </w:pPr>
            <w:r>
              <w:rPr>
                <w:color w:val="000000"/>
              </w:rPr>
              <w:t> </w:t>
            </w:r>
          </w:p>
        </w:tc>
        <w:tc>
          <w:tcPr>
            <w:tcW w:w="2810" w:type="dxa"/>
            <w:tcBorders/>
            <w:vAlign w:val="center"/>
          </w:tcPr>
          <w:p>
            <w:pPr>
              <w:pStyle w:val="TableContents"/>
              <w:bidi w:val="0"/>
              <w:spacing w:before="0" w:after="0"/>
              <w:jc w:val="center"/>
              <w:rPr>
                <w:color w:val="000000"/>
              </w:rPr>
            </w:pPr>
            <w:r>
              <w:rPr>
                <w:color w:val="000000"/>
              </w:rPr>
              <w:t>President</w:t>
              <w:br/>
              <w:t>(Principal Executive Officer)</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xml:space="preserve">  </w:t>
      </w:r>
    </w:p>
    <w:p>
      <w:pPr>
        <w:pStyle w:val="HorizontalLine"/>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jc w:val="left"/>
        <w:rPr>
          <w:color w:val="000000"/>
        </w:rPr>
      </w:pPr>
      <w:r>
        <w:rPr>
          <w:color w:val="000000"/>
        </w:rPr>
        <w:t> </w:t>
      </w:r>
    </w:p>
    <w:p>
      <w:pPr>
        <w:pStyle w:val="HorizontalLine"/>
        <w:bidi w:val="0"/>
        <w:jc w:val="left"/>
        <w:rPr/>
      </w:pPr>
      <w:r>
        <w:rPr/>
      </w:r>
      <w:bookmarkStart w:id="374" w:name="ef20074919_ex32-2.htm"/>
      <w:bookmarkStart w:id="375" w:name="ksef20074919_ex322"/>
      <w:bookmarkStart w:id="376" w:name="ef20074919_ex32-2.htm"/>
      <w:bookmarkStart w:id="377" w:name="ksef20074919_ex322"/>
      <w:bookmarkEnd w:id="376"/>
      <w:bookmarkEnd w:id="377"/>
      <w:r>
        <w:br w:type="page"/>
      </w:r>
    </w:p>
    <w:p>
      <w:pPr>
        <w:pStyle w:val="TextBody"/>
        <w:bidi w:val="0"/>
        <w:spacing w:before="0" w:after="0"/>
        <w:jc w:val="right"/>
        <w:rPr>
          <w:color w:val="000000"/>
        </w:rPr>
      </w:pPr>
      <w:r>
        <w:rPr>
          <w:color w:val="000000"/>
        </w:rPr>
        <w:t> </w:t>
      </w:r>
      <w:r>
        <w:rPr>
          <w:rFonts w:ascii="Times New Roman" w:hAnsi="Times New Roman"/>
          <w:b/>
          <w:color w:val="000000"/>
          <w:sz w:val="20"/>
        </w:rPr>
        <w:t>Exhibit 32.2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Quarterly Report on Form 10-Q of South Plains Financial, Inc. (the “Company”) for the quarter ended September 30, 2025 (the “Report”), as filed with the Securities and Exchange Commission on the date hereof, I certify, pursuant to 18 U.S.C. § 1350, as adopted pursuant to § 906 of the Sarbanes-Oxley Act of 2002, that to the best of my knowledge: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78" w:name="z856e010085c94602b2d4a90394379353"/>
      <w:bookmarkStart w:id="379" w:name="z856e010085c94602b2d4a90394379353"/>
      <w:bookmarkEnd w:id="379"/>
    </w:p>
    <w:tbl>
      <w:tblPr>
        <w:tblW w:w="10205" w:type="dxa"/>
        <w:jc w:val="left"/>
        <w:tblInd w:w="0" w:type="dxa"/>
        <w:tblLayout w:type="fixed"/>
        <w:tblCellMar>
          <w:top w:w="0" w:type="dxa"/>
          <w:left w:w="0" w:type="dxa"/>
          <w:bottom w:w="0" w:type="dxa"/>
          <w:right w:w="0" w:type="dxa"/>
        </w:tblCellMar>
      </w:tblPr>
      <w:tblGrid>
        <w:gridCol w:w="105"/>
        <w:gridCol w:w="298"/>
        <w:gridCol w:w="9802"/>
      </w:tblGrid>
      <w:tr>
        <w:trPr/>
        <w:tc>
          <w:tcPr>
            <w:tcW w:w="105"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pPr>
            <w:r>
              <w:rPr/>
              <w:t>(1)</w:t>
            </w:r>
          </w:p>
        </w:tc>
        <w:tc>
          <w:tcPr>
            <w:tcW w:w="9802" w:type="dxa"/>
            <w:tcBorders/>
            <w:vAlign w:val="center"/>
          </w:tcPr>
          <w:p>
            <w:pPr>
              <w:pStyle w:val="TableContents"/>
              <w:bidi w:val="0"/>
              <w:spacing w:before="0" w:after="0"/>
              <w:jc w:val="left"/>
              <w:rPr/>
            </w:pPr>
            <w:r>
              <w:rPr/>
              <w:t>The Report fully complies with the requirements of Section 13(a) or Section 15(d) of the Securities Exchange Act of 1934, as amended;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0" w:name="z46b42a7edaa445afbd65dc16c514b91f"/>
      <w:bookmarkStart w:id="381" w:name="z46b42a7edaa445afbd65dc16c514b91f"/>
      <w:bookmarkEnd w:id="381"/>
    </w:p>
    <w:tbl>
      <w:tblPr>
        <w:tblW w:w="10205" w:type="dxa"/>
        <w:jc w:val="left"/>
        <w:tblInd w:w="0" w:type="dxa"/>
        <w:tblLayout w:type="fixed"/>
        <w:tblCellMar>
          <w:top w:w="0" w:type="dxa"/>
          <w:left w:w="0" w:type="dxa"/>
          <w:bottom w:w="0" w:type="dxa"/>
          <w:right w:w="0" w:type="dxa"/>
        </w:tblCellMar>
      </w:tblPr>
      <w:tblGrid>
        <w:gridCol w:w="105"/>
        <w:gridCol w:w="296"/>
        <w:gridCol w:w="9804"/>
      </w:tblGrid>
      <w:tr>
        <w:trPr/>
        <w:tc>
          <w:tcPr>
            <w:tcW w:w="105"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0"/>
              <w:jc w:val="left"/>
              <w:rPr/>
            </w:pPr>
            <w:r>
              <w:rPr/>
              <w:t>(2)</w:t>
            </w:r>
          </w:p>
        </w:tc>
        <w:tc>
          <w:tcPr>
            <w:tcW w:w="9804" w:type="dxa"/>
            <w:tcBorders/>
            <w:vAlign w:val="center"/>
          </w:tcPr>
          <w:p>
            <w:pPr>
              <w:pStyle w:val="TableContents"/>
              <w:bidi w:val="0"/>
              <w:spacing w:before="0" w:after="0"/>
              <w:jc w:val="left"/>
              <w:rPr/>
            </w:pPr>
            <w:r>
              <w:rPr/>
              <w:t>The information contained in the Report fairly presents, in all material respects, the financial condition and results of operations of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2" w:name="z7749af8be9454f93aefa6bb4a87b65da"/>
      <w:bookmarkStart w:id="383" w:name="z7749af8be9454f93aefa6bb4a87b65da"/>
      <w:bookmarkEnd w:id="383"/>
    </w:p>
    <w:tbl>
      <w:tblPr>
        <w:tblW w:w="4755" w:type="dxa"/>
        <w:jc w:val="left"/>
        <w:tblInd w:w="0" w:type="dxa"/>
        <w:tblLayout w:type="fixed"/>
        <w:tblCellMar>
          <w:top w:w="0" w:type="dxa"/>
          <w:left w:w="0" w:type="dxa"/>
          <w:bottom w:w="0" w:type="dxa"/>
          <w:right w:w="0" w:type="dxa"/>
        </w:tblCellMar>
      </w:tblPr>
      <w:tblGrid>
        <w:gridCol w:w="2090"/>
        <w:gridCol w:w="395"/>
        <w:gridCol w:w="2270"/>
      </w:tblGrid>
      <w:tr>
        <w:trPr/>
        <w:tc>
          <w:tcPr>
            <w:tcW w:w="2090" w:type="dxa"/>
            <w:tcBorders/>
            <w:vAlign w:val="center"/>
          </w:tcPr>
          <w:p>
            <w:pPr>
              <w:pStyle w:val="TableContents"/>
              <w:bidi w:val="0"/>
              <w:spacing w:before="0" w:after="0"/>
              <w:jc w:val="left"/>
              <w:rPr>
                <w:color w:val="000000"/>
              </w:rPr>
            </w:pPr>
            <w:r>
              <w:rPr>
                <w:color w:val="000000"/>
              </w:rPr>
              <w:t>Date: August 6, 2026</w:t>
            </w:r>
          </w:p>
        </w:tc>
        <w:tc>
          <w:tcPr>
            <w:tcW w:w="395" w:type="dxa"/>
            <w:tcBorders/>
            <w:vAlign w:val="center"/>
          </w:tcPr>
          <w:p>
            <w:pPr>
              <w:pStyle w:val="TableContents"/>
              <w:bidi w:val="0"/>
              <w:spacing w:before="0" w:after="0"/>
              <w:jc w:val="left"/>
              <w:rPr>
                <w:color w:val="000000"/>
              </w:rPr>
            </w:pPr>
            <w:r>
              <w:rPr>
                <w:color w:val="000000"/>
              </w:rPr>
              <w:t>By:</w:t>
            </w:r>
          </w:p>
        </w:tc>
        <w:tc>
          <w:tcPr>
            <w:tcW w:w="2270"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Steven B. Crockett</w:t>
            </w:r>
          </w:p>
        </w:tc>
      </w:tr>
      <w:tr>
        <w:trPr/>
        <w:tc>
          <w:tcPr>
            <w:tcW w:w="2090" w:type="dxa"/>
            <w:tcBorders/>
            <w:vAlign w:val="center"/>
          </w:tcPr>
          <w:p>
            <w:pPr>
              <w:pStyle w:val="TableContents"/>
              <w:bidi w:val="0"/>
              <w:spacing w:before="0" w:after="0"/>
              <w:jc w:val="left"/>
              <w:rPr>
                <w:color w:val="000000"/>
              </w:rPr>
            </w:pPr>
            <w:r>
              <w:rPr>
                <w:color w:val="000000"/>
              </w:rPr>
              <w:t> </w:t>
            </w:r>
          </w:p>
        </w:tc>
        <w:tc>
          <w:tcPr>
            <w:tcW w:w="39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center"/>
              <w:rPr>
                <w:color w:val="000000"/>
              </w:rPr>
            </w:pPr>
            <w:r>
              <w:rPr>
                <w:color w:val="000000"/>
              </w:rPr>
              <w:t>Steven B. Crockett</w:t>
            </w:r>
          </w:p>
        </w:tc>
      </w:tr>
      <w:tr>
        <w:trPr/>
        <w:tc>
          <w:tcPr>
            <w:tcW w:w="2090" w:type="dxa"/>
            <w:tcBorders/>
            <w:vAlign w:val="center"/>
          </w:tcPr>
          <w:p>
            <w:pPr>
              <w:pStyle w:val="TableContents"/>
              <w:bidi w:val="0"/>
              <w:spacing w:before="0" w:after="0"/>
              <w:jc w:val="left"/>
              <w:rPr>
                <w:color w:val="000000"/>
              </w:rPr>
            </w:pPr>
            <w:r>
              <w:rPr>
                <w:color w:val="000000"/>
              </w:rPr>
              <w:t> </w:t>
            </w:r>
          </w:p>
        </w:tc>
        <w:tc>
          <w:tcPr>
            <w:tcW w:w="395" w:type="dxa"/>
            <w:tcBorders/>
            <w:vAlign w:val="center"/>
          </w:tcPr>
          <w:p>
            <w:pPr>
              <w:pStyle w:val="TableContents"/>
              <w:bidi w:val="0"/>
              <w:spacing w:before="0" w:after="0"/>
              <w:jc w:val="left"/>
              <w:rPr>
                <w:color w:val="000000"/>
              </w:rPr>
            </w:pPr>
            <w:r>
              <w:rPr>
                <w:color w:val="000000"/>
              </w:rPr>
              <w:t> </w:t>
            </w:r>
          </w:p>
        </w:tc>
        <w:tc>
          <w:tcPr>
            <w:tcW w:w="2270" w:type="dxa"/>
            <w:tcBorders/>
            <w:vAlign w:val="center"/>
          </w:tcPr>
          <w:p>
            <w:pPr>
              <w:pStyle w:val="TableContents"/>
              <w:bidi w:val="0"/>
              <w:spacing w:before="0" w:after="0"/>
              <w:jc w:val="center"/>
              <w:rPr>
                <w:color w:val="000000"/>
              </w:rPr>
            </w:pPr>
            <w:r>
              <w:rPr>
                <w:color w:val="000000"/>
              </w:rPr>
              <w:t>Chief Financial Officer</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xml:space="preserve">  </w:t>
      </w:r>
    </w:p>
    <w:p>
      <w:pPr>
        <w:pStyle w:val="HorizontalLine"/>
        <w:bidi w:val="0"/>
        <w:jc w:val="left"/>
        <w:rPr/>
      </w:pPr>
      <w:r>
        <w:rPr/>
      </w:r>
    </w:p>
    <w:p>
      <w:pPr>
        <w:pStyle w:val="TextBody"/>
        <w:bidi w:val="0"/>
        <w:spacing w:before="0" w:after="0"/>
        <w:jc w:val="left"/>
        <w:rPr/>
      </w:pPr>
      <w:r>
        <w:rPr/>
      </w:r>
    </w:p>
    <w:p>
      <w:pPr>
        <w:pStyle w:val="TextBody"/>
        <w:bidi w:val="0"/>
        <w:spacing w:before="0" w:after="283"/>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3668/000114036119007042/s002614x4_ex3-1.htm" TargetMode="External"/><Relationship Id="rId3" Type="http://schemas.openxmlformats.org/officeDocument/2006/relationships/hyperlink" Target="https://www.sec.gov/Archives/edgar/data/1163668/000114036125032756/ef20054566_ex3-1.htm" TargetMode="External"/><Relationship Id="rId4" Type="http://schemas.openxmlformats.org/officeDocument/2006/relationships/hyperlink" Target="https://www.sec.gov/Archives/edgar/data/1163668/000114036126012794/ef20069677_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33606</Words>
  <Characters>178304</Characters>
  <CharactersWithSpaces>219218</CharactersWithSpaces>
  <Paragraphs>20852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