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pPr>
      <w:r>
        <w:rPr/>
      </w:r>
    </w:p>
    <w:p>
      <w:pPr>
        <w:pStyle w:val="HorizontalLine"/>
        <w:bidi w:val="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HorizontalLine"/>
        <w:bidi w:val="0"/>
        <w:jc w:val="left"/>
        <w:rPr/>
      </w:pPr>
      <w:r>
        <w:rPr/>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the 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March 23, 2026</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South Plains Financial,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center"/>
        <w:rPr>
          <w:rFonts w:ascii="Times New Roman" w:hAnsi="Times New Roman"/>
          <w:sz w:val="20"/>
        </w:rPr>
      </w:pPr>
      <w:r>
        <w:rPr>
          <w:rFonts w:ascii="Times New Roman" w:hAnsi="Times New Roman"/>
          <w:sz w:val="20"/>
        </w:rPr>
      </w:r>
    </w:p>
    <w:p>
      <w:pPr>
        <w:pStyle w:val="HorizontalLine"/>
        <w:bidi w:val="0"/>
        <w:jc w:val="left"/>
        <w:rPr/>
      </w:pPr>
      <w:r>
        <w:rPr/>
      </w:r>
    </w:p>
    <w:tbl>
      <w:tblPr>
        <w:tblW w:w="8550" w:type="dxa"/>
        <w:jc w:val="left"/>
        <w:tblInd w:w="0" w:type="dxa"/>
        <w:tblLayout w:type="fixed"/>
        <w:tblCellMar>
          <w:top w:w="0" w:type="dxa"/>
          <w:left w:w="0" w:type="dxa"/>
          <w:bottom w:w="0" w:type="dxa"/>
          <w:right w:w="0" w:type="dxa"/>
        </w:tblCellMar>
      </w:tblPr>
      <w:tblGrid>
        <w:gridCol w:w="3575"/>
        <w:gridCol w:w="2210"/>
        <w:gridCol w:w="2765"/>
      </w:tblGrid>
      <w:tr>
        <w:trPr/>
        <w:tc>
          <w:tcPr>
            <w:tcW w:w="357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Texas</w:t>
            </w:r>
          </w:p>
        </w:tc>
        <w:tc>
          <w:tcPr>
            <w:tcW w:w="221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001-38895</w:t>
            </w:r>
          </w:p>
        </w:tc>
        <w:tc>
          <w:tcPr>
            <w:tcW w:w="276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75-2453320</w:t>
            </w:r>
          </w:p>
        </w:tc>
      </w:tr>
      <w:tr>
        <w:trPr/>
        <w:tc>
          <w:tcPr>
            <w:tcW w:w="35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(Commission File Number)</w:t>
            </w:r>
          </w:p>
        </w:tc>
        <w:tc>
          <w:tcPr>
            <w:tcW w:w="27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4165" w:type="dxa"/>
        <w:jc w:val="left"/>
        <w:tblInd w:w="0" w:type="dxa"/>
        <w:tblLayout w:type="fixed"/>
        <w:tblCellMar>
          <w:top w:w="0" w:type="dxa"/>
          <w:left w:w="0" w:type="dxa"/>
          <w:bottom w:w="0" w:type="dxa"/>
          <w:right w:w="0" w:type="dxa"/>
        </w:tblCellMar>
      </w:tblPr>
      <w:tblGrid>
        <w:gridCol w:w="3200"/>
        <w:gridCol w:w="60"/>
        <w:gridCol w:w="905"/>
      </w:tblGrid>
      <w:tr>
        <w:trPr/>
        <w:tc>
          <w:tcPr>
            <w:tcW w:w="320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5219 City Bank Parkway</w:t>
            </w:r>
          </w:p>
          <w:p>
            <w:pPr>
              <w:pStyle w:val="TableContents"/>
              <w:bidi w:val="0"/>
              <w:spacing w:before="0" w:after="0"/>
              <w:jc w:val="center"/>
              <w:rPr>
                <w:rFonts w:ascii="Times New Roman" w:hAnsi="Times New Roman"/>
                <w:b/>
                <w:sz w:val="20"/>
              </w:rPr>
            </w:pPr>
            <w:r>
              <w:rPr>
                <w:rFonts w:ascii="Times New Roman" w:hAnsi="Times New Roman"/>
                <w:b/>
                <w:sz w:val="20"/>
              </w:rPr>
              <w:t>Lubbock, Texas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79407</w:t>
            </w:r>
          </w:p>
        </w:tc>
      </w:tr>
      <w:tr>
        <w:trPr/>
        <w:tc>
          <w:tcPr>
            <w:tcW w:w="320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(Zip Code)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(806) 792-7101</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center"/>
        <w:rPr>
          <w:rFonts w:ascii="Times New Roman" w:hAnsi="Times New Roman"/>
          <w:sz w:val="20"/>
        </w:rPr>
      </w:pPr>
      <w:r>
        <w:rPr>
          <w:rFonts w:ascii="Times New Roman" w:hAnsi="Times New Roman"/>
          <w:sz w:val="20"/>
        </w:rPr>
      </w:r>
    </w:p>
    <w:p>
      <w:pPr>
        <w:pStyle w:val="HorizontalLine"/>
        <w:bidi w:val="0"/>
        <w:jc w:val="left"/>
        <w:rPr/>
      </w:pPr>
      <w:r>
        <w:rPr/>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8505" w:type="dxa"/>
        <w:jc w:val="left"/>
        <w:tblInd w:w="-15" w:type="dxa"/>
        <w:tblLayout w:type="fixed"/>
        <w:tblCellMar>
          <w:top w:w="28" w:type="dxa"/>
          <w:left w:w="28" w:type="dxa"/>
          <w:bottom w:w="28" w:type="dxa"/>
          <w:right w:w="28" w:type="dxa"/>
        </w:tblCellMar>
      </w:tblPr>
      <w:tblGrid>
        <w:gridCol w:w="3395"/>
        <w:gridCol w:w="1535"/>
        <w:gridCol w:w="3575"/>
      </w:tblGrid>
      <w:tr>
        <w:trPr/>
        <w:tc>
          <w:tcPr>
            <w:tcW w:w="339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Title of each class</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Trading Symbol(s)</w:t>
            </w:r>
          </w:p>
        </w:tc>
        <w:tc>
          <w:tcPr>
            <w:tcW w:w="35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Name of each exchange on which registered</w:t>
            </w:r>
          </w:p>
        </w:tc>
      </w:tr>
      <w:tr>
        <w:trPr/>
        <w:tc>
          <w:tcPr>
            <w:tcW w:w="33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Common Stock, par value $1.00 per share</w:t>
            </w:r>
          </w:p>
        </w:tc>
        <w:tc>
          <w:tcPr>
            <w:tcW w:w="153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SPFI</w:t>
            </w:r>
          </w:p>
        </w:tc>
        <w:tc>
          <w:tcPr>
            <w:tcW w:w="35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HorizontalLine"/>
        <w:bidi w:val="0"/>
        <w:spacing w:before="200" w:after="200"/>
        <w:jc w:val="left"/>
        <w:rPr/>
      </w:pPr>
      <w:r>
        <w:rPr/>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190"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As previously announced, on December 1, 2025, South Plains Financial, Inc., a Texas corporation (“SPFI”), and BOH Holdings, Inc., a Texas corporation (“BOH”), entered into an Agreement and Plan of Reorganization (the “Reorganization Agreement”), providing for the acquisition by SPFI of BOH through the merger of BOH with and into SPFI, with SPFI surviving the merger (the “Merger”).  As soon as practicable after the consummation of the Merger, Bank of Houston, a Texas banking association and wholly-owned subsidiary of BOH, will merge with and into City Bank, a Texas banking association and wholly-owned subsidiary of SPFI (“City Bank”), with City Bank surviving the merger.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March 23, 2026, SPFI and BOH jointly announced their receipt of all required regulatory approvals and non-objections to complete the transactions contemplated by the Reorganization Agreement, including those from the Board of Governors of the Federal Reserve System, the Federal Deposit Insurance Corporation, and the Texas Department of Banking.  In addition, on March 20, 2026, BOH’s shareholders voted to approve the Reorganization Agreement and the transactions contemplated thereby, including the Merger.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Merger is expected to be completed on April 1, 2026, and remains subject to the satisfaction of customary closing conditions.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 copy of the press release is attached as Exhibit 99.1 to this Current Report on Form 8-K and is incorporated herein by reference.</w:t>
      </w:r>
    </w:p>
    <w:p>
      <w:pPr>
        <w:pStyle w:val="TextBody"/>
        <w:bidi w:val="0"/>
        <w:spacing w:before="0" w:after="0"/>
        <w:jc w:val="left"/>
        <w:rPr>
          <w:color w:val="000000"/>
          <w:shd w:fill="FFFFFF" w:val="clear"/>
        </w:rPr>
      </w:pPr>
      <w:r>
        <w:rPr>
          <w:color w:val="000000"/>
          <w:shd w:fill="FFFFFF" w:val="clear"/>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tbl>
      <w:tblPr>
        <w:tblW w:w="5380" w:type="dxa"/>
        <w:jc w:val="left"/>
        <w:tblInd w:w="0" w:type="dxa"/>
        <w:tblLayout w:type="fixed"/>
        <w:tblCellMar>
          <w:top w:w="0" w:type="dxa"/>
          <w:left w:w="0" w:type="dxa"/>
          <w:bottom w:w="0" w:type="dxa"/>
          <w:right w:w="0" w:type="dxa"/>
        </w:tblCellMar>
      </w:tblPr>
      <w:tblGrid>
        <w:gridCol w:w="60"/>
        <w:gridCol w:w="380"/>
        <w:gridCol w:w="494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w:t>
            </w:r>
          </w:p>
        </w:tc>
        <w:tc>
          <w:tcPr>
            <w:tcW w:w="49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Exhibits.</w:t>
            </w:r>
          </w:p>
        </w:tc>
      </w:tr>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both"/>
              <w:rPr/>
            </w:pPr>
            <w:hyperlink w:anchor="ef20068476_ex99-1.htm">
              <w:r>
                <w:rPr>
                  <w:rStyle w:val="InternetLink"/>
                  <w:rFonts w:ascii="Times New Roman" w:hAnsi="Times New Roman"/>
                  <w:sz w:val="20"/>
                </w:rPr>
                <w:t>99.1</w:t>
              </w:r>
            </w:hyperlink>
          </w:p>
        </w:tc>
        <w:tc>
          <w:tcPr>
            <w:tcW w:w="49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Press release, dated March 23, 2026.</w:t>
            </w:r>
          </w:p>
        </w:tc>
      </w:tr>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104</w:t>
            </w:r>
          </w:p>
        </w:tc>
        <w:tc>
          <w:tcPr>
            <w:tcW w:w="49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Cover Page Interactive Data File (formatted as Inline XBRL).</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left"/>
        <w:rPr>
          <w:rFonts w:ascii="Times New Roman" w:hAnsi="Times New Roman"/>
          <w:color w:val="000000"/>
          <w:sz w:val="20"/>
          <w:u w:val="single"/>
          <w:shd w:fill="FFFFFF" w:val="clear"/>
        </w:rPr>
      </w:pPr>
      <w:r>
        <w:rPr>
          <w:rFonts w:ascii="Times New Roman" w:hAnsi="Times New Roman"/>
          <w:color w:val="000000"/>
          <w:sz w:val="20"/>
          <w:u w:val="single"/>
          <w:shd w:fill="FFFFFF" w:val="clear"/>
        </w:rPr>
        <w:t>Cautionary Statement Regarding Forward-Looking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This communication contains, and future oral and written statements of South Plains Financial, Inc. (“South Plains,” “SPFI,” or the “Company”) and City Bank (“City Bank” or the “Bank”) may contain, forward-looking statements within the meaning of the Private Securities Litigation Reform Act of 1995 that are subject to risks and uncertainties and are made pursuant to the safe harbor provisions of Section 27A of the Securities Act.  These forward-looking statements reflect South Plains’ current views with respect to future events and South Plains’ financial performance.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communication are based largely on South Plains’ current expectations, estimates, forecasts and projections and management assumptions about the future performance of each of South Plains, BOH Holdings, Inc. (“BOH”) and the combined company, as well as the businesses and markets in which they do and are expected to operate.  Forward-looking statements include, but are not limited to: (i) projections and estimates of revenues, expenses, income or loss, earnings or loss per share, and other financial items, (ii) statements of plans, objectives and expectations of South Plains or its management, (iii) statements of future economic performance, and (iv) statements of assumptions underlying such statements.  Forward-looking statements should not be relied on because they involve known and unknown risks, uncertainties, assumptions and other factors, that are difficult to assess and are subject to change based on factors which are, in many instances, beyond the control of South Plains and City Bank.  These risks, uncertainties and other factors may cause the actual results, performance, and achievements of South Plains and City Bank to be materially different from the anticipated future results, performance or achievements expressed in, or implied by, the forward-looking statements.  Factors that could cause such differences include, but are not limited to, </w:t>
      </w:r>
      <w:bookmarkStart w:id="0" w:name="z_Hlk224907527"/>
      <w:bookmarkEnd w:id="0"/>
      <w:r>
        <w:rPr>
          <w:rFonts w:ascii="Times New Roman" w:hAnsi="Times New Roman"/>
          <w:color w:val="000000"/>
          <w:sz w:val="20"/>
          <w:shd w:fill="FFFFFF" w:val="clear"/>
        </w:rPr>
        <w:t>the expected impact of the proposed transaction between South Plains and BOH and on the combined entities’ operations, financial condition, and financial results; the businesses of South Plains and BOH may not be combined successfully, or such combination may take longer to accomplish than expected; the cost savings from the proposed transaction may not be fully realized or may take longer to realize than expected; operating costs, customer loss and business disruption following the proposed transaction, including adverse effects on relationships with employees, may be greater than expected; the impact on South Plains and BOH, and their respective customers, of a decline in general economic conditions that would adversely affect credit quality and loan originations, and any regulatory responses thereto; slower economic growth rates or potential recession in the United States and South Plains’ and BOH’s market areas; the impacts related to or resulting from uncertainty in the banking industry as a whole; increased competition for deposits in our market areas among traditional and nontraditional financial services companies, and related changes in deposit customer behavior; the impact of changes in market interest rates, whether due to a continuation of the elevated interest rate environment or further reductions in interest rates and a resulting decline in net interest income; the lingering inflationary pressures, and the risk of the resurgence of elevated levels of inflation, in the United States and South Plains’ and BOH’s market areas; the uncertain impacts of ongoing quantitative tightening and current and future monetary policies of the Board of Governors of the Federal Reserve System; changes in unemployment rates in the United States and South Plains’ and BOH’s market areas; adverse changes in customer spending, borrowing and savings habits; declines in commercial real estate values and prices; a deterioration of the credit rating for U.S. long-term sovereign debt or the impact of uncertain or changing political conditions, including federal government shutdowns and uncertainty regarding United States fiscal debt, deficit and budget matters; cyber incidents or other failures, disruptions or breaches of our operational or security systems or infrastructure, or those of our third-party vendors or other service providers, including as a result of cyber-attacks; severe weather, natural disasters, acts of war or terrorism, geopolitical instability or other external events, including as a result of the policies of the current U.S. presidential administration or Congress; the impacts of tariffs, sanctions, and other trade policies of the United States and its global trading counterparts and the resulting impact on South Plains and its customers; competition and market expansion opportunities; changes in non-interest expenditures or in the anticipated benefits of such expenditures; the risks related to the development, implementation, use and management of emerging technologies, including artificial intelligence and machine learnings; potential costs related to the impacts of climate change; current or future litigation, regulatory examinations or other legal and/or regulatory actions; and changes in applicable laws and regulations.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South Plains can give no assurance that the results contemplated in the forward-looking statements will be realized and readers are cautioned not to place undue reliance on the forward- looking statements contained in this presentation.  Additional information regarding these factors and uncertainties to which South Plains’ business and future financial performance are subject is contained in South Plains’ most recent Annual Report on Form 10-K and Quarterly Reports on Form 10-Q on file with the U.S. Securities and Exchange Commission (the “SEC”), including the sections entitled “Risk Factors” and “Management’s Discussion and Analysis of Financial Condition and Results of Operations” of such documents, and other documents South Plains files or furnishes with the SEC from time to time.  Further, any forward-looking statement speaks only as of the date on which it is made and South Plains undertakes no obligation to update or revise any forward-looking statement to reflect events or circumstances after the date on which the statement is made or to reflect the occurrence of unanticipated events, except as required by applicable law.  All forward-looking statements, express or implied, herein are qualified in their entirety by this cautionary statement.</w:t>
      </w:r>
    </w:p>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olor w:val="000000"/>
          <w:shd w:fill="FFFFFF" w:val="clear"/>
        </w:rPr>
      </w:pPr>
      <w:r>
        <w:rPr>
          <w:color w:val="000000"/>
          <w:shd w:fill="FFFFFF" w:val="clear"/>
        </w:rPr>
        <w:t> </w:t>
      </w:r>
    </w:p>
    <w:tbl>
      <w:tblPr>
        <w:tblW w:w="5280" w:type="dxa"/>
        <w:jc w:val="left"/>
        <w:tblInd w:w="0" w:type="dxa"/>
        <w:tblLayout w:type="fixed"/>
        <w:tblCellMar>
          <w:top w:w="0" w:type="dxa"/>
          <w:left w:w="0" w:type="dxa"/>
          <w:bottom w:w="0" w:type="dxa"/>
          <w:right w:w="0" w:type="dxa"/>
        </w:tblCellMar>
      </w:tblPr>
      <w:tblGrid>
        <w:gridCol w:w="1940"/>
        <w:gridCol w:w="320"/>
        <w:gridCol w:w="3020"/>
      </w:tblGrid>
      <w:tr>
        <w:trPr/>
        <w:tc>
          <w:tcPr>
            <w:tcW w:w="1940" w:type="dxa"/>
            <w:tcBorders/>
            <w:vAlign w:val="center"/>
          </w:tcPr>
          <w:p>
            <w:pPr>
              <w:pStyle w:val="TableContents"/>
              <w:bidi w:val="0"/>
              <w:spacing w:before="0" w:after="283"/>
              <w:jc w:val="left"/>
              <w:rPr/>
            </w:pPr>
            <w:r>
              <w:rPr/>
              <w:t> </w:t>
            </w:r>
          </w:p>
        </w:tc>
        <w:tc>
          <w:tcPr>
            <w:tcW w:w="3340" w:type="dxa"/>
            <w:gridSpan w:val="2"/>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SOUTH PLAINS FINANCIAL, INC.</w:t>
            </w:r>
          </w:p>
        </w:tc>
      </w:tr>
      <w:tr>
        <w:trPr/>
        <w:tc>
          <w:tcPr>
            <w:tcW w:w="19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Dated:  March 23, 2026</w:t>
            </w:r>
          </w:p>
        </w:tc>
        <w:tc>
          <w:tcPr>
            <w:tcW w:w="3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3020" w:type="dxa"/>
            <w:tcBorders>
              <w:bottom w:val="single" w:sz="12" w:space="0" w:color="000000"/>
            </w:tcBorders>
            <w:tcMar>
              <w:bottom w:w="28" w:type="dxa"/>
            </w:tcMar>
            <w:vAlign w:val="center"/>
          </w:tcPr>
          <w:p>
            <w:pPr>
              <w:pStyle w:val="TableContents"/>
              <w:bidi w:val="0"/>
              <w:spacing w:before="0" w:after="0"/>
              <w:jc w:val="both"/>
              <w:rPr/>
            </w:pPr>
            <w:r>
              <w:rPr/>
              <w:t>  </w:t>
            </w:r>
            <w:r>
              <w:rPr>
                <w:rFonts w:ascii="Times New Roman" w:hAnsi="Times New Roman"/>
                <w:sz w:val="20"/>
              </w:rPr>
              <w:t>/s/ Steven B. Crockett</w:t>
            </w:r>
          </w:p>
        </w:tc>
      </w:tr>
      <w:tr>
        <w:trPr/>
        <w:tc>
          <w:tcPr>
            <w:tcW w:w="19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Steven B. Crockett</w:t>
            </w:r>
          </w:p>
        </w:tc>
      </w:tr>
      <w:tr>
        <w:trPr/>
        <w:tc>
          <w:tcPr>
            <w:tcW w:w="19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Chief Financial Officer and Treasurer</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color w:val="000000"/>
          <w:shd w:fill="FFFFFF" w:val="clear"/>
        </w:rPr>
      </w:pPr>
      <w:r>
        <w:rPr>
          <w:color w:val="000000"/>
          <w:shd w:fill="FFFFFF" w:val="clear"/>
        </w:rPr>
        <w:t xml:space="preserve">  </w:t>
      </w:r>
    </w:p>
    <w:p>
      <w:pPr>
        <w:pStyle w:val="HorizontalLine"/>
        <w:bidi w:val="0"/>
        <w:jc w:val="left"/>
        <w:rPr/>
      </w:pPr>
      <w:r>
        <w:rPr/>
      </w:r>
    </w:p>
    <w:p>
      <w:pPr>
        <w:pStyle w:val="HorizontalLine"/>
        <w:pBdr>
          <w:bottom w:val="single" w:sz="12" w:space="0" w:color="808080"/>
        </w:pBdr>
        <w:bidi w:val="0"/>
        <w:jc w:val="left"/>
        <w:rPr/>
      </w:pPr>
      <w:r>
        <w:rPr/>
      </w:r>
      <w:bookmarkStart w:id="1" w:name="ef20068476_ex99-1.htm"/>
      <w:bookmarkStart w:id="2" w:name="ksef20068476_ex991"/>
      <w:bookmarkStart w:id="3" w:name="ef20068476_ex99-1.htm"/>
      <w:bookmarkStart w:id="4" w:name="ksef20068476_ex991"/>
      <w:bookmarkEnd w:id="3"/>
      <w:bookmarkEnd w:id="4"/>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right"/>
        <w:rPr>
          <w:b/>
          <w:sz w:val="20"/>
        </w:rPr>
      </w:pPr>
      <w:r>
        <w:rPr>
          <w:b/>
          <w:sz w:val="20"/>
        </w:rPr>
      </w:r>
    </w:p>
    <w:p>
      <w:pPr>
        <w:pStyle w:val="TextBody"/>
        <w:bidi w:val="0"/>
        <w:spacing w:before="0" w:after="0"/>
        <w:jc w:val="left"/>
        <w:rPr>
          <w:color w:val="000000"/>
        </w:rPr>
      </w:pPr>
      <w:r>
        <w:rPr>
          <w:color w:val="000000"/>
        </w:rPr>
        <w:drawing>
          <wp:inline distT="0" distB="0" distL="0" distR="0">
            <wp:extent cx="381952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9525" cy="552450"/>
                    </a:xfrm>
                    <a:prstGeom prst="rect">
                      <a:avLst/>
                    </a:prstGeom>
                  </pic:spPr>
                </pic:pic>
              </a:graphicData>
            </a:graphic>
          </wp:inline>
        </w:drawing>
      </w:r>
      <w:r>
        <w:rPr>
          <w:color w:val="000000"/>
        </w:rPr>
        <w:t xml:space="preserve"> </w:t>
      </w:r>
    </w:p>
    <w:p>
      <w:pPr>
        <w:pStyle w:val="TextBody"/>
        <w:bidi w:val="0"/>
        <w:spacing w:before="0" w:after="0"/>
        <w:jc w:val="left"/>
        <w:rPr>
          <w:sz w:val="20"/>
        </w:rPr>
      </w:pPr>
      <w:r>
        <w:rPr>
          <w:sz w:val="20"/>
        </w:rPr>
      </w:r>
    </w:p>
    <w:p>
      <w:pPr>
        <w:pStyle w:val="TextBody"/>
        <w:bidi w:val="0"/>
        <w:spacing w:before="0" w:after="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z w:val="20"/>
          <w:shd w:fill="FFFFFF" w:val="clear"/>
        </w:rPr>
        <w:t>South Plains Financial, Inc. and BOH Holdings, Inc. Announce All Required Regulatory and Shareholder Approvals Received for Proposed Merger</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LUBBOCK, Texas, March 23, 2026 (GLOBE NEWSWIRE) – South Plains Financial, Inc. (NASDAQ:SPFI) (“South Plains” or the “Company”), the parent company of City Bank (“City Bank” or the “Bank”), and BOH Holdings, Inc. (“BOH”), the parent company of Bank of Houston, today jointly announced that, on March 20, 2026, the shareholders of BOH approved the previously announced proposed merger of BOH with and into South Plains, with South Plains continuing as the surviving corporation, followed by the proposed merger of Bank of Houston with and into City Bank, with City Bank continuing as the surviving bank.</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has also received the required regulatory approvals and non-objections from the Board of Governors of the Federal Reserve System, the Federal Deposit Insurance Corporation and the Texas Department of Banking regarding the proposed merger.</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All required regulatory and shareholder approvals to complete the proposed merger have now been received and the proposed merger is expected to be completed on April 1, 2026, subject to the satisfaction or waiver of the remaining customary closing conditions.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About South Plains Financial, Inc.</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0"/>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visit </w:t>
      </w:r>
      <w:r>
        <w:rPr>
          <w:rFonts w:ascii="Times New Roman" w:hAnsi="Times New Roman"/>
          <w:color w:val="000000"/>
          <w:sz w:val="20"/>
          <w:u w:val="single"/>
        </w:rPr>
        <w:t>https://www.spfi.bank</w:t>
      </w:r>
      <w:r>
        <w:rPr>
          <w:rFonts w:ascii="Times New Roman" w:hAnsi="Times New Roman"/>
          <w:color w:val="000000"/>
          <w:sz w:val="20"/>
        </w:rPr>
        <w:t> for more information.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About BOH Holdings, Inc.</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BOH Holdings, Inc. is the bank holding company for Bank of Houston, a Texas state-chartered bank headquartered in Houston, Texas.  Bank of Houston is a community-oriented, full service financial institution that provides a broad array of banking services to small and middle market companies, business owners, executives, entrepreneurs and families. Bank of Houston is a locally-owned, independent financial institution and is engaged in substantially all of the business operations (except for trust services) customarily conducted by independent financial institutions in Texas. Lending activities consist principally of residential real estate, commercial real estate, personal loans, and mortgage loans.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0"/>
        </w:rPr>
        <w:t xml:space="preserve">The Company routinely posts important information for investors on its web site (under </w:t>
      </w:r>
      <w:r>
        <w:rPr>
          <w:rFonts w:ascii="Times New Roman" w:hAnsi="Times New Roman"/>
          <w:color w:val="000000"/>
          <w:sz w:val="20"/>
          <w:u w:val="single"/>
        </w:rPr>
        <w:t>www.spfi.bank</w:t>
      </w:r>
      <w:r>
        <w:rPr>
          <w:rFonts w:ascii="Times New Roman" w:hAnsi="Times New Roman"/>
          <w:color w:val="000000"/>
          <w:sz w:val="20"/>
        </w:rPr>
        <w:t xml:space="preserve"> and, more specifically, under the News &amp; Events tab at </w:t>
      </w:r>
      <w:r>
        <w:rPr>
          <w:rFonts w:ascii="Times New Roman" w:hAnsi="Times New Roman"/>
          <w:color w:val="000000"/>
          <w:sz w:val="20"/>
          <w:u w:val="single"/>
        </w:rPr>
        <w:t>www.spfi.bank/news-events/press-releases</w:t>
      </w:r>
      <w:r>
        <w:rPr>
          <w:rFonts w:ascii="Times New Roman" w:hAnsi="Times New Roman"/>
          <w:color w:val="000000"/>
          <w:sz w:val="20"/>
        </w:rPr>
        <w:t>).  The Company intends to use its web site as a means of disclosing material non-public information and for complying with its disclosure obligations under Regulation FD (Fair Disclosure) promulgated by the U.S. Securities and Exchange Commission (the “SEC”).  Accordingly, investors should monitor the Company’s web site, in addition to following the Company’s press releases, SEC filings, public conference calls, presentations and webcasts.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contained on, or that may be accessed through, the Company’s web site is not incorporated by reference into, and is not a part of, this document.</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bookmarkStart w:id="5" w:name="z_Hlk224848216"/>
      <w:bookmarkEnd w:id="5"/>
      <w:r>
        <w:rPr>
          <w:rFonts w:ascii="Times New Roman" w:hAnsi="Times New Roman"/>
          <w:color w:val="000000"/>
          <w:sz w:val="20"/>
        </w:rPr>
        <w:t xml:space="preserve">This press release contains forward-looking statements within the meaning of the Private Securities Litigation Reform Act of 1995.  These forward-looking statements reflect South Plains’ current views with respect to future events and South Plains’ performance.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Factors that could cause such changes include, but are not limited to, the expected impact of the proposed transaction between South Plains and BOH and on the combined entities’ operations, financial condition, and financial results; the businesses of South Plains and BOH may not be combined successfully, or such combination may take longer to accomplish than expected; the cost savings from the proposed transaction may not be fully realized or may take longer to realize than expected; operating costs, customer loss and business disruption following the proposed transaction, including adverse effects on relationships with employees, may be greater than expected; the impact on South Plains and BOH, and their respective customers, of a decline in general economic conditions that would adversely affect credit quality and loan originations, and any regulatory responses thereto; slower economic growth rates or potential recession in the United States and South Plains’ and BOH’s market areas; the impacts related to or resulting from uncertainty in the banking industry as a whole; increased competition for deposits in our market areas among traditional and nontraditional financial services companies, and related changes in deposit customer behavior; the impact of changes in market interest rates, whether due to a continuation of the elevated interest rate environment or further reductions in interest rates and a resulting decline in net interest income; the lingering inflationary pressures, and the risk of the resurgence of elevated levels of inflation, in the United States and South Plains’ and BOH’s market areas; the uncertain impacts of ongoing quantitative tightening and current and future monetary policies of the Board of Governors of the Federal Reserve System; changes in unemployment rates in the United States and South Plains’ and BOH’s market areas; adverse changes in customer spending, borrowing and savings habits; declines in commercial real estate values and prices; a deterioration of the credit rating for U.S. long-term sovereign debt or the impact of uncertain or changing political conditions, including federal government shutdowns and uncertainty regarding United States fiscal debt, deficit and budget matters; cyber incidents or other failures, disruptions or breaches of our operational or security systems or infrastructure, or those of our third-party vendors or other service providers, including as a result of cyber-attacks; severe weather, natural disasters, acts of war or terrorism, geopolitical instability or other external events, including as a result of the policies of the current U.S. presidential administration or Congress; the impacts of tariffs, sanctions, and other trade policies of the United States and its global trading counterparts and the resulting impact on South Plains and its customers; competition and market expansion opportunities; changes in non-interest expenditures or in the anticipated benefits of such expenditures; the risks related to the development, implementation, use and management of emerging technologies, including artificial intelligence and machine learnings; potential costs related to the impacts of climate change; current or future litigation, regulatory examinations or other legal and/or regulatory actions; and changes in applicable laws and regulations. Additional information regarding these risks and uncertainties to which South Plains’ business and future financial performance are subject is contained in South Plains’ most recent Annual Report on Form 10-K and Quarterly Reports on Form 10-Q on file with the SEC, including the sections entitled “Risk Factors” and “Management’s Discussion and Analysis of Financial Condition and Results of Operations” of such documents, and other documents South Plains files or furnishes with the SEC from time to time, which are available on the SEC’s website, </w:t>
      </w:r>
      <w:r>
        <w:rPr>
          <w:rFonts w:ascii="Times New Roman" w:hAnsi="Times New Roman"/>
          <w:color w:val="000000"/>
          <w:sz w:val="20"/>
          <w:u w:val="single"/>
        </w:rPr>
        <w:t>www.sec.gov</w:t>
      </w:r>
      <w:r>
        <w:rPr>
          <w:rFonts w:ascii="Times New Roman" w:hAnsi="Times New Roman"/>
          <w:color w:val="000000"/>
          <w:sz w:val="20"/>
        </w:rPr>
        <w:t>.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the Company can give no assurance that the results contemplated in the forward-looking statements will be realized and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applicable law.  All forward-looking statements, express or implied, included in the press release are qualified in their entirety by this cautionary statement.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fad06a6785494cdaae6631853ac8ae21"/>
      <w:bookmarkStart w:id="7" w:name="zfad06a6785494cdaae6631853ac8ae21"/>
      <w:bookmarkEnd w:id="7"/>
    </w:p>
    <w:tbl>
      <w:tblPr>
        <w:tblW w:w="4825" w:type="dxa"/>
        <w:jc w:val="left"/>
        <w:tblInd w:w="0" w:type="dxa"/>
        <w:tblLayout w:type="fixed"/>
        <w:tblCellMar>
          <w:top w:w="0" w:type="dxa"/>
          <w:left w:w="0" w:type="dxa"/>
          <w:bottom w:w="0" w:type="dxa"/>
          <w:right w:w="0" w:type="dxa"/>
        </w:tblCellMar>
      </w:tblPr>
      <w:tblGrid>
        <w:gridCol w:w="725"/>
        <w:gridCol w:w="4100"/>
      </w:tblGrid>
      <w:tr>
        <w:trPr/>
        <w:tc>
          <w:tcPr>
            <w:tcW w:w="7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Contact:</w:t>
            </w:r>
          </w:p>
        </w:tc>
        <w:tc>
          <w:tcPr>
            <w:tcW w:w="41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Mikella Newsom, Chief Risk Officer and Secretary</w:t>
            </w:r>
          </w:p>
        </w:tc>
      </w:tr>
      <w:tr>
        <w:trPr/>
        <w:tc>
          <w:tcPr>
            <w:tcW w:w="72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(866) 771-3347</w:t>
            </w:r>
          </w:p>
        </w:tc>
      </w:tr>
      <w:tr>
        <w:trPr/>
        <w:tc>
          <w:tcPr>
            <w:tcW w:w="72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investors@city.bank</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Source: South Plains Financial,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3110</Words>
  <Characters>18112</Characters>
  <CharactersWithSpaces>21228</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