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194310</wp:posOffset>
            </wp:positionH>
            <wp:positionV relativeFrom="page">
              <wp:posOffset>143510</wp:posOffset>
            </wp:positionV>
            <wp:extent cx="7160260" cy="273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0260" cy="27305"/>
                    </a:xfrm>
                    <a:prstGeom prst="rect">
                      <a:avLst/>
                    </a:prstGeom>
                    <a:noFill/>
                  </pic:spPr>
                </pic:pic>
              </a:graphicData>
            </a:graphic>
          </wp:anchor>
        </w:drawing>
        <w:drawing>
          <wp:anchor simplePos="0" relativeHeight="251657728" behindDoc="1" locked="0" layoutInCell="0" allowOverlap="1">
            <wp:simplePos x="0" y="0"/>
            <wp:positionH relativeFrom="page">
              <wp:posOffset>194310</wp:posOffset>
            </wp:positionH>
            <wp:positionV relativeFrom="page">
              <wp:posOffset>239395</wp:posOffset>
            </wp:positionV>
            <wp:extent cx="716026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0260" cy="6985"/>
                    </a:xfrm>
                    <a:prstGeom prst="rect">
                      <a:avLst/>
                    </a:prstGeom>
                    <a:noFill/>
                  </pic:spPr>
                </pic:pic>
              </a:graphicData>
            </a:graphic>
          </wp:anchor>
        </w:drawing>
        <w:t>UNITED STATES</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SECURITIES AND EXCHANGE COMMISSION</w:t>
      </w:r>
    </w:p>
    <w:p>
      <w:pPr>
        <w:jc w:val="center"/>
        <w:spacing w:after="0"/>
        <w:rPr>
          <w:sz w:val="20"/>
          <w:szCs w:val="20"/>
          <w:color w:val="auto"/>
        </w:rPr>
      </w:pPr>
      <w:r>
        <w:rPr>
          <w:rFonts w:ascii="Arial" w:cs="Arial" w:eastAsia="Arial" w:hAnsi="Arial"/>
          <w:sz w:val="17"/>
          <w:szCs w:val="17"/>
          <w:b w:val="1"/>
          <w:bCs w:val="1"/>
          <w:color w:val="auto"/>
        </w:rPr>
        <w:t>Washington, D.C. 20549</w:t>
      </w:r>
    </w:p>
    <w:p>
      <w:pPr>
        <w:spacing w:after="0" w:line="139" w:lineRule="exact"/>
        <w:rPr>
          <w:sz w:val="24"/>
          <w:szCs w:val="24"/>
          <w:color w:val="auto"/>
        </w:rPr>
      </w:pPr>
    </w:p>
    <w:p>
      <w:pPr>
        <w:jc w:val="center"/>
        <w:spacing w:after="0"/>
        <w:rPr>
          <w:sz w:val="20"/>
          <w:szCs w:val="20"/>
          <w:color w:val="auto"/>
        </w:rPr>
      </w:pPr>
      <w:r>
        <w:rPr>
          <w:rFonts w:ascii="Arial" w:cs="Arial" w:eastAsia="Arial" w:hAnsi="Arial"/>
          <w:sz w:val="26"/>
          <w:szCs w:val="26"/>
          <w:b w:val="1"/>
          <w:bCs w:val="1"/>
          <w:color w:val="auto"/>
        </w:rPr>
        <w:t>FORM 8-K</w:t>
      </w:r>
    </w:p>
    <w:p>
      <w:pPr>
        <w:spacing w:after="0" w:line="183"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CURRENT REPORT</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Pursuant to Section 13 or 15(d) of</w:t>
      </w:r>
    </w:p>
    <w:p>
      <w:pPr>
        <w:spacing w:after="0" w:line="1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the Securities Exchange Act of 1934</w:t>
      </w:r>
    </w:p>
    <w:p>
      <w:pPr>
        <w:spacing w:after="0" w:line="170"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Date of Report (Date of earliest event reported): January 26, 2023</w:t>
      </w:r>
    </w:p>
    <w:p>
      <w:pPr>
        <w:spacing w:after="0" w:line="163" w:lineRule="exact"/>
        <w:rPr>
          <w:sz w:val="24"/>
          <w:szCs w:val="24"/>
          <w:color w:val="auto"/>
        </w:rPr>
      </w:pPr>
    </w:p>
    <w:p>
      <w:pPr>
        <w:jc w:val="center"/>
        <w:spacing w:after="0"/>
        <w:rPr>
          <w:sz w:val="20"/>
          <w:szCs w:val="20"/>
          <w:color w:val="auto"/>
        </w:rPr>
      </w:pPr>
      <w:r>
        <w:rPr>
          <w:rFonts w:ascii="Arial" w:cs="Arial" w:eastAsia="Arial" w:hAnsi="Arial"/>
          <w:sz w:val="33"/>
          <w:szCs w:val="33"/>
          <w:b w:val="1"/>
          <w:bCs w:val="1"/>
          <w:color w:val="auto"/>
        </w:rPr>
        <w:t>South Plains Financial, Inc.</w:t>
      </w:r>
    </w:p>
    <w:p>
      <w:pPr>
        <w:spacing w:after="0" w:line="5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(Exact name of registrant as specified in its charter)</w:t>
      </w:r>
    </w:p>
    <w:p>
      <w:pPr>
        <w:sectPr>
          <w:pgSz w:w="11900" w:h="16838" w:orient="portrait"/>
          <w:cols w:equalWidth="0" w:num="1">
            <w:col w:w="11280"/>
          </w:cols>
          <w:pgMar w:left="300" w:top="455" w:right="319" w:bottom="1440" w:gutter="0" w:footer="0" w:header="0"/>
        </w:sectPr>
      </w:pPr>
    </w:p>
    <w:p>
      <w:pPr>
        <w:spacing w:after="0" w:line="167" w:lineRule="exact"/>
        <w:rPr>
          <w:sz w:val="24"/>
          <w:szCs w:val="24"/>
          <w:color w:val="auto"/>
        </w:rPr>
      </w:pPr>
    </w:p>
    <w:p>
      <w:pPr>
        <w:jc w:val="center"/>
        <w:ind w:right="420"/>
        <w:spacing w:after="0"/>
        <w:rPr>
          <w:sz w:val="20"/>
          <w:szCs w:val="20"/>
          <w:color w:val="auto"/>
        </w:rPr>
      </w:pPr>
      <w:r>
        <w:rPr>
          <w:rFonts w:ascii="Arial" w:cs="Arial" w:eastAsia="Arial" w:hAnsi="Arial"/>
          <w:sz w:val="14"/>
          <w:szCs w:val="14"/>
          <w:b w:val="1"/>
          <w:bCs w:val="1"/>
          <w:color w:val="auto"/>
        </w:rPr>
        <w:t>Texas</w:t>
      </w:r>
    </w:p>
    <w:p>
      <w:pPr>
        <w:spacing w:after="0" w:line="25" w:lineRule="exact"/>
        <w:rPr>
          <w:sz w:val="24"/>
          <w:szCs w:val="24"/>
          <w:color w:val="auto"/>
        </w:rPr>
      </w:pPr>
    </w:p>
    <w:p>
      <w:pPr>
        <w:jc w:val="center"/>
        <w:ind w:right="420"/>
        <w:spacing w:after="0"/>
        <w:rPr>
          <w:sz w:val="20"/>
          <w:szCs w:val="20"/>
          <w:color w:val="auto"/>
        </w:rPr>
      </w:pPr>
      <w:r>
        <w:rPr>
          <w:rFonts w:ascii="Arial" w:cs="Arial" w:eastAsia="Arial" w:hAnsi="Arial"/>
          <w:sz w:val="13"/>
          <w:szCs w:val="13"/>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47" w:lineRule="exact"/>
        <w:rPr>
          <w:sz w:val="24"/>
          <w:szCs w:val="24"/>
          <w:color w:val="auto"/>
        </w:rPr>
      </w:pPr>
    </w:p>
    <w:p>
      <w:pPr>
        <w:jc w:val="center"/>
        <w:ind w:right="1280"/>
        <w:spacing w:after="0"/>
        <w:rPr>
          <w:sz w:val="20"/>
          <w:szCs w:val="20"/>
          <w:color w:val="auto"/>
        </w:rPr>
      </w:pPr>
      <w:r>
        <w:rPr>
          <w:rFonts w:ascii="Arial" w:cs="Arial" w:eastAsia="Arial" w:hAnsi="Arial"/>
          <w:sz w:val="14"/>
          <w:szCs w:val="14"/>
          <w:b w:val="1"/>
          <w:bCs w:val="1"/>
          <w:color w:val="auto"/>
        </w:rPr>
        <w:t>001-38895</w:t>
      </w:r>
    </w:p>
    <w:p>
      <w:pPr>
        <w:spacing w:after="0" w:line="25" w:lineRule="exact"/>
        <w:rPr>
          <w:sz w:val="24"/>
          <w:szCs w:val="24"/>
          <w:color w:val="auto"/>
        </w:rPr>
      </w:pPr>
    </w:p>
    <w:p>
      <w:pPr>
        <w:jc w:val="center"/>
        <w:ind w:right="1280"/>
        <w:spacing w:after="0"/>
        <w:rPr>
          <w:sz w:val="20"/>
          <w:szCs w:val="20"/>
          <w:color w:val="auto"/>
        </w:rPr>
      </w:pPr>
      <w:r>
        <w:rPr>
          <w:rFonts w:ascii="Arial" w:cs="Arial" w:eastAsia="Arial" w:hAnsi="Arial"/>
          <w:sz w:val="13"/>
          <w:szCs w:val="13"/>
          <w:color w:val="auto"/>
        </w:rPr>
        <w:t>(Commission File Number)</w:t>
      </w:r>
    </w:p>
    <w:p>
      <w:pPr>
        <w:spacing w:after="0" w:line="20" w:lineRule="exact"/>
        <w:rPr>
          <w:sz w:val="24"/>
          <w:szCs w:val="24"/>
          <w:color w:val="auto"/>
        </w:rPr>
      </w:pPr>
      <w:r>
        <w:rPr>
          <w:sz w:val="24"/>
          <w:szCs w:val="24"/>
          <w:color w:val="auto"/>
        </w:rPr>
        <w:br w:type="column"/>
      </w:r>
    </w:p>
    <w:p>
      <w:pPr>
        <w:spacing w:after="0" w:line="147" w:lineRule="exact"/>
        <w:rPr>
          <w:sz w:val="24"/>
          <w:szCs w:val="24"/>
          <w:color w:val="auto"/>
        </w:rPr>
      </w:pPr>
    </w:p>
    <w:p>
      <w:pPr>
        <w:jc w:val="center"/>
        <w:ind w:right="860"/>
        <w:spacing w:after="0"/>
        <w:rPr>
          <w:sz w:val="20"/>
          <w:szCs w:val="20"/>
          <w:color w:val="auto"/>
        </w:rPr>
      </w:pPr>
      <w:r>
        <w:rPr>
          <w:rFonts w:ascii="Arial" w:cs="Arial" w:eastAsia="Arial" w:hAnsi="Arial"/>
          <w:sz w:val="14"/>
          <w:szCs w:val="14"/>
          <w:b w:val="1"/>
          <w:bCs w:val="1"/>
          <w:color w:val="auto"/>
        </w:rPr>
        <w:t>75-2453320</w:t>
      </w:r>
    </w:p>
    <w:p>
      <w:pPr>
        <w:spacing w:after="0" w:line="25" w:lineRule="exact"/>
        <w:rPr>
          <w:sz w:val="24"/>
          <w:szCs w:val="24"/>
          <w:color w:val="auto"/>
        </w:rPr>
      </w:pPr>
    </w:p>
    <w:p>
      <w:pPr>
        <w:jc w:val="center"/>
        <w:ind w:right="860"/>
        <w:spacing w:after="0"/>
        <w:rPr>
          <w:sz w:val="20"/>
          <w:szCs w:val="20"/>
          <w:color w:val="auto"/>
        </w:rPr>
      </w:pPr>
      <w:r>
        <w:rPr>
          <w:rFonts w:ascii="Arial" w:cs="Arial" w:eastAsia="Arial" w:hAnsi="Arial"/>
          <w:sz w:val="13"/>
          <w:szCs w:val="13"/>
          <w:color w:val="auto"/>
        </w:rPr>
        <w:t>(IRS Employer Identification No.)</w:t>
      </w:r>
    </w:p>
    <w:p>
      <w:pPr>
        <w:spacing w:after="0" w:line="181" w:lineRule="exact"/>
        <w:rPr>
          <w:sz w:val="24"/>
          <w:szCs w:val="24"/>
          <w:color w:val="auto"/>
        </w:rPr>
      </w:pPr>
    </w:p>
    <w:p>
      <w:pPr>
        <w:sectPr>
          <w:pgSz w:w="11900" w:h="16838" w:orient="portrait"/>
          <w:cols w:equalWidth="0" w:num="3">
            <w:col w:w="4140" w:space="720"/>
            <w:col w:w="2860" w:space="720"/>
            <w:col w:w="2840"/>
          </w:cols>
          <w:pgMar w:left="300" w:top="455" w:right="319" w:bottom="1440" w:gutter="0" w:footer="0" w:header="0"/>
          <w:type w:val="continuous"/>
        </w:sectPr>
      </w:pPr>
    </w:p>
    <w:p>
      <w:pPr>
        <w:jc w:val="center"/>
        <w:ind w:right="1960"/>
        <w:spacing w:after="0"/>
        <w:rPr>
          <w:sz w:val="20"/>
          <w:szCs w:val="20"/>
          <w:color w:val="auto"/>
        </w:rPr>
      </w:pPr>
      <w:r>
        <w:rPr>
          <w:rFonts w:ascii="Arial" w:cs="Arial" w:eastAsia="Arial" w:hAnsi="Arial"/>
          <w:sz w:val="14"/>
          <w:szCs w:val="14"/>
          <w:b w:val="1"/>
          <w:bCs w:val="1"/>
          <w:color w:val="auto"/>
        </w:rPr>
        <w:t>5219 City Bank Parkway</w:t>
      </w:r>
    </w:p>
    <w:p>
      <w:pPr>
        <w:spacing w:after="0" w:line="25" w:lineRule="exact"/>
        <w:rPr>
          <w:sz w:val="24"/>
          <w:szCs w:val="24"/>
          <w:color w:val="auto"/>
        </w:rPr>
      </w:pPr>
    </w:p>
    <w:p>
      <w:pPr>
        <w:jc w:val="center"/>
        <w:ind w:right="1960"/>
        <w:spacing w:after="0"/>
        <w:rPr>
          <w:sz w:val="20"/>
          <w:szCs w:val="20"/>
          <w:color w:val="auto"/>
        </w:rPr>
      </w:pPr>
      <w:r>
        <w:rPr>
          <w:rFonts w:ascii="Arial" w:cs="Arial" w:eastAsia="Arial" w:hAnsi="Arial"/>
          <w:sz w:val="14"/>
          <w:szCs w:val="14"/>
          <w:b w:val="1"/>
          <w:bCs w:val="1"/>
          <w:color w:val="auto"/>
        </w:rPr>
        <w:t>Lubbock, Texas</w:t>
      </w:r>
    </w:p>
    <w:p>
      <w:pPr>
        <w:spacing w:after="0" w:line="11" w:lineRule="exact"/>
        <w:rPr>
          <w:sz w:val="24"/>
          <w:szCs w:val="24"/>
          <w:color w:val="auto"/>
        </w:rPr>
      </w:pPr>
    </w:p>
    <w:p>
      <w:pPr>
        <w:jc w:val="center"/>
        <w:ind w:right="1960"/>
        <w:spacing w:after="0"/>
        <w:rPr>
          <w:sz w:val="20"/>
          <w:szCs w:val="20"/>
          <w:color w:val="auto"/>
        </w:rPr>
      </w:pPr>
      <w:r>
        <w:rPr>
          <w:rFonts w:ascii="Arial" w:cs="Arial" w:eastAsia="Arial" w:hAnsi="Arial"/>
          <w:sz w:val="13"/>
          <w:szCs w:val="13"/>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52" w:lineRule="exact"/>
        <w:rPr>
          <w:sz w:val="24"/>
          <w:szCs w:val="24"/>
          <w:color w:val="auto"/>
        </w:rPr>
      </w:pPr>
    </w:p>
    <w:p>
      <w:pPr>
        <w:jc w:val="center"/>
        <w:ind w:right="2440"/>
        <w:spacing w:after="0"/>
        <w:rPr>
          <w:sz w:val="20"/>
          <w:szCs w:val="20"/>
          <w:color w:val="auto"/>
        </w:rPr>
      </w:pPr>
      <w:r>
        <w:rPr>
          <w:rFonts w:ascii="Arial" w:cs="Arial" w:eastAsia="Arial" w:hAnsi="Arial"/>
          <w:sz w:val="14"/>
          <w:szCs w:val="14"/>
          <w:b w:val="1"/>
          <w:bCs w:val="1"/>
          <w:color w:val="auto"/>
        </w:rPr>
        <w:t>79407</w:t>
      </w:r>
    </w:p>
    <w:p>
      <w:pPr>
        <w:spacing w:after="0" w:line="25" w:lineRule="exact"/>
        <w:rPr>
          <w:sz w:val="24"/>
          <w:szCs w:val="24"/>
          <w:color w:val="auto"/>
        </w:rPr>
      </w:pPr>
    </w:p>
    <w:p>
      <w:pPr>
        <w:jc w:val="center"/>
        <w:ind w:right="2440"/>
        <w:spacing w:after="0"/>
        <w:rPr>
          <w:sz w:val="20"/>
          <w:szCs w:val="20"/>
          <w:color w:val="auto"/>
        </w:rPr>
      </w:pPr>
      <w:r>
        <w:rPr>
          <w:rFonts w:ascii="Arial" w:cs="Arial" w:eastAsia="Arial" w:hAnsi="Arial"/>
          <w:sz w:val="13"/>
          <w:szCs w:val="13"/>
          <w:color w:val="auto"/>
        </w:rPr>
        <w:t>(Zip Code)</w:t>
      </w:r>
    </w:p>
    <w:p>
      <w:pPr>
        <w:spacing w:after="0" w:line="181" w:lineRule="exact"/>
        <w:rPr>
          <w:sz w:val="24"/>
          <w:szCs w:val="24"/>
          <w:color w:val="auto"/>
        </w:rPr>
      </w:pPr>
    </w:p>
    <w:p>
      <w:pPr>
        <w:sectPr>
          <w:pgSz w:w="11900" w:h="16838" w:orient="portrait"/>
          <w:cols w:equalWidth="0" w:num="2">
            <w:col w:w="7500" w:space="720"/>
            <w:col w:w="3060"/>
          </w:cols>
          <w:pgMar w:left="300" w:top="455" w:right="319" w:bottom="1440" w:gutter="0" w:footer="0" w:header="0"/>
          <w:type w:val="continuous"/>
        </w:sectPr>
      </w:pPr>
    </w:p>
    <w:p>
      <w:pPr>
        <w:jc w:val="center"/>
        <w:spacing w:after="0"/>
        <w:rPr>
          <w:sz w:val="20"/>
          <w:szCs w:val="20"/>
          <w:color w:val="auto"/>
        </w:rPr>
      </w:pPr>
      <w:r>
        <w:rPr>
          <w:rFonts w:ascii="Arial" w:cs="Arial" w:eastAsia="Arial" w:hAnsi="Arial"/>
          <w:sz w:val="14"/>
          <w:szCs w:val="14"/>
          <w:b w:val="1"/>
          <w:bCs w:val="1"/>
          <w:color w:val="auto"/>
        </w:rPr>
        <w:t>(806) 792-7101</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(Registrant’s telephone number, including area code)</w:t>
      </w:r>
    </w:p>
    <w:p>
      <w:pPr>
        <w:spacing w:after="0" w:line="174" w:lineRule="exact"/>
        <w:rPr>
          <w:sz w:val="24"/>
          <w:szCs w:val="24"/>
          <w:color w:val="auto"/>
        </w:rPr>
      </w:pPr>
    </w:p>
    <w:p>
      <w:pPr>
        <w:spacing w:after="0"/>
        <w:rPr>
          <w:sz w:val="20"/>
          <w:szCs w:val="20"/>
          <w:color w:val="auto"/>
        </w:rPr>
      </w:pPr>
      <w:r>
        <w:rPr>
          <w:rFonts w:ascii="Arial" w:cs="Arial" w:eastAsia="Arial" w:hAnsi="Arial"/>
          <w:sz w:val="14"/>
          <w:szCs w:val="14"/>
          <w:color w:val="auto"/>
        </w:rPr>
        <w:t>Check the appropriate box below if the Form 8-K filing is intended to simultaneously satisfy the filing obligation of the registrant under any of the following provisions:</w:t>
      </w:r>
    </w:p>
    <w:p>
      <w:pPr>
        <w:spacing w:after="0" w:line="183" w:lineRule="exact"/>
        <w:rPr>
          <w:sz w:val="24"/>
          <w:szCs w:val="24"/>
          <w:color w:val="auto"/>
        </w:rPr>
      </w:pPr>
    </w:p>
    <w:p>
      <w:pPr>
        <w:ind w:left="260" w:hanging="254"/>
        <w:spacing w:after="0"/>
        <w:tabs>
          <w:tab w:leader="none" w:pos="26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Written communications pursuant to Rule 425 under the Securities Act (17 CFR 230.425)</w:t>
      </w:r>
    </w:p>
    <w:p>
      <w:pPr>
        <w:spacing w:after="0" w:line="183" w:lineRule="exact"/>
        <w:rPr>
          <w:rFonts w:ascii="MS PGothic" w:cs="MS PGothic" w:eastAsia="MS PGothic" w:hAnsi="MS PGothic"/>
          <w:sz w:val="14"/>
          <w:szCs w:val="14"/>
          <w:color w:val="auto"/>
        </w:rPr>
      </w:pPr>
    </w:p>
    <w:p>
      <w:pPr>
        <w:ind w:left="260" w:hanging="254"/>
        <w:spacing w:after="0"/>
        <w:tabs>
          <w:tab w:leader="none" w:pos="26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Soliciting material pursuant to Rule 14a-12 under the Exchange Act (17 CFR 240.14a-12)</w:t>
      </w:r>
    </w:p>
    <w:p>
      <w:pPr>
        <w:spacing w:after="0" w:line="183" w:lineRule="exact"/>
        <w:rPr>
          <w:rFonts w:ascii="MS PGothic" w:cs="MS PGothic" w:eastAsia="MS PGothic" w:hAnsi="MS PGothic"/>
          <w:sz w:val="14"/>
          <w:szCs w:val="14"/>
          <w:color w:val="auto"/>
        </w:rPr>
      </w:pPr>
    </w:p>
    <w:p>
      <w:pPr>
        <w:ind w:left="260" w:hanging="254"/>
        <w:spacing w:after="0"/>
        <w:tabs>
          <w:tab w:leader="none" w:pos="26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Pre-commencement communications pursuant to Rule 14d-2(b) under the Exchange Act (17 CFR 240.14d-2(b))</w:t>
      </w:r>
    </w:p>
    <w:p>
      <w:pPr>
        <w:spacing w:after="0" w:line="183" w:lineRule="exact"/>
        <w:rPr>
          <w:rFonts w:ascii="MS PGothic" w:cs="MS PGothic" w:eastAsia="MS PGothic" w:hAnsi="MS PGothic"/>
          <w:sz w:val="14"/>
          <w:szCs w:val="14"/>
          <w:color w:val="auto"/>
        </w:rPr>
      </w:pPr>
    </w:p>
    <w:p>
      <w:pPr>
        <w:ind w:right="4600" w:firstLine="6"/>
        <w:spacing w:after="0" w:line="521" w:lineRule="auto"/>
        <w:tabs>
          <w:tab w:leader="none" w:pos="258"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175"/>
        </w:trPr>
        <w:tc>
          <w:tcPr>
            <w:tcW w:w="37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2"/>
              </w:rPr>
              <w:t>Title of each class</w:t>
            </w:r>
          </w:p>
        </w:tc>
        <w:tc>
          <w:tcPr>
            <w:tcW w:w="38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6"/>
              </w:rPr>
              <w:t>Trading Symbol(s)</w:t>
            </w:r>
          </w:p>
        </w:tc>
        <w:tc>
          <w:tcPr>
            <w:tcW w:w="37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1"/>
              </w:rPr>
              <w:t>Name of each exchange on which registered</w:t>
            </w:r>
          </w:p>
        </w:tc>
      </w:tr>
      <w:tr>
        <w:trPr>
          <w:trHeight w:val="174"/>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1"/>
              </w:rPr>
              <w:t>Common Stock, par value $1.00 per share</w:t>
            </w:r>
          </w:p>
        </w:tc>
        <w:tc>
          <w:tcPr>
            <w:tcW w:w="3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6"/>
              </w:rPr>
              <w:t>SPFI</w:t>
            </w:r>
          </w:p>
        </w:tc>
        <w:tc>
          <w:tcPr>
            <w:tcW w:w="3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4"/>
              </w:rPr>
              <w:t>The Nasdaq Stock Market LLC</w:t>
            </w:r>
          </w:p>
        </w:tc>
      </w:tr>
    </w:tbl>
    <w:p>
      <w:pPr>
        <w:spacing w:after="0" w:line="161" w:lineRule="exact"/>
        <w:rPr>
          <w:sz w:val="24"/>
          <w:szCs w:val="24"/>
          <w:color w:val="auto"/>
        </w:rPr>
      </w:pPr>
    </w:p>
    <w:p>
      <w:pPr>
        <w:ind w:right="420"/>
        <w:spacing w:after="0" w:line="287" w:lineRule="auto"/>
        <w:rPr>
          <w:sz w:val="20"/>
          <w:szCs w:val="20"/>
          <w:color w:val="auto"/>
        </w:rPr>
      </w:pPr>
      <w:r>
        <w:rPr>
          <w:rFonts w:ascii="Arial" w:cs="Arial" w:eastAsia="Arial" w:hAnsi="Arial"/>
          <w:sz w:val="14"/>
          <w:szCs w:val="14"/>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04" w:lineRule="exact"/>
        <w:rPr>
          <w:sz w:val="24"/>
          <w:szCs w:val="24"/>
          <w:color w:val="auto"/>
        </w:rPr>
      </w:pPr>
    </w:p>
    <w:p>
      <w:pPr>
        <w:ind w:left="9560"/>
        <w:spacing w:after="0" w:line="150" w:lineRule="exact"/>
        <w:rPr>
          <w:sz w:val="20"/>
          <w:szCs w:val="20"/>
          <w:color w:val="auto"/>
        </w:rPr>
      </w:pPr>
      <w:r>
        <w:rPr>
          <w:rFonts w:ascii="Arial" w:cs="Arial" w:eastAsia="Arial" w:hAnsi="Arial"/>
          <w:sz w:val="13"/>
          <w:szCs w:val="13"/>
          <w:color w:val="auto"/>
        </w:rPr>
        <w:t xml:space="preserve">Emerging growth company </w:t>
      </w:r>
      <w:r>
        <w:rPr>
          <w:rFonts w:ascii="MS PGothic" w:cs="MS PGothic" w:eastAsia="MS PGothic" w:hAnsi="MS PGothic"/>
          <w:sz w:val="13"/>
          <w:szCs w:val="13"/>
          <w:color w:val="auto"/>
        </w:rPr>
        <w:t>☒</w:t>
      </w:r>
    </w:p>
    <w:p>
      <w:pPr>
        <w:spacing w:after="0" w:line="222" w:lineRule="exact"/>
        <w:rPr>
          <w:sz w:val="24"/>
          <w:szCs w:val="24"/>
          <w:color w:val="auto"/>
        </w:rPr>
      </w:pPr>
    </w:p>
    <w:p>
      <w:pPr>
        <w:ind w:right="60"/>
        <w:spacing w:after="0" w:line="185"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148590</wp:posOffset>
            </wp:positionV>
            <wp:extent cx="7160260"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0260" cy="698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223520</wp:posOffset>
            </wp:positionV>
            <wp:extent cx="7160260" cy="273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0260" cy="2730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339725</wp:posOffset>
            </wp:positionV>
            <wp:extent cx="7160260" cy="139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455" w:right="319" w:bottom="1440" w:gutter="0" w:footer="0" w:header="0"/>
          <w:type w:val="continuous"/>
        </w:sectPr>
      </w:pPr>
    </w:p>
    <w:bookmarkStart w:id="1" w:name="page2"/>
    <w:bookmarkEnd w:id="1"/>
    <w:p>
      <w:pPr>
        <w:spacing w:after="0"/>
        <w:tabs>
          <w:tab w:leader="none" w:pos="760" w:val="left"/>
        </w:tabs>
        <w:rPr>
          <w:sz w:val="20"/>
          <w:szCs w:val="20"/>
          <w:color w:val="auto"/>
        </w:rPr>
      </w:pPr>
      <w:r>
        <w:rPr>
          <w:rFonts w:ascii="Arial" w:cs="Arial" w:eastAsia="Arial" w:hAnsi="Arial"/>
          <w:sz w:val="14"/>
          <w:szCs w:val="14"/>
          <w:b w:val="1"/>
          <w:bCs w:val="1"/>
          <w:color w:val="auto"/>
        </w:rPr>
        <w:t>Item 2.02</w:t>
      </w:r>
      <w:r>
        <w:rPr>
          <w:sz w:val="20"/>
          <w:szCs w:val="20"/>
          <w:color w:val="auto"/>
        </w:rPr>
        <w:tab/>
      </w:r>
      <w:r>
        <w:rPr>
          <w:rFonts w:ascii="Arial" w:cs="Arial" w:eastAsia="Arial" w:hAnsi="Arial"/>
          <w:sz w:val="12"/>
          <w:szCs w:val="12"/>
          <w:b w:val="1"/>
          <w:bCs w:val="1"/>
          <w:color w:val="auto"/>
        </w:rPr>
        <w:t>Results of Operations and Financial Condition.</w:t>
      </w:r>
    </w:p>
    <w:p>
      <w:pPr>
        <w:spacing w:after="0" w:line="187" w:lineRule="exact"/>
        <w:rPr>
          <w:sz w:val="20"/>
          <w:szCs w:val="20"/>
          <w:color w:val="auto"/>
        </w:rPr>
      </w:pPr>
    </w:p>
    <w:p>
      <w:pPr>
        <w:jc w:val="both"/>
        <w:ind w:firstLine="517"/>
        <w:spacing w:after="0" w:line="287" w:lineRule="auto"/>
        <w:rPr>
          <w:sz w:val="20"/>
          <w:szCs w:val="20"/>
          <w:color w:val="auto"/>
        </w:rPr>
      </w:pPr>
      <w:r>
        <w:rPr>
          <w:rFonts w:ascii="Arial" w:cs="Arial" w:eastAsia="Arial" w:hAnsi="Arial"/>
          <w:sz w:val="14"/>
          <w:szCs w:val="14"/>
          <w:color w:val="auto"/>
        </w:rPr>
        <w:t>On January 26, 2023, South Plains Financial, Inc. (the “Company”) issued a press release announcing its financial results for the fourth quarter and year ended December 31, 2022. A copy of the Company’s press release covering such announcement and certain other matters is furnished as Exhibit 99.1 to this Current Report on Form 8-K.</w:t>
      </w:r>
    </w:p>
    <w:p>
      <w:pPr>
        <w:spacing w:after="0" w:line="127" w:lineRule="exact"/>
        <w:rPr>
          <w:sz w:val="20"/>
          <w:szCs w:val="20"/>
          <w:color w:val="auto"/>
        </w:rPr>
      </w:pPr>
    </w:p>
    <w:p>
      <w:pPr>
        <w:spacing w:after="0"/>
        <w:tabs>
          <w:tab w:leader="none" w:pos="760" w:val="left"/>
        </w:tabs>
        <w:rPr>
          <w:sz w:val="20"/>
          <w:szCs w:val="20"/>
          <w:color w:val="auto"/>
        </w:rPr>
      </w:pPr>
      <w:r>
        <w:rPr>
          <w:rFonts w:ascii="Arial" w:cs="Arial" w:eastAsia="Arial" w:hAnsi="Arial"/>
          <w:sz w:val="14"/>
          <w:szCs w:val="14"/>
          <w:b w:val="1"/>
          <w:bCs w:val="1"/>
          <w:color w:val="auto"/>
        </w:rPr>
        <w:t>Item 7.01</w:t>
      </w:r>
      <w:r>
        <w:rPr>
          <w:sz w:val="20"/>
          <w:szCs w:val="20"/>
          <w:color w:val="auto"/>
        </w:rPr>
        <w:tab/>
      </w:r>
      <w:r>
        <w:rPr>
          <w:rFonts w:ascii="Arial" w:cs="Arial" w:eastAsia="Arial" w:hAnsi="Arial"/>
          <w:sz w:val="12"/>
          <w:szCs w:val="12"/>
          <w:b w:val="1"/>
          <w:bCs w:val="1"/>
          <w:color w:val="auto"/>
        </w:rPr>
        <w:t>Regulation FD Disclosure.</w:t>
      </w:r>
    </w:p>
    <w:p>
      <w:pPr>
        <w:spacing w:after="0" w:line="187" w:lineRule="exact"/>
        <w:rPr>
          <w:sz w:val="20"/>
          <w:szCs w:val="20"/>
          <w:color w:val="auto"/>
        </w:rPr>
      </w:pPr>
    </w:p>
    <w:p>
      <w:pPr>
        <w:jc w:val="both"/>
        <w:ind w:firstLine="517"/>
        <w:spacing w:after="0" w:line="272" w:lineRule="auto"/>
        <w:rPr>
          <w:sz w:val="20"/>
          <w:szCs w:val="20"/>
          <w:color w:val="auto"/>
        </w:rPr>
      </w:pPr>
      <w:r>
        <w:rPr>
          <w:rFonts w:ascii="Arial" w:cs="Arial" w:eastAsia="Arial" w:hAnsi="Arial"/>
          <w:sz w:val="14"/>
          <w:szCs w:val="14"/>
          <w:color w:val="auto"/>
        </w:rPr>
        <w:t>On January 26, 2023, officers of the Company will have a conference call with respect to the Company’s financial results for the fourth quarter and year ended December 31, 2022. An earnings release slide presentation highlighting the Company’s financial results for the fourth quarter and year ended December 31, 2022 is furnished as Exhibit 99.2 to this Current Report on Form 8-K. This earnings release slide presentation will also be available on the Company’s website, www.spfi.bank, under the “News &amp; Events” section.</w:t>
      </w:r>
    </w:p>
    <w:p>
      <w:pPr>
        <w:spacing w:after="0" w:line="141" w:lineRule="exact"/>
        <w:rPr>
          <w:sz w:val="20"/>
          <w:szCs w:val="20"/>
          <w:color w:val="auto"/>
        </w:rPr>
      </w:pPr>
    </w:p>
    <w:p>
      <w:pPr>
        <w:jc w:val="both"/>
        <w:ind w:firstLine="517"/>
        <w:spacing w:after="0" w:line="293" w:lineRule="auto"/>
        <w:rPr>
          <w:sz w:val="20"/>
          <w:szCs w:val="20"/>
          <w:color w:val="auto"/>
        </w:rPr>
      </w:pPr>
      <w:r>
        <w:rPr>
          <w:rFonts w:ascii="Arial" w:cs="Arial" w:eastAsia="Arial" w:hAnsi="Arial"/>
          <w:sz w:val="13"/>
          <w:szCs w:val="13"/>
          <w:color w:val="auto"/>
        </w:rPr>
        <w:t>In accordance with General Instruction B.2 of Form 8-K, the information in Items 2.02 and 7.01 of this Current Report on Form 8-K, including Exhibit 99.1 and Exhibit 99.2 furnished herewith, shall not be deemed “filed” for the purposes of Section 18 of the Securities Exchange Act of 1934, as amended (the “Exchange Act”), or otherwise subject to the liabilities of that section. The information in Items 2.02 and 7.01 of this Current Report on Form 8-K, including Exhibit 99.1 and Exhibit 99.2 furnished herewith, shall not be incorporated by reference into any filing or other document pursuant to the Exchange Act or the Securities Act of 1933, as amended, except as shall be expressly set forth by specific reference in such filing or document.</w:t>
      </w:r>
    </w:p>
    <w:p>
      <w:pPr>
        <w:spacing w:after="0" w:line="127" w:lineRule="exact"/>
        <w:rPr>
          <w:sz w:val="20"/>
          <w:szCs w:val="20"/>
          <w:color w:val="auto"/>
        </w:rPr>
      </w:pPr>
    </w:p>
    <w:p>
      <w:pPr>
        <w:spacing w:after="0"/>
        <w:tabs>
          <w:tab w:leader="none" w:pos="760" w:val="left"/>
        </w:tabs>
        <w:rPr>
          <w:sz w:val="20"/>
          <w:szCs w:val="20"/>
          <w:color w:val="auto"/>
        </w:rPr>
      </w:pPr>
      <w:r>
        <w:rPr>
          <w:rFonts w:ascii="Arial" w:cs="Arial" w:eastAsia="Arial" w:hAnsi="Arial"/>
          <w:sz w:val="14"/>
          <w:szCs w:val="14"/>
          <w:b w:val="1"/>
          <w:bCs w:val="1"/>
          <w:color w:val="auto"/>
        </w:rPr>
        <w:t>Item 9.01</w:t>
      </w:r>
      <w:r>
        <w:rPr>
          <w:sz w:val="20"/>
          <w:szCs w:val="20"/>
          <w:color w:val="auto"/>
        </w:rPr>
        <w:tab/>
      </w:r>
      <w:r>
        <w:rPr>
          <w:rFonts w:ascii="Arial" w:cs="Arial" w:eastAsia="Arial" w:hAnsi="Arial"/>
          <w:sz w:val="12"/>
          <w:szCs w:val="12"/>
          <w:b w:val="1"/>
          <w:bCs w:val="1"/>
          <w:color w:val="auto"/>
        </w:rPr>
        <w:t>Financial Statements and Exhibits.</w:t>
      </w:r>
    </w:p>
    <w:p>
      <w:pPr>
        <w:spacing w:after="0" w:line="187" w:lineRule="exact"/>
        <w:rPr>
          <w:sz w:val="20"/>
          <w:szCs w:val="20"/>
          <w:color w:val="auto"/>
        </w:rPr>
      </w:pPr>
    </w:p>
    <w:p>
      <w:pPr>
        <w:ind w:left="780" w:hanging="645"/>
        <w:spacing w:after="0"/>
        <w:tabs>
          <w:tab w:leader="none" w:pos="780" w:val="left"/>
        </w:tabs>
        <w:numPr>
          <w:ilvl w:val="0"/>
          <w:numId w:val="2"/>
        </w:numPr>
        <w:rPr>
          <w:rFonts w:ascii="Arial" w:cs="Arial" w:eastAsia="Arial" w:hAnsi="Arial"/>
          <w:sz w:val="14"/>
          <w:szCs w:val="14"/>
          <w:color w:val="auto"/>
        </w:rPr>
      </w:pPr>
      <w:r>
        <w:rPr>
          <w:rFonts w:ascii="Arial" w:cs="Arial" w:eastAsia="Arial" w:hAnsi="Arial"/>
          <w:sz w:val="14"/>
          <w:szCs w:val="14"/>
          <w:color w:val="auto"/>
        </w:rPr>
        <w:t>Exhibits.</w:t>
      </w:r>
    </w:p>
    <w:p>
      <w:pPr>
        <w:spacing w:after="0" w:line="183" w:lineRule="exact"/>
        <w:rPr>
          <w:sz w:val="20"/>
          <w:szCs w:val="20"/>
          <w:color w:val="auto"/>
        </w:rPr>
      </w:pPr>
    </w:p>
    <w:p>
      <w:pPr>
        <w:ind w:left="360"/>
        <w:spacing w:after="0"/>
        <w:tabs>
          <w:tab w:leader="none" w:pos="880" w:val="left"/>
        </w:tabs>
        <w:rPr>
          <w:sz w:val="20"/>
          <w:szCs w:val="20"/>
          <w:color w:val="auto"/>
        </w:rPr>
      </w:pPr>
      <w:r>
        <w:rPr>
          <w:rFonts w:ascii="Arial" w:cs="Arial" w:eastAsia="Arial" w:hAnsi="Arial"/>
          <w:sz w:val="14"/>
          <w:szCs w:val="14"/>
          <w:u w:val="single" w:color="auto"/>
          <w:color w:val="0000EE"/>
        </w:rPr>
        <w:t>99.1</w:t>
      </w:r>
      <w:r>
        <w:rPr>
          <w:sz w:val="20"/>
          <w:szCs w:val="20"/>
          <w:color w:val="auto"/>
        </w:rPr>
        <w:tab/>
      </w:r>
      <w:r>
        <w:rPr>
          <w:rFonts w:ascii="Arial" w:cs="Arial" w:eastAsia="Arial" w:hAnsi="Arial"/>
          <w:sz w:val="12"/>
          <w:szCs w:val="12"/>
          <w:color w:val="auto"/>
        </w:rPr>
        <w:t>Press release, dated January 26, 2023, announcing fourth quarter and year-end 2022 financial results of South Plains Financial, Inc.</w:t>
      </w:r>
    </w:p>
    <w:p>
      <w:pPr>
        <w:spacing w:after="0" w:line="183" w:lineRule="exact"/>
        <w:rPr>
          <w:sz w:val="20"/>
          <w:szCs w:val="20"/>
          <w:color w:val="auto"/>
        </w:rPr>
      </w:pPr>
    </w:p>
    <w:p>
      <w:pPr>
        <w:ind w:left="360"/>
        <w:spacing w:after="0"/>
        <w:tabs>
          <w:tab w:leader="none" w:pos="880" w:val="left"/>
        </w:tabs>
        <w:rPr>
          <w:sz w:val="20"/>
          <w:szCs w:val="20"/>
          <w:color w:val="auto"/>
        </w:rPr>
      </w:pPr>
      <w:r>
        <w:rPr>
          <w:rFonts w:ascii="Arial" w:cs="Arial" w:eastAsia="Arial" w:hAnsi="Arial"/>
          <w:sz w:val="14"/>
          <w:szCs w:val="14"/>
          <w:u w:val="single" w:color="auto"/>
          <w:color w:val="0000EE"/>
        </w:rPr>
        <w:t>99.2</w:t>
      </w:r>
      <w:r>
        <w:rPr>
          <w:sz w:val="20"/>
          <w:szCs w:val="20"/>
          <w:color w:val="auto"/>
        </w:rPr>
        <w:tab/>
      </w:r>
      <w:r>
        <w:rPr>
          <w:rFonts w:ascii="Arial" w:cs="Arial" w:eastAsia="Arial" w:hAnsi="Arial"/>
          <w:sz w:val="12"/>
          <w:szCs w:val="12"/>
          <w:color w:val="auto"/>
        </w:rPr>
        <w:t>Earnings release slide presentation, dated January 26, 2023.</w:t>
      </w:r>
    </w:p>
    <w:p>
      <w:pPr>
        <w:spacing w:after="0" w:line="183" w:lineRule="exact"/>
        <w:rPr>
          <w:sz w:val="20"/>
          <w:szCs w:val="20"/>
          <w:color w:val="auto"/>
        </w:rPr>
      </w:pPr>
    </w:p>
    <w:p>
      <w:pPr>
        <w:ind w:left="360"/>
        <w:spacing w:after="0"/>
        <w:tabs>
          <w:tab w:leader="none" w:pos="880" w:val="left"/>
        </w:tabs>
        <w:rPr>
          <w:sz w:val="20"/>
          <w:szCs w:val="20"/>
          <w:color w:val="auto"/>
        </w:rPr>
      </w:pPr>
      <w:r>
        <w:rPr>
          <w:rFonts w:ascii="Arial" w:cs="Arial" w:eastAsia="Arial" w:hAnsi="Arial"/>
          <w:sz w:val="14"/>
          <w:szCs w:val="14"/>
          <w:color w:val="auto"/>
        </w:rPr>
        <w:t>104</w:t>
      </w:r>
      <w:r>
        <w:rPr>
          <w:sz w:val="20"/>
          <w:szCs w:val="20"/>
          <w:color w:val="auto"/>
        </w:rPr>
        <w:tab/>
      </w:r>
      <w:r>
        <w:rPr>
          <w:rFonts w:ascii="Arial" w:cs="Arial" w:eastAsia="Arial" w:hAnsi="Arial"/>
          <w:sz w:val="14"/>
          <w:szCs w:val="14"/>
          <w:color w:val="auto"/>
        </w:rPr>
        <w:t>Cover Page Interactive Data File (formatted as Inline XBRL).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212090</wp:posOffset>
            </wp:positionV>
            <wp:extent cx="7160260" cy="139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 w:name="page3"/>
    <w:bookmarkEnd w:id="2"/>
    <w:p>
      <w:pPr>
        <w:jc w:val="center"/>
        <w:ind w:right="-339"/>
        <w:spacing w:after="0"/>
        <w:rPr>
          <w:sz w:val="20"/>
          <w:szCs w:val="20"/>
          <w:color w:val="auto"/>
        </w:rPr>
      </w:pPr>
      <w:r>
        <w:rPr>
          <w:rFonts w:ascii="Arial" w:cs="Arial" w:eastAsia="Arial" w:hAnsi="Arial"/>
          <w:sz w:val="14"/>
          <w:szCs w:val="14"/>
          <w:b w:val="1"/>
          <w:bCs w:val="1"/>
          <w:color w:val="auto"/>
        </w:rPr>
        <w:t>SIGNATURES</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2"/>
          <w:szCs w:val="12"/>
          <w:color w:val="auto"/>
        </w:rPr>
        <w:t>Pursuant to the requirements of the Securities Exchange Act of 1934, the registrant has duly caused this report to be signed on its behalf by the undersigned hereunto duly authorized.</w:t>
      </w:r>
    </w:p>
    <w:p>
      <w:pPr>
        <w:spacing w:after="0" w:line="202" w:lineRule="exact"/>
        <w:rPr>
          <w:sz w:val="20"/>
          <w:szCs w:val="20"/>
          <w:color w:val="auto"/>
        </w:rPr>
      </w:pPr>
    </w:p>
    <w:p>
      <w:pPr>
        <w:ind w:left="5660"/>
        <w:spacing w:after="0"/>
        <w:rPr>
          <w:sz w:val="20"/>
          <w:szCs w:val="20"/>
          <w:color w:val="auto"/>
        </w:rPr>
      </w:pPr>
      <w:r>
        <w:rPr>
          <w:rFonts w:ascii="Arial" w:cs="Arial" w:eastAsia="Arial" w:hAnsi="Arial"/>
          <w:sz w:val="14"/>
          <w:szCs w:val="14"/>
          <w:b w:val="1"/>
          <w:bCs w:val="1"/>
          <w:color w:val="auto"/>
        </w:rPr>
        <w:t>SOUTH PLAINS FINANCIAL, INC.</w:t>
      </w:r>
    </w:p>
    <w:p>
      <w:pPr>
        <w:spacing w:after="0" w:line="187" w:lineRule="exact"/>
        <w:rPr>
          <w:sz w:val="20"/>
          <w:szCs w:val="20"/>
          <w:color w:val="auto"/>
        </w:rPr>
      </w:pPr>
    </w:p>
    <w:p>
      <w:pPr>
        <w:spacing w:after="0"/>
        <w:tabs>
          <w:tab w:leader="none" w:pos="5640" w:val="left"/>
        </w:tabs>
        <w:rPr>
          <w:sz w:val="20"/>
          <w:szCs w:val="20"/>
          <w:color w:val="auto"/>
        </w:rPr>
      </w:pPr>
      <w:r>
        <w:rPr>
          <w:rFonts w:ascii="Arial" w:cs="Arial" w:eastAsia="Arial" w:hAnsi="Arial"/>
          <w:sz w:val="14"/>
          <w:szCs w:val="14"/>
          <w:color w:val="auto"/>
        </w:rPr>
        <w:t>Dated: January 26, 2023</w:t>
      </w:r>
      <w:r>
        <w:rPr>
          <w:sz w:val="20"/>
          <w:szCs w:val="20"/>
          <w:color w:val="auto"/>
        </w:rPr>
        <w:tab/>
      </w:r>
      <w:r>
        <w:rPr>
          <w:rFonts w:ascii="Arial" w:cs="Arial" w:eastAsia="Arial" w:hAnsi="Arial"/>
          <w:sz w:val="13"/>
          <w:szCs w:val="13"/>
          <w:color w:val="auto"/>
        </w:rPr>
        <w:t>By:  /s/ Steven B. Crockett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3789045</wp:posOffset>
            </wp:positionH>
            <wp:positionV relativeFrom="paragraph">
              <wp:posOffset>13970</wp:posOffset>
            </wp:positionV>
            <wp:extent cx="3375025" cy="1397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75025" cy="13970"/>
                    </a:xfrm>
                    <a:prstGeom prst="rect">
                      <a:avLst/>
                    </a:prstGeom>
                    <a:noFill/>
                  </pic:spPr>
                </pic:pic>
              </a:graphicData>
            </a:graphic>
          </wp:anchor>
        </w:drawing>
      </w:r>
    </w:p>
    <w:p>
      <w:pPr>
        <w:spacing w:after="0" w:line="13" w:lineRule="exact"/>
        <w:rPr>
          <w:sz w:val="20"/>
          <w:szCs w:val="20"/>
          <w:color w:val="auto"/>
        </w:rPr>
      </w:pPr>
    </w:p>
    <w:p>
      <w:pPr>
        <w:ind w:left="6240"/>
        <w:spacing w:after="0"/>
        <w:rPr>
          <w:sz w:val="20"/>
          <w:szCs w:val="20"/>
          <w:color w:val="auto"/>
        </w:rPr>
      </w:pPr>
      <w:r>
        <w:rPr>
          <w:rFonts w:ascii="Arial" w:cs="Arial" w:eastAsia="Arial" w:hAnsi="Arial"/>
          <w:sz w:val="14"/>
          <w:szCs w:val="14"/>
          <w:color w:val="auto"/>
        </w:rPr>
        <w:t>Steven B. Crockett</w:t>
      </w:r>
    </w:p>
    <w:p>
      <w:pPr>
        <w:spacing w:after="0" w:line="21" w:lineRule="exact"/>
        <w:rPr>
          <w:sz w:val="20"/>
          <w:szCs w:val="20"/>
          <w:color w:val="auto"/>
        </w:rPr>
      </w:pPr>
    </w:p>
    <w:p>
      <w:pPr>
        <w:ind w:left="6240"/>
        <w:spacing w:after="0"/>
        <w:rPr>
          <w:sz w:val="20"/>
          <w:szCs w:val="20"/>
          <w:color w:val="auto"/>
        </w:rPr>
      </w:pPr>
      <w:r>
        <w:rPr>
          <w:rFonts w:ascii="Arial" w:cs="Arial" w:eastAsia="Arial" w:hAnsi="Arial"/>
          <w:sz w:val="14"/>
          <w:szCs w:val="14"/>
          <w:color w:val="auto"/>
        </w:rPr>
        <w:t>Chief Financial Officer and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274320</wp:posOffset>
            </wp:positionV>
            <wp:extent cx="7160260" cy="1397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0960"/>
          </w:cols>
          <w:pgMar w:left="300" w:top="125" w:right="639" w:bottom="1440" w:gutter="0" w:footer="0" w:header="0"/>
        </w:sectPr>
      </w:pPr>
    </w:p>
    <w:bookmarkStart w:id="3" w:name="page4"/>
    <w:bookmarkEnd w:id="3"/>
    <w:p>
      <w:pPr>
        <w:jc w:val="right"/>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60260" cy="273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0260" cy="27305"/>
                    </a:xfrm>
                    <a:prstGeom prst="rect">
                      <a:avLst/>
                    </a:prstGeom>
                    <a:noFill/>
                  </pic:spPr>
                </pic:pic>
              </a:graphicData>
            </a:graphic>
          </wp:anchor>
        </w:drawing>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139700</wp:posOffset>
            </wp:positionV>
            <wp:extent cx="2651125" cy="3829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651125" cy="382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South Plains Financial, Inc. Reports Fourth Quarter and Year-End 2022 Financial Results</w:t>
      </w:r>
    </w:p>
    <w:p>
      <w:pPr>
        <w:spacing w:after="0" w:line="209" w:lineRule="exact"/>
        <w:rPr>
          <w:sz w:val="20"/>
          <w:szCs w:val="20"/>
          <w:color w:val="auto"/>
        </w:rPr>
      </w:pPr>
    </w:p>
    <w:p>
      <w:pPr>
        <w:spacing w:after="0" w:line="287" w:lineRule="auto"/>
        <w:rPr>
          <w:sz w:val="20"/>
          <w:szCs w:val="20"/>
          <w:color w:val="auto"/>
        </w:rPr>
      </w:pPr>
      <w:r>
        <w:rPr>
          <w:rFonts w:ascii="Arial" w:cs="Arial" w:eastAsia="Arial" w:hAnsi="Arial"/>
          <w:sz w:val="14"/>
          <w:szCs w:val="14"/>
          <w:color w:val="auto"/>
        </w:rPr>
        <w:t>LUBBOCK, Texas, January 26, 2023 (GLOBE NEWSWIRE) – South Plains Financial, Inc. (NASDAQ:SPFI) (“South Plains” or the “Company”), the parent company of City Bank (“City Bank” or the “Bank”), today reported its financial results for the quarter and year ended December 31, 2022.</w:t>
      </w:r>
    </w:p>
    <w:p>
      <w:pPr>
        <w:spacing w:after="0" w:line="14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Fourth Quarter 2022 Highlights</w:t>
      </w:r>
    </w:p>
    <w:p>
      <w:pPr>
        <w:spacing w:after="0" w:line="209" w:lineRule="exact"/>
        <w:rPr>
          <w:sz w:val="20"/>
          <w:szCs w:val="20"/>
          <w:color w:val="auto"/>
        </w:rPr>
      </w:pPr>
    </w:p>
    <w:p>
      <w:pPr>
        <w:ind w:left="520" w:hanging="256"/>
        <w:spacing w:after="0"/>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Net income for the fourth quarter of 2022 was $12.6 million, compared to $15.5 million for the third quarter of 2022 and $14.6 million for the fourth quarter of 2021.</w:t>
      </w:r>
    </w:p>
    <w:p>
      <w:pPr>
        <w:spacing w:after="0" w:line="20" w:lineRule="exact"/>
        <w:rPr>
          <w:rFonts w:ascii="Arial" w:cs="Arial" w:eastAsia="Arial" w:hAnsi="Arial"/>
          <w:sz w:val="14"/>
          <w:szCs w:val="14"/>
          <w:color w:val="auto"/>
        </w:rPr>
      </w:pPr>
    </w:p>
    <w:p>
      <w:pPr>
        <w:ind w:left="520" w:hanging="256"/>
        <w:spacing w:after="0"/>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Diluted earnings per share for the fourth quarter of 2022 was $0.71, compared to $0.86 for the third quarter of 2022 and $0.79 for the fourth quarter of 2021.</w:t>
      </w:r>
    </w:p>
    <w:p>
      <w:pPr>
        <w:spacing w:after="0" w:line="11" w:lineRule="exact"/>
        <w:rPr>
          <w:rFonts w:ascii="Arial" w:cs="Arial" w:eastAsia="Arial" w:hAnsi="Arial"/>
          <w:sz w:val="14"/>
          <w:szCs w:val="14"/>
          <w:color w:val="auto"/>
        </w:rPr>
      </w:pPr>
    </w:p>
    <w:p>
      <w:pPr>
        <w:ind w:left="520" w:hanging="256"/>
        <w:spacing w:after="0" w:line="256" w:lineRule="auto"/>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Pre-tax, pre-provision income (non-GAAP) for the fourth quarter of 2022 was $16.3 million, compared to $18.6 million for the third quarter of 2022 and $18.2 million for the fourth quarter of 2021.</w:t>
      </w:r>
    </w:p>
    <w:p>
      <w:pPr>
        <w:ind w:left="520" w:hanging="256"/>
        <w:spacing w:after="0" w:line="256" w:lineRule="auto"/>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Average cost of deposits for the fourth quarter of 2022 increased to 97 basis points, compared to 52 basis points for the third quarter of 2022 and 23 basis points for the fourth quarter of 2021.</w:t>
      </w:r>
    </w:p>
    <w:p>
      <w:pPr>
        <w:ind w:left="520" w:hanging="256"/>
        <w:spacing w:after="0"/>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Loans held for investment grew $57.7 million, or 8.6% annualized, during the fourth quarter of 2022 as compared to September 30, 2022.</w:t>
      </w:r>
    </w:p>
    <w:p>
      <w:pPr>
        <w:spacing w:after="0" w:line="11" w:lineRule="exact"/>
        <w:rPr>
          <w:rFonts w:ascii="Arial" w:cs="Arial" w:eastAsia="Arial" w:hAnsi="Arial"/>
          <w:sz w:val="14"/>
          <w:szCs w:val="14"/>
          <w:color w:val="auto"/>
        </w:rPr>
      </w:pPr>
    </w:p>
    <w:p>
      <w:pPr>
        <w:ind w:left="520" w:hanging="256"/>
        <w:spacing w:after="0"/>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Nonperforming assets to total assets were 0.20% at December 31, 2022, compared to 0.20% at September 30, 2022 and 0.30% at December 31, 2021.</w:t>
      </w:r>
    </w:p>
    <w:p>
      <w:pPr>
        <w:spacing w:after="0" w:line="11" w:lineRule="exact"/>
        <w:rPr>
          <w:rFonts w:ascii="Arial" w:cs="Arial" w:eastAsia="Arial" w:hAnsi="Arial"/>
          <w:sz w:val="14"/>
          <w:szCs w:val="14"/>
          <w:color w:val="auto"/>
        </w:rPr>
      </w:pPr>
    </w:p>
    <w:p>
      <w:pPr>
        <w:ind w:left="520" w:hanging="256"/>
        <w:spacing w:after="0" w:line="273" w:lineRule="auto"/>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Return on average assets for the fourth quarter of 2022 was 1.27% annualized, compared to 1.53% annualized for the third quarter of 2022 and 1.50% annualized for the fourth quarter of 2021.</w:t>
      </w:r>
    </w:p>
    <w:p>
      <w:pPr>
        <w:spacing w:after="0" w:line="15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Full Year 2022 Highlights</w:t>
      </w:r>
    </w:p>
    <w:p>
      <w:pPr>
        <w:spacing w:after="0" w:line="209" w:lineRule="exact"/>
        <w:rPr>
          <w:sz w:val="20"/>
          <w:szCs w:val="20"/>
          <w:color w:val="auto"/>
        </w:rPr>
      </w:pPr>
    </w:p>
    <w:p>
      <w:pPr>
        <w:ind w:left="520" w:hanging="256"/>
        <w:spacing w:after="0"/>
        <w:tabs>
          <w:tab w:leader="none" w:pos="520" w:val="left"/>
        </w:tabs>
        <w:numPr>
          <w:ilvl w:val="0"/>
          <w:numId w:val="4"/>
        </w:numPr>
        <w:rPr>
          <w:rFonts w:ascii="Arial" w:cs="Arial" w:eastAsia="Arial" w:hAnsi="Arial"/>
          <w:sz w:val="14"/>
          <w:szCs w:val="14"/>
          <w:color w:val="auto"/>
        </w:rPr>
      </w:pPr>
      <w:r>
        <w:rPr>
          <w:rFonts w:ascii="Arial" w:cs="Arial" w:eastAsia="Arial" w:hAnsi="Arial"/>
          <w:sz w:val="14"/>
          <w:szCs w:val="14"/>
          <w:color w:val="auto"/>
        </w:rPr>
        <w:t>Total assets were $3.94 billion at December 31, 2022, compared to $3.90 billion at December 31, 2021.</w:t>
      </w:r>
    </w:p>
    <w:p>
      <w:pPr>
        <w:spacing w:after="0" w:line="20" w:lineRule="exact"/>
        <w:rPr>
          <w:rFonts w:ascii="Arial" w:cs="Arial" w:eastAsia="Arial" w:hAnsi="Arial"/>
          <w:sz w:val="14"/>
          <w:szCs w:val="14"/>
          <w:color w:val="auto"/>
        </w:rPr>
      </w:pPr>
    </w:p>
    <w:p>
      <w:pPr>
        <w:ind w:left="520" w:hanging="256"/>
        <w:spacing w:after="0"/>
        <w:tabs>
          <w:tab w:leader="none" w:pos="520" w:val="left"/>
        </w:tabs>
        <w:numPr>
          <w:ilvl w:val="0"/>
          <w:numId w:val="4"/>
        </w:numPr>
        <w:rPr>
          <w:rFonts w:ascii="Arial" w:cs="Arial" w:eastAsia="Arial" w:hAnsi="Arial"/>
          <w:sz w:val="14"/>
          <w:szCs w:val="14"/>
          <w:color w:val="auto"/>
        </w:rPr>
      </w:pPr>
      <w:r>
        <w:rPr>
          <w:rFonts w:ascii="Arial" w:cs="Arial" w:eastAsia="Arial" w:hAnsi="Arial"/>
          <w:sz w:val="14"/>
          <w:szCs w:val="14"/>
          <w:color w:val="auto"/>
        </w:rPr>
        <w:t>Full year net income of $58.2 million in 2022, compared to $58.6 million in 2021.</w:t>
      </w:r>
    </w:p>
    <w:p>
      <w:pPr>
        <w:spacing w:after="0" w:line="11" w:lineRule="exact"/>
        <w:rPr>
          <w:rFonts w:ascii="Arial" w:cs="Arial" w:eastAsia="Arial" w:hAnsi="Arial"/>
          <w:sz w:val="14"/>
          <w:szCs w:val="14"/>
          <w:color w:val="auto"/>
        </w:rPr>
      </w:pPr>
    </w:p>
    <w:p>
      <w:pPr>
        <w:ind w:left="520" w:hanging="256"/>
        <w:spacing w:after="0"/>
        <w:tabs>
          <w:tab w:leader="none" w:pos="520" w:val="left"/>
        </w:tabs>
        <w:numPr>
          <w:ilvl w:val="0"/>
          <w:numId w:val="4"/>
        </w:numPr>
        <w:rPr>
          <w:rFonts w:ascii="Arial" w:cs="Arial" w:eastAsia="Arial" w:hAnsi="Arial"/>
          <w:sz w:val="14"/>
          <w:szCs w:val="14"/>
          <w:color w:val="auto"/>
        </w:rPr>
      </w:pPr>
      <w:r>
        <w:rPr>
          <w:rFonts w:ascii="Arial" w:cs="Arial" w:eastAsia="Arial" w:hAnsi="Arial"/>
          <w:sz w:val="14"/>
          <w:szCs w:val="14"/>
          <w:color w:val="auto"/>
        </w:rPr>
        <w:t>Diluted earnings per share of $3.23 in 2022, compared to $3.17 in 2021.</w:t>
      </w:r>
    </w:p>
    <w:p>
      <w:pPr>
        <w:spacing w:after="0" w:line="11" w:lineRule="exact"/>
        <w:rPr>
          <w:rFonts w:ascii="Arial" w:cs="Arial" w:eastAsia="Arial" w:hAnsi="Arial"/>
          <w:sz w:val="14"/>
          <w:szCs w:val="14"/>
          <w:color w:val="auto"/>
        </w:rPr>
      </w:pPr>
    </w:p>
    <w:p>
      <w:pPr>
        <w:ind w:left="520" w:hanging="256"/>
        <w:spacing w:after="0"/>
        <w:tabs>
          <w:tab w:leader="none" w:pos="520" w:val="left"/>
        </w:tabs>
        <w:numPr>
          <w:ilvl w:val="0"/>
          <w:numId w:val="4"/>
        </w:numPr>
        <w:rPr>
          <w:rFonts w:ascii="Arial" w:cs="Arial" w:eastAsia="Arial" w:hAnsi="Arial"/>
          <w:sz w:val="14"/>
          <w:szCs w:val="14"/>
          <w:color w:val="auto"/>
        </w:rPr>
      </w:pPr>
      <w:r>
        <w:rPr>
          <w:rFonts w:ascii="Arial" w:cs="Arial" w:eastAsia="Arial" w:hAnsi="Arial"/>
          <w:sz w:val="14"/>
          <w:szCs w:val="14"/>
          <w:color w:val="auto"/>
        </w:rPr>
        <w:t>Loans held for investment grew $310.5 million, or 12.7%, during 2022.</w:t>
      </w:r>
    </w:p>
    <w:p>
      <w:pPr>
        <w:spacing w:after="0" w:line="11" w:lineRule="exact"/>
        <w:rPr>
          <w:rFonts w:ascii="Arial" w:cs="Arial" w:eastAsia="Arial" w:hAnsi="Arial"/>
          <w:sz w:val="14"/>
          <w:szCs w:val="14"/>
          <w:color w:val="auto"/>
        </w:rPr>
      </w:pPr>
    </w:p>
    <w:p>
      <w:pPr>
        <w:ind w:left="520" w:hanging="256"/>
        <w:spacing w:after="0"/>
        <w:tabs>
          <w:tab w:leader="none" w:pos="520" w:val="left"/>
        </w:tabs>
        <w:numPr>
          <w:ilvl w:val="0"/>
          <w:numId w:val="4"/>
        </w:numPr>
        <w:rPr>
          <w:rFonts w:ascii="Arial" w:cs="Arial" w:eastAsia="Arial" w:hAnsi="Arial"/>
          <w:sz w:val="14"/>
          <w:szCs w:val="14"/>
          <w:color w:val="auto"/>
        </w:rPr>
      </w:pPr>
      <w:r>
        <w:rPr>
          <w:rFonts w:ascii="Arial" w:cs="Arial" w:eastAsia="Arial" w:hAnsi="Arial"/>
          <w:sz w:val="14"/>
          <w:szCs w:val="14"/>
          <w:color w:val="auto"/>
        </w:rPr>
        <w:t>Efficiency ratio of 66.8% in 2022, compared to 67.1% in 2021.</w:t>
      </w:r>
    </w:p>
    <w:p>
      <w:pPr>
        <w:spacing w:after="0" w:line="11" w:lineRule="exact"/>
        <w:rPr>
          <w:rFonts w:ascii="Arial" w:cs="Arial" w:eastAsia="Arial" w:hAnsi="Arial"/>
          <w:sz w:val="14"/>
          <w:szCs w:val="14"/>
          <w:color w:val="auto"/>
        </w:rPr>
      </w:pPr>
    </w:p>
    <w:p>
      <w:pPr>
        <w:ind w:left="520" w:hanging="256"/>
        <w:spacing w:after="0"/>
        <w:tabs>
          <w:tab w:leader="none" w:pos="520" w:val="left"/>
        </w:tabs>
        <w:numPr>
          <w:ilvl w:val="0"/>
          <w:numId w:val="4"/>
        </w:numPr>
        <w:rPr>
          <w:rFonts w:ascii="Arial" w:cs="Arial" w:eastAsia="Arial" w:hAnsi="Arial"/>
          <w:sz w:val="14"/>
          <w:szCs w:val="14"/>
          <w:color w:val="auto"/>
        </w:rPr>
      </w:pPr>
      <w:r>
        <w:rPr>
          <w:rFonts w:ascii="Arial" w:cs="Arial" w:eastAsia="Arial" w:hAnsi="Arial"/>
          <w:sz w:val="14"/>
          <w:szCs w:val="14"/>
          <w:color w:val="auto"/>
        </w:rPr>
        <w:t>Tangible book value (non-GAAP) per share of $19.57 at December 31, 2022, compared to $21.51 at December 31, 2021.</w:t>
      </w:r>
    </w:p>
    <w:p>
      <w:pPr>
        <w:spacing w:after="0" w:line="11" w:lineRule="exact"/>
        <w:rPr>
          <w:rFonts w:ascii="Arial" w:cs="Arial" w:eastAsia="Arial" w:hAnsi="Arial"/>
          <w:sz w:val="14"/>
          <w:szCs w:val="14"/>
          <w:color w:val="auto"/>
        </w:rPr>
      </w:pPr>
    </w:p>
    <w:p>
      <w:pPr>
        <w:ind w:left="520" w:hanging="256"/>
        <w:spacing w:after="0"/>
        <w:tabs>
          <w:tab w:leader="none" w:pos="520" w:val="left"/>
        </w:tabs>
        <w:numPr>
          <w:ilvl w:val="0"/>
          <w:numId w:val="4"/>
        </w:numPr>
        <w:rPr>
          <w:rFonts w:ascii="Arial" w:cs="Arial" w:eastAsia="Arial" w:hAnsi="Arial"/>
          <w:sz w:val="14"/>
          <w:szCs w:val="14"/>
          <w:color w:val="auto"/>
        </w:rPr>
      </w:pPr>
      <w:r>
        <w:rPr>
          <w:rFonts w:ascii="Arial" w:cs="Arial" w:eastAsia="Arial" w:hAnsi="Arial"/>
          <w:sz w:val="14"/>
          <w:szCs w:val="14"/>
          <w:color w:val="auto"/>
        </w:rPr>
        <w:t>Return on average assets of 1.47% for the full year 2022, compared to 1.56% for 2021.</w:t>
      </w:r>
    </w:p>
    <w:p>
      <w:pPr>
        <w:spacing w:after="0" w:line="195"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Curtis Griffith, South Plains’ Chairman and Chief Executive Officer, commented, “I am very proud of our execution over the last year as we successfully navigated a challenging economic environment and, we believe we have positioned South Plains for continued success in the future. Central to our success has been the expansion of our commercial lending platform where we achieved full-year organic loan growth of 12.7% during 2022, exceeding our mid-to-high digit loan growth guidance. Importantly, we delivered 19.2% loan growth during 2022 in our major metropolitan markets of Dallas, Houston and El Paso as we continued to expand our commercial lending team. As our loan balances grew through the year, we experienced an acceleration to our net interest income growth, which began to offset the expected decline in our mortgage banking revenues, given the sharp rise in market interest rates through the year. As a result, we were able to achieve modest earnings per share growth in 2022, as compared to 2021, which is a true credit to the dedication and hard work of our employees. We also remained focused on returning capital to our shareholders, as we repurchased 4.8% of the Company’s shares, which were outstanding, as of December 31, 2021, during this past year, and distributed $0.46 per share in quarterly cash dividends in 2022, representing a 53% increase as compared to 2021. Looking forward, we expect economic growth to moderate in Texas as the economy digests the impact of higher market interest rates, which supports our low single digit loan growth outlook for 2023.”</w:t>
      </w:r>
    </w:p>
    <w:p>
      <w:pPr>
        <w:spacing w:after="0" w:line="16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Results of Operations, Quarter Ended December 31, 2022</w:t>
      </w:r>
    </w:p>
    <w:p>
      <w:pPr>
        <w:spacing w:after="0" w:line="20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Net Interest Income</w:t>
      </w:r>
    </w:p>
    <w:p>
      <w:pPr>
        <w:spacing w:after="0" w:line="209"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Net interest income was $36.3 million for the fourth quarter of 2022, compared to $35.1 million for the third quarter of 2022 and $31.4 million for the fourth quarter of 2021. Net interest margin, calculated on a tax-equivalent basis, was 3.88% for the fourth quarter of 2022, compared to 3.70% for the third quarter of 2022 and 3.50% for the fourth quarter of 2021. The average yield on loans was 5.59% for the fourth quarter of 2022, compared to 5.12% for the third quarter of 2022 and 4.90% for the fourth quarter of 2021. The average cost of deposits was 97 basis points for the fourth quarter of 2022, which is 45 basis points higher than the third quarter of 2022 and 74 basis points higher than the fourth quarter of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202565</wp:posOffset>
            </wp:positionV>
            <wp:extent cx="7160260" cy="1397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254" w:right="319" w:bottom="1440" w:gutter="0" w:footer="0" w:header="0"/>
        </w:sectPr>
      </w:pPr>
    </w:p>
    <w:bookmarkStart w:id="4" w:name="page5"/>
    <w:bookmarkEnd w:id="4"/>
    <w:p>
      <w:pPr>
        <w:jc w:val="both"/>
        <w:spacing w:after="0" w:line="262" w:lineRule="auto"/>
        <w:rPr>
          <w:sz w:val="20"/>
          <w:szCs w:val="20"/>
          <w:color w:val="auto"/>
        </w:rPr>
      </w:pPr>
      <w:r>
        <w:rPr>
          <w:rFonts w:ascii="Arial" w:cs="Arial" w:eastAsia="Arial" w:hAnsi="Arial"/>
          <w:sz w:val="14"/>
          <w:szCs w:val="14"/>
          <w:color w:val="auto"/>
        </w:rPr>
        <w:t>Interest income was $46.2 million for the fourth quarter of 2022, compared to $41.1 million for the third quarter of 2022 and $34.6 million for the fourth quarter of 2021. Interest income increased $5.1 million in the fourth quarter of 2022 from the third quarter of 2022, which was comprised of increases of $4.2 million in loan interest income and $0.9 million in interest income from securities and other interest-earning assets. The increase in loan interest income was primarily due to an increase of $74.4 million in average loans outstanding, a $0.9 million purchase discount principal and interest recovery, and the rising interest rate environment. The increase in interest income on securities and other interest-earning assets was primarily due to continued rising market interest rates. Interest income increased $11.6 million in the fourth quarter of 2022 compared to the fourth quarter of 2021. This increase was primarily due to an increase of average loans of $227.9 million, securities purchases, and rising market interest rates during the period.</w:t>
      </w:r>
    </w:p>
    <w:p>
      <w:pPr>
        <w:spacing w:after="0" w:line="172" w:lineRule="exact"/>
        <w:rPr>
          <w:sz w:val="20"/>
          <w:szCs w:val="20"/>
          <w:color w:val="auto"/>
        </w:rPr>
      </w:pPr>
    </w:p>
    <w:p>
      <w:pPr>
        <w:jc w:val="both"/>
        <w:spacing w:after="0" w:line="272" w:lineRule="auto"/>
        <w:rPr>
          <w:sz w:val="20"/>
          <w:szCs w:val="20"/>
          <w:color w:val="auto"/>
        </w:rPr>
      </w:pPr>
      <w:r>
        <w:rPr>
          <w:rFonts w:ascii="Arial" w:cs="Arial" w:eastAsia="Arial" w:hAnsi="Arial"/>
          <w:sz w:val="14"/>
          <w:szCs w:val="14"/>
          <w:color w:val="auto"/>
        </w:rPr>
        <w:t>Interest expense was $9.9 million for the fourth quarter of 2022, compared to $6.0 million for the third quarter of 2022 and $3.2 million for the fourth quarter of 2021. Interest expense increased $3.9 million compared to the third quarter of 2022 and $6.8 million compared to the fourth quarter of 2021 primarily as a result of rising interest rates on interest-bearing liabilities, with the increase being mainly comprised of interest expense on deposits.</w:t>
      </w:r>
    </w:p>
    <w:p>
      <w:pPr>
        <w:spacing w:after="0" w:line="15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Noninterest Income and Noninterest Expense</w:t>
      </w:r>
    </w:p>
    <w:p>
      <w:pPr>
        <w:spacing w:after="0" w:line="209" w:lineRule="exact"/>
        <w:rPr>
          <w:sz w:val="20"/>
          <w:szCs w:val="20"/>
          <w:color w:val="auto"/>
        </w:rPr>
      </w:pPr>
    </w:p>
    <w:p>
      <w:pPr>
        <w:jc w:val="both"/>
        <w:spacing w:after="0" w:line="261" w:lineRule="auto"/>
        <w:rPr>
          <w:sz w:val="20"/>
          <w:szCs w:val="20"/>
          <w:color w:val="auto"/>
        </w:rPr>
      </w:pPr>
      <w:r>
        <w:rPr>
          <w:rFonts w:ascii="Arial" w:cs="Arial" w:eastAsia="Arial" w:hAnsi="Arial"/>
          <w:sz w:val="14"/>
          <w:szCs w:val="14"/>
          <w:color w:val="auto"/>
        </w:rPr>
        <w:t>Noninterest income was $12.7 million for the fourth quarter of 2022, compared to $20.9 million for the third quarter of 2022 and $22.9 million for the fourth quarter of 2021. The decrease from the third quarter of 2022 was primarily due to the seasonal decrease of $2.0 million in income from insurance activities, a decrease of $3.5 million in mortgage banking activities revenue, and $2.1 million of income from legal settlements recorded in the third quarter of 2022. The decrease in mortgage banking activities revenues was mainly the result of a decline of $26.8 million, or 17.7%, in mortgage loan originations, as the residential mortgage market continued to slow during the fourth quarter of 2022, as a result of higher market interest rates and seasonality, and a $1.3 million fair value write-down of the mortgage servicing rights portfolio. The decrease in noninterest income for the fourth quarter of 2022 as compared to the fourth quarter of 2021 was primarily due to a decline of $9.6 million in mortgage banking activities revenue as mortgage loan originations declined $189.0 million, or 60.2%, as high-volume refinance activity experienced during 2020 and 2021 has slowed as a result of higher market interest rates.</w:t>
      </w:r>
    </w:p>
    <w:p>
      <w:pPr>
        <w:spacing w:after="0" w:line="173"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Noninterest expense was $32.7 million for the fourth quarter of 2022, compared to $37.4 million for the third quarter of 2022 and $36.1 million for the fourth quarter of 2021. The decrease from the third quarter of 2022 was primarily the result of a decline of $4.2 million in personnel expense and a decline of $0.6 million in legal expenses. The decrease in personnel expense was mainly the result of having the additional $1.8 million in commissions for increased insurance activities in the third quarter of 2022 and a decrease of $1.2 million in mortgage commission and related supporting personnel expenses as mortgage loan originations decreased in the fourth quarter of 2022. The decrease in noninterest expense for the fourth quarter of 2022 as compared to the fourth quarter of 2021 was primarily driven by lower mortgage commissions and other variable mortgage-based expenses due to the reduction in mortgage loan originations, partially offset by additional commercial lenders hired as part of a planned initiative.</w:t>
      </w:r>
    </w:p>
    <w:p>
      <w:pPr>
        <w:spacing w:after="0" w:line="16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Loan Portfolio and Composition</w:t>
      </w:r>
    </w:p>
    <w:p>
      <w:pPr>
        <w:spacing w:after="0" w:line="209" w:lineRule="exact"/>
        <w:rPr>
          <w:sz w:val="20"/>
          <w:szCs w:val="20"/>
          <w:color w:val="auto"/>
        </w:rPr>
      </w:pPr>
    </w:p>
    <w:p>
      <w:pPr>
        <w:jc w:val="both"/>
        <w:spacing w:after="0" w:line="293" w:lineRule="auto"/>
        <w:rPr>
          <w:sz w:val="20"/>
          <w:szCs w:val="20"/>
          <w:color w:val="auto"/>
        </w:rPr>
      </w:pPr>
      <w:r>
        <w:rPr>
          <w:rFonts w:ascii="Arial" w:cs="Arial" w:eastAsia="Arial" w:hAnsi="Arial"/>
          <w:sz w:val="13"/>
          <w:szCs w:val="13"/>
          <w:color w:val="auto"/>
        </w:rPr>
        <w:t>Loans held for investment were $2.75 billion as of December 31, 2022, compared to $2.69 billion as of September 30, 2022 and $2.44 billion as of December 31, 2021. The $57.7 million, or 2.1%, increase during the fourth quarter of 2022 as compared to the third quarter of 2022 was primarily the result of organic net loan growth. This loan growth remained relationship-focused and occurred primarily in commercial real estate loans, residential mortgage loans, and consumer auto loans, partially offset by a decrease in hotel loans and agricultural production loans. As of December 31, 2022, loans held for investment increased $310.5 million, or 12.7% year over year, from December 31, 2021, primarily attributable to strong organic loan growth.</w:t>
      </w:r>
    </w:p>
    <w:p>
      <w:pPr>
        <w:spacing w:after="0" w:line="152" w:lineRule="exact"/>
        <w:rPr>
          <w:sz w:val="20"/>
          <w:szCs w:val="20"/>
          <w:color w:val="auto"/>
        </w:rPr>
      </w:pPr>
    </w:p>
    <w:p>
      <w:pPr>
        <w:jc w:val="both"/>
        <w:spacing w:after="0" w:line="287" w:lineRule="auto"/>
        <w:rPr>
          <w:sz w:val="20"/>
          <w:szCs w:val="20"/>
          <w:color w:val="auto"/>
        </w:rPr>
      </w:pPr>
      <w:r>
        <w:rPr>
          <w:rFonts w:ascii="Arial" w:cs="Arial" w:eastAsia="Arial" w:hAnsi="Arial"/>
          <w:sz w:val="14"/>
          <w:szCs w:val="14"/>
          <w:color w:val="auto"/>
        </w:rPr>
        <w:t>Agricultural production loans were $66.5 million as of December 31, 2022, compared to $94.1 million as of September 30, 2022 and $103.0 million as of December 31, 2021. The typical funding of these agricultural production loans during 2022 was below normal given the drought conditions experienced across the State of Texas.</w:t>
      </w:r>
    </w:p>
    <w:p>
      <w:pPr>
        <w:spacing w:after="0" w:line="14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Deposits and Borrowings</w:t>
      </w:r>
    </w:p>
    <w:p>
      <w:pPr>
        <w:spacing w:after="0" w:line="209" w:lineRule="exact"/>
        <w:rPr>
          <w:sz w:val="20"/>
          <w:szCs w:val="20"/>
          <w:color w:val="auto"/>
        </w:rPr>
      </w:pPr>
    </w:p>
    <w:p>
      <w:pPr>
        <w:jc w:val="both"/>
        <w:spacing w:after="0" w:line="289" w:lineRule="auto"/>
        <w:rPr>
          <w:sz w:val="20"/>
          <w:szCs w:val="20"/>
          <w:color w:val="auto"/>
        </w:rPr>
      </w:pPr>
      <w:r>
        <w:rPr>
          <w:rFonts w:ascii="Arial" w:cs="Arial" w:eastAsia="Arial" w:hAnsi="Arial"/>
          <w:sz w:val="13"/>
          <w:szCs w:val="13"/>
          <w:color w:val="auto"/>
        </w:rPr>
        <w:t>Deposits totaled $3.41 billion as of December 31, 2022, compared to $3.46 billion as of September 30, 2022 and $3.34 billion as of December 31, 2021. Deposits decreased by $54.1 million, or 1.6%, in the fourth quarter of 2022 from September 30, 2022. As of December 31, 2022, deposits increased $65.2 million, or 2.0% year over year, from December 31, 2021. Noninterest-bearing deposits were $1.15 billion as of December 31, 2022, compared to $1.26 billion as of September 30, 2022 and $1.07 billion as of December 31, 2021. Noninterest-bearing deposits represented 33.4% of total deposits as of December 31, 2022. The quarterly decrease in deposits was mainly the result of increased competition for deposits amid overall deposit outflows in the United States banking system. The year-over-year increase in deposits is primarily a result of organic growth noted through the first three quarters of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193675</wp:posOffset>
            </wp:positionV>
            <wp:extent cx="7160260" cy="1397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5" w:name="page6"/>
    <w:bookmarkEnd w:id="5"/>
    <w:p>
      <w:pPr>
        <w:spacing w:after="0"/>
        <w:rPr>
          <w:sz w:val="20"/>
          <w:szCs w:val="20"/>
          <w:color w:val="auto"/>
        </w:rPr>
      </w:pPr>
      <w:r>
        <w:rPr>
          <w:rFonts w:ascii="Arial" w:cs="Arial" w:eastAsia="Arial" w:hAnsi="Arial"/>
          <w:sz w:val="14"/>
          <w:szCs w:val="14"/>
          <w:b w:val="1"/>
          <w:bCs w:val="1"/>
          <w:color w:val="auto"/>
        </w:rPr>
        <w:t>Asset Quality</w:t>
      </w:r>
    </w:p>
    <w:p>
      <w:pPr>
        <w:spacing w:after="0" w:line="209" w:lineRule="exact"/>
        <w:rPr>
          <w:sz w:val="20"/>
          <w:szCs w:val="20"/>
          <w:color w:val="auto"/>
        </w:rPr>
      </w:pPr>
    </w:p>
    <w:p>
      <w:pPr>
        <w:jc w:val="both"/>
        <w:spacing w:after="0" w:line="293" w:lineRule="auto"/>
        <w:rPr>
          <w:sz w:val="20"/>
          <w:szCs w:val="20"/>
          <w:color w:val="auto"/>
        </w:rPr>
      </w:pPr>
      <w:r>
        <w:rPr>
          <w:rFonts w:ascii="Arial" w:cs="Arial" w:eastAsia="Arial" w:hAnsi="Arial"/>
          <w:sz w:val="13"/>
          <w:szCs w:val="13"/>
          <w:color w:val="auto"/>
        </w:rPr>
        <w:t>The Company recorded a provision for loan losses in the fourth quarter of 2022 of $248 thousand, compared to a negative provision of $782 thousand in the third quarter of 2022 and no provision in the fourth quarter of 2021. The Company continued to largely experience stable credit metrics in the loan portfolio during the fourth quarter of 2022. There were improvements specifically noted in the hotel segment, which had a net reduction in outstanding principal of $16.8 million during the quarter. Nevertheless, forecasted economic conditions continue to remain uncertain due to the continued rising interest rate environment and persistent high inflation levels in the United States, and provisions for loan losses may be necessary in future periods.</w:t>
      </w:r>
    </w:p>
    <w:p>
      <w:pPr>
        <w:spacing w:after="0" w:line="152" w:lineRule="exact"/>
        <w:rPr>
          <w:sz w:val="20"/>
          <w:szCs w:val="20"/>
          <w:color w:val="auto"/>
        </w:rPr>
      </w:pPr>
    </w:p>
    <w:p>
      <w:pPr>
        <w:spacing w:after="0"/>
        <w:rPr>
          <w:sz w:val="20"/>
          <w:szCs w:val="20"/>
          <w:color w:val="auto"/>
        </w:rPr>
      </w:pPr>
      <w:r>
        <w:rPr>
          <w:rFonts w:ascii="Arial" w:cs="Arial" w:eastAsia="Arial" w:hAnsi="Arial"/>
          <w:sz w:val="13"/>
          <w:szCs w:val="13"/>
          <w:color w:val="auto"/>
        </w:rPr>
        <w:t>The ratio of allowance for loan losses to loans held for investment was 1.43% as of December 31, 2022, compared to 1.47% as of September 30, 2022 and 1.73% as of December 31, 2021.</w:t>
      </w:r>
    </w:p>
    <w:p>
      <w:pPr>
        <w:spacing w:after="0" w:line="216" w:lineRule="exact"/>
        <w:rPr>
          <w:sz w:val="20"/>
          <w:szCs w:val="20"/>
          <w:color w:val="auto"/>
        </w:rPr>
      </w:pPr>
    </w:p>
    <w:p>
      <w:pPr>
        <w:jc w:val="both"/>
        <w:spacing w:after="0" w:line="287" w:lineRule="auto"/>
        <w:rPr>
          <w:sz w:val="20"/>
          <w:szCs w:val="20"/>
          <w:color w:val="auto"/>
        </w:rPr>
      </w:pPr>
      <w:r>
        <w:rPr>
          <w:rFonts w:ascii="Arial" w:cs="Arial" w:eastAsia="Arial" w:hAnsi="Arial"/>
          <w:sz w:val="14"/>
          <w:szCs w:val="14"/>
          <w:color w:val="auto"/>
        </w:rPr>
        <w:t>The ratio of nonperforming assets to total assets as of December 31, 2022 was 0.20%, compared to 0.20% as of September 30, 2022 and 0.30% at December 31, 2021. Annualized net charge-offs (recoveries) were 0.09% for the fourth quarter of 2022, compared to (0.10)% for the third quarter of 2022 and 0.11% for the fourth quarter of 2021.</w:t>
      </w:r>
    </w:p>
    <w:p>
      <w:pPr>
        <w:spacing w:after="0" w:line="14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Capital</w:t>
      </w:r>
    </w:p>
    <w:p>
      <w:pPr>
        <w:spacing w:after="0" w:line="209" w:lineRule="exact"/>
        <w:rPr>
          <w:sz w:val="20"/>
          <w:szCs w:val="20"/>
          <w:color w:val="auto"/>
        </w:rPr>
      </w:pPr>
    </w:p>
    <w:p>
      <w:pPr>
        <w:jc w:val="both"/>
        <w:spacing w:after="0" w:line="272" w:lineRule="auto"/>
        <w:rPr>
          <w:sz w:val="20"/>
          <w:szCs w:val="20"/>
          <w:color w:val="auto"/>
        </w:rPr>
      </w:pPr>
      <w:r>
        <w:rPr>
          <w:rFonts w:ascii="Arial" w:cs="Arial" w:eastAsia="Arial" w:hAnsi="Arial"/>
          <w:sz w:val="14"/>
          <w:szCs w:val="14"/>
          <w:color w:val="auto"/>
        </w:rPr>
        <w:t>Book value per share increased to $20.97 at December 31, 2022, compared to $20.03 at September 30, 2022. The increase was mainly driven by an $8.4 million dollar increase in accumulated other comprehensive income (“AOCI”) and by an increase of $10.6 million of net income after dividends paid. The increase in AOCI was attributed to the rise in fair value of our available for sale securities and fair value hedges, net of tax, as a result of decreases in longer-term market interest rates during the period.</w:t>
      </w:r>
    </w:p>
    <w:p>
      <w:pPr>
        <w:spacing w:after="0" w:line="15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Conference Call</w:t>
      </w:r>
    </w:p>
    <w:p>
      <w:pPr>
        <w:spacing w:after="0" w:line="209" w:lineRule="exact"/>
        <w:rPr>
          <w:sz w:val="20"/>
          <w:szCs w:val="20"/>
          <w:color w:val="auto"/>
        </w:rPr>
      </w:pPr>
    </w:p>
    <w:p>
      <w:pPr>
        <w:jc w:val="both"/>
        <w:spacing w:after="0" w:line="272" w:lineRule="auto"/>
        <w:rPr>
          <w:sz w:val="20"/>
          <w:szCs w:val="20"/>
          <w:color w:val="auto"/>
        </w:rPr>
      </w:pPr>
      <w:r>
        <w:rPr>
          <w:rFonts w:ascii="Arial" w:cs="Arial" w:eastAsia="Arial" w:hAnsi="Arial"/>
          <w:sz w:val="14"/>
          <w:szCs w:val="14"/>
          <w:color w:val="auto"/>
        </w:rPr>
        <w:t xml:space="preserve">South Plains will host a conference call to discuss its fourth quarter and year-end 2022 financial results today, January 26, 2023, at 5:00 p.m., Eastern Time. Investors and analysts interested in participating in the call are invited to dial 1-877-407-9716 (international callers please dial 1-201-493-6779) approximately 10 minutes prior to the start of the call. A live audio webcast of the conference call and conference materials will be available on the Company’s website at </w:t>
      </w:r>
      <w:r>
        <w:rPr>
          <w:rFonts w:ascii="Arial" w:cs="Arial" w:eastAsia="Arial" w:hAnsi="Arial"/>
          <w:sz w:val="14"/>
          <w:szCs w:val="14"/>
          <w:u w:val="single" w:color="auto"/>
          <w:color w:val="auto"/>
        </w:rPr>
        <w:t>https://www.spfi.bank/news-events/events</w:t>
      </w:r>
      <w:r>
        <w:rPr>
          <w:rFonts w:ascii="Arial" w:cs="Arial" w:eastAsia="Arial" w:hAnsi="Arial"/>
          <w:sz w:val="14"/>
          <w:szCs w:val="14"/>
          <w:color w:val="auto"/>
        </w:rPr>
        <w:t>.</w:t>
      </w:r>
    </w:p>
    <w:p>
      <w:pPr>
        <w:spacing w:after="0" w:line="163" w:lineRule="exact"/>
        <w:rPr>
          <w:sz w:val="20"/>
          <w:szCs w:val="20"/>
          <w:color w:val="auto"/>
        </w:rPr>
      </w:pPr>
    </w:p>
    <w:p>
      <w:pPr>
        <w:jc w:val="both"/>
        <w:spacing w:after="0" w:line="287" w:lineRule="auto"/>
        <w:rPr>
          <w:sz w:val="20"/>
          <w:szCs w:val="20"/>
          <w:color w:val="auto"/>
        </w:rPr>
      </w:pPr>
      <w:r>
        <w:rPr>
          <w:rFonts w:ascii="Arial" w:cs="Arial" w:eastAsia="Arial" w:hAnsi="Arial"/>
          <w:sz w:val="14"/>
          <w:szCs w:val="14"/>
          <w:color w:val="auto"/>
        </w:rPr>
        <w:t>A replay of the conference call will be available within two hours of the conclusion of the call and can be accessed on the investor section of the Company’s website as well as by dialing 1-844-512-2921 (international callers please dial 1-412-317-6671). The pin to access the telephone replay is 13733502. The replay will be available until February 2, 2023.</w:t>
      </w:r>
    </w:p>
    <w:p>
      <w:pPr>
        <w:spacing w:after="0" w:line="14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About South Plains Financial, Inc.</w:t>
      </w:r>
    </w:p>
    <w:p>
      <w:pPr>
        <w:spacing w:after="0" w:line="209"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 xml:space="preserve">South Plains is the bank holding company for City Bank, a Texas state-chartered bank headquartered in Lubbock, Texas. City Bank is one of the largest independent banks in West Texas and has additional banking operations in the Dallas, El Paso, Greater Houston, the Permian Basin, and College Station, Texas markets, and the Ruidoso, New Mexico market. South Plains provides a wide range of commercial and consumer financial services to small and medium-sized businesses and individuals in its market areas. Its principal business activities include commercial and retail banking, along with insurance, investment, trust and mortgage services. Please visit </w:t>
      </w:r>
      <w:r>
        <w:rPr>
          <w:rFonts w:ascii="Arial" w:cs="Arial" w:eastAsia="Arial" w:hAnsi="Arial"/>
          <w:sz w:val="14"/>
          <w:szCs w:val="14"/>
          <w:u w:val="single" w:color="auto"/>
          <w:color w:val="auto"/>
        </w:rPr>
        <w:t>https://www.spfi.bank</w:t>
      </w:r>
      <w:r>
        <w:rPr>
          <w:rFonts w:ascii="Arial" w:cs="Arial" w:eastAsia="Arial" w:hAnsi="Arial"/>
          <w:sz w:val="14"/>
          <w:szCs w:val="14"/>
          <w:color w:val="auto"/>
        </w:rPr>
        <w:t xml:space="preserve"> for more information.</w:t>
      </w:r>
    </w:p>
    <w:p>
      <w:pPr>
        <w:spacing w:after="0" w:line="16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Non-GAAP Financial Measures</w:t>
      </w:r>
    </w:p>
    <w:p>
      <w:pPr>
        <w:spacing w:after="0" w:line="209"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Some of the financial measures included in this press release are not measures of financial performance recognized in accordance with generally accepted accounting principles in the United States (“GAAP”). These non-GAAP financial measures include Tangible Book Value Per Share, Tangible Common Equity to Tangible Assets, and Pre-Tax, Pre-Provision Income. The Company believes these non-GAAP financial measures provide both management and investors a more complete understanding of the Company’s financial position and performance. These non-GAAP financial measures are supplemental and are not a substitute for any analysis based on GAAP financial measures.</w:t>
      </w:r>
    </w:p>
    <w:p>
      <w:pPr>
        <w:spacing w:after="0" w:line="169"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We classify a financial measure as being a non-GAAP financial measure if that financial measure excludes or includes amounts, or is subject to adjustments that have the effect of excluding or including amounts, that are included or excluded, as the case may be, in the most directly comparable measure calculated and presented in accordance with GAAP as in effect from time to time in the United States in our statements of income, balance sheets or statements of cash flows. Not all companies use the same calculation of these measures; therefore, this presentation may not be comparable to other similarly titled measures as presented by other companies.</w:t>
      </w:r>
    </w:p>
    <w:p>
      <w:pPr>
        <w:spacing w:after="0" w:line="169" w:lineRule="exact"/>
        <w:rPr>
          <w:sz w:val="20"/>
          <w:szCs w:val="20"/>
          <w:color w:val="auto"/>
        </w:rPr>
      </w:pPr>
    </w:p>
    <w:p>
      <w:pPr>
        <w:spacing w:after="0"/>
        <w:rPr>
          <w:sz w:val="20"/>
          <w:szCs w:val="20"/>
          <w:color w:val="auto"/>
        </w:rPr>
      </w:pPr>
      <w:r>
        <w:rPr>
          <w:rFonts w:ascii="Arial" w:cs="Arial" w:eastAsia="Arial" w:hAnsi="Arial"/>
          <w:sz w:val="14"/>
          <w:szCs w:val="14"/>
          <w:color w:val="auto"/>
        </w:rPr>
        <w:t>A reconciliation of non-GAAP financial measures to GAAP financial measures is provided at the end of this 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225425</wp:posOffset>
            </wp:positionV>
            <wp:extent cx="7160260" cy="1397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6" w:name="page7"/>
    <w:bookmarkEnd w:id="6"/>
    <w:p>
      <w:pPr>
        <w:spacing w:after="0"/>
        <w:rPr>
          <w:sz w:val="20"/>
          <w:szCs w:val="20"/>
          <w:color w:val="auto"/>
        </w:rPr>
      </w:pPr>
      <w:r>
        <w:rPr>
          <w:rFonts w:ascii="Arial" w:cs="Arial" w:eastAsia="Arial" w:hAnsi="Arial"/>
          <w:sz w:val="14"/>
          <w:szCs w:val="14"/>
          <w:b w:val="1"/>
          <w:bCs w:val="1"/>
          <w:color w:val="auto"/>
        </w:rPr>
        <w:t>Available Information</w:t>
      </w:r>
    </w:p>
    <w:p>
      <w:pPr>
        <w:spacing w:after="0" w:line="209"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 xml:space="preserve">The Company routinely posts important information for investors on its web site (under </w:t>
      </w:r>
      <w:r>
        <w:rPr>
          <w:rFonts w:ascii="Arial" w:cs="Arial" w:eastAsia="Arial" w:hAnsi="Arial"/>
          <w:sz w:val="14"/>
          <w:szCs w:val="14"/>
          <w:u w:val="single" w:color="auto"/>
          <w:color w:val="auto"/>
        </w:rPr>
        <w:t>www.spfi.bank</w:t>
      </w:r>
      <w:r>
        <w:rPr>
          <w:rFonts w:ascii="Arial" w:cs="Arial" w:eastAsia="Arial" w:hAnsi="Arial"/>
          <w:sz w:val="14"/>
          <w:szCs w:val="14"/>
          <w:color w:val="auto"/>
        </w:rPr>
        <w:t xml:space="preserve"> and, more specifically, under the News &amp; Events tab at </w:t>
      </w:r>
      <w:r>
        <w:rPr>
          <w:rFonts w:ascii="Arial" w:cs="Arial" w:eastAsia="Arial" w:hAnsi="Arial"/>
          <w:sz w:val="14"/>
          <w:szCs w:val="14"/>
          <w:u w:val="single" w:color="auto"/>
          <w:color w:val="auto"/>
        </w:rPr>
        <w:t>www.spfi.bank/news-events/press-releases</w:t>
      </w:r>
      <w:r>
        <w:rPr>
          <w:rFonts w:ascii="Arial" w:cs="Arial" w:eastAsia="Arial" w:hAnsi="Arial"/>
          <w:sz w:val="14"/>
          <w:szCs w:val="14"/>
          <w:color w:val="auto"/>
        </w:rPr>
        <w:t>). The Company intends to use its web site as a means of disclosing material non-public information and for complying with its disclosure obligations under Regulation FD (Fair Disclosure) promulgated by the U.S. Securities and Exchange Commission (the “SEC”). Accordingly, investors should monitor the Company’s web site, in addition to following the Company’s press releases, SEC filings, public conference calls, presentations and webcasts.</w:t>
      </w:r>
    </w:p>
    <w:p>
      <w:pPr>
        <w:spacing w:after="0" w:line="169" w:lineRule="exact"/>
        <w:rPr>
          <w:sz w:val="20"/>
          <w:szCs w:val="20"/>
          <w:color w:val="auto"/>
        </w:rPr>
      </w:pPr>
    </w:p>
    <w:p>
      <w:pPr>
        <w:spacing w:after="0"/>
        <w:rPr>
          <w:sz w:val="20"/>
          <w:szCs w:val="20"/>
          <w:color w:val="auto"/>
        </w:rPr>
      </w:pPr>
      <w:r>
        <w:rPr>
          <w:rFonts w:ascii="Arial" w:cs="Arial" w:eastAsia="Arial" w:hAnsi="Arial"/>
          <w:sz w:val="14"/>
          <w:szCs w:val="14"/>
          <w:color w:val="auto"/>
        </w:rPr>
        <w:t>The information contained on, or that may be accessed through, the Company’s web site is not incorporated by reference into, and is not a part of, this document.</w:t>
      </w:r>
    </w:p>
    <w:p>
      <w:pPr>
        <w:spacing w:after="0" w:line="20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Forward Looking Statements</w:t>
      </w:r>
    </w:p>
    <w:p>
      <w:pPr>
        <w:spacing w:after="0" w:line="209" w:lineRule="exact"/>
        <w:rPr>
          <w:sz w:val="20"/>
          <w:szCs w:val="20"/>
          <w:color w:val="auto"/>
        </w:rPr>
      </w:pPr>
    </w:p>
    <w:p>
      <w:pPr>
        <w:jc w:val="both"/>
        <w:spacing w:after="0" w:line="279" w:lineRule="auto"/>
        <w:rPr>
          <w:sz w:val="20"/>
          <w:szCs w:val="20"/>
          <w:color w:val="auto"/>
        </w:rPr>
      </w:pPr>
      <w:r>
        <w:rPr>
          <w:rFonts w:ascii="Arial" w:cs="Arial" w:eastAsia="Arial" w:hAnsi="Arial"/>
          <w:sz w:val="13"/>
          <w:szCs w:val="13"/>
          <w:color w:val="auto"/>
        </w:rPr>
        <w:t>This press release contains forward-looking statements within the meaning of the Private Securities Litigation Reform Act of 1995. These forward-looking statements reflect South Plains’ current views with respect to future events. Any statements about South Plains’ expectations, beliefs, plans, predictions, forecasts, objectives, assumptions or future events or performance are not historical facts and may be forward-looking. These statements are often, but not always, made through the use of words or phrases such as “anticipate,” “believes,” “can,” “could,” “may,” “predicts,” “potential,” “should,” “will,” “estimate,” “plans,” “projects,” “continuing,” “ongoing,” “expects,” “intends” and similar words or phrases. South Plains cautions that the forward-looking statements in this press release are based largely on South Plains’ expectations and are subject to a number of known and unknown risks and uncertainties that are subject to change based on factors which are, in many instances, beyond South Plains’ control. Factors that could cause such changes include, but are not limited to, general economic conditions, the extent of the impact of the COVID-19 pandemic (and any current or future variants thereof) on our customers, changes in market interest rates, the persistence of the current inflationary environment in the United States and our market areas, the uncertain impacts of quantitative tightening and current and future monetary policies of the Federal Reserve, regulatory considerations, competition and market expansion opportunities, changes in non-interest expenditures or in the anticipated benefits of such expenditures, and changes in applicable laws and regulations. Additional information regarding these risks and uncertainties to which South Plains’ business and future financial performance are subject is contained in South Plains’ most recent Annual Report on Form 10-K and Quarterly Reports on Form 10-Q on file with the SEC, and other documents South Plains files with the SEC from time to time. South Plains urges readers of this press release to review the “</w:t>
      </w:r>
      <w:r>
        <w:rPr>
          <w:rFonts w:ascii="Arial" w:cs="Arial" w:eastAsia="Arial" w:hAnsi="Arial"/>
          <w:sz w:val="13"/>
          <w:szCs w:val="13"/>
          <w:i w:val="1"/>
          <w:iCs w:val="1"/>
          <w:color w:val="auto"/>
        </w:rPr>
        <w:t>Risk Factors”</w:t>
      </w:r>
      <w:r>
        <w:rPr>
          <w:rFonts w:ascii="Arial" w:cs="Arial" w:eastAsia="Arial" w:hAnsi="Arial"/>
          <w:sz w:val="13"/>
          <w:szCs w:val="13"/>
          <w:color w:val="auto"/>
        </w:rPr>
        <w:t xml:space="preserve"> section of our most recent Annual Report on Form 10-K, as well as the “</w:t>
      </w:r>
      <w:r>
        <w:rPr>
          <w:rFonts w:ascii="Arial" w:cs="Arial" w:eastAsia="Arial" w:hAnsi="Arial"/>
          <w:sz w:val="13"/>
          <w:szCs w:val="13"/>
          <w:i w:val="1"/>
          <w:iCs w:val="1"/>
          <w:color w:val="auto"/>
        </w:rPr>
        <w:t>Risk Factors</w:t>
      </w:r>
      <w:r>
        <w:rPr>
          <w:rFonts w:ascii="Arial" w:cs="Arial" w:eastAsia="Arial" w:hAnsi="Arial"/>
          <w:sz w:val="13"/>
          <w:szCs w:val="13"/>
          <w:color w:val="auto"/>
        </w:rPr>
        <w:t xml:space="preserve">” section of other documents South Plains files or furnishes with the SEC from time to time, which are available on the SEC’s website, </w:t>
      </w:r>
      <w:r>
        <w:rPr>
          <w:rFonts w:ascii="Arial" w:cs="Arial" w:eastAsia="Arial" w:hAnsi="Arial"/>
          <w:sz w:val="13"/>
          <w:szCs w:val="13"/>
          <w:u w:val="single" w:color="auto"/>
          <w:color w:val="auto"/>
        </w:rPr>
        <w:t>www.sec.gov</w:t>
      </w:r>
      <w:r>
        <w:rPr>
          <w:rFonts w:ascii="Arial" w:cs="Arial" w:eastAsia="Arial" w:hAnsi="Arial"/>
          <w:sz w:val="13"/>
          <w:szCs w:val="13"/>
          <w:color w:val="auto"/>
        </w:rPr>
        <w:t>. Actual results, performance or achievements could differ materially from those contemplated, expressed, or implied by the forward-looking statements due to additional risks and uncertainties of which South Plains is not currently aware or which it does not currently view as, but in the future may become, material to its business or operating results. Due to these and other possible uncertainties and risks, the Company can give no assurance that the results contemplated in the forward-looking statements will be realized and readers are cautioned not to place undue reliance on the forward-looking statements contained in this press release. Any forward-looking statements presented herein are made only as of the date of this press release, and South Plains does not undertake any obligation to update or revise any forward-looking statements to reflect changes in assumptions, new information, the occurrence of unanticipated events, or otherwise, except as required by law. All forward-looking statements, express or implied, included in the press release are qualified in their entirety by this cautionary statement.</w:t>
      </w:r>
    </w:p>
    <w:p>
      <w:pPr>
        <w:spacing w:after="0" w:line="164" w:lineRule="exact"/>
        <w:rPr>
          <w:sz w:val="20"/>
          <w:szCs w:val="20"/>
          <w:color w:val="auto"/>
        </w:rPr>
      </w:pPr>
    </w:p>
    <w:p>
      <w:pPr>
        <w:spacing w:after="0"/>
        <w:tabs>
          <w:tab w:leader="none" w:pos="1340" w:val="left"/>
        </w:tabs>
        <w:rPr>
          <w:sz w:val="20"/>
          <w:szCs w:val="20"/>
          <w:color w:val="auto"/>
        </w:rPr>
      </w:pPr>
      <w:r>
        <w:rPr>
          <w:rFonts w:ascii="Arial" w:cs="Arial" w:eastAsia="Arial" w:hAnsi="Arial"/>
          <w:sz w:val="14"/>
          <w:szCs w:val="14"/>
          <w:color w:val="auto"/>
        </w:rPr>
        <w:t>Contact:</w:t>
      </w:r>
      <w:r>
        <w:rPr>
          <w:sz w:val="20"/>
          <w:szCs w:val="20"/>
          <w:color w:val="auto"/>
        </w:rPr>
        <w:tab/>
      </w:r>
      <w:r>
        <w:rPr>
          <w:rFonts w:ascii="Arial" w:cs="Arial" w:eastAsia="Arial" w:hAnsi="Arial"/>
          <w:sz w:val="14"/>
          <w:szCs w:val="14"/>
          <w:color w:val="auto"/>
        </w:rPr>
        <w:t>Mikella Newsom, Chief Risk Officer and Secretary</w:t>
      </w:r>
    </w:p>
    <w:p>
      <w:pPr>
        <w:spacing w:after="0" w:line="21" w:lineRule="exact"/>
        <w:rPr>
          <w:sz w:val="20"/>
          <w:szCs w:val="20"/>
          <w:color w:val="auto"/>
        </w:rPr>
      </w:pPr>
    </w:p>
    <w:p>
      <w:pPr>
        <w:ind w:left="1360" w:right="8740" w:firstLine="2"/>
        <w:spacing w:after="0" w:line="312" w:lineRule="auto"/>
        <w:tabs>
          <w:tab w:leader="none" w:pos="1706" w:val="left"/>
        </w:tabs>
        <w:numPr>
          <w:ilvl w:val="0"/>
          <w:numId w:val="5"/>
        </w:numPr>
        <w:rPr>
          <w:rFonts w:ascii="Arial" w:cs="Arial" w:eastAsia="Arial" w:hAnsi="Arial"/>
          <w:sz w:val="13"/>
          <w:szCs w:val="13"/>
          <w:color w:val="auto"/>
        </w:rPr>
      </w:pPr>
      <w:r>
        <w:rPr>
          <w:rFonts w:ascii="Arial" w:cs="Arial" w:eastAsia="Arial" w:hAnsi="Arial"/>
          <w:sz w:val="13"/>
          <w:szCs w:val="13"/>
          <w:color w:val="auto"/>
        </w:rPr>
        <w:t xml:space="preserve">771-3347 </w:t>
      </w:r>
      <w:r>
        <w:rPr>
          <w:rFonts w:ascii="Arial" w:cs="Arial" w:eastAsia="Arial" w:hAnsi="Arial"/>
          <w:sz w:val="13"/>
          <w:szCs w:val="13"/>
          <w:u w:val="single" w:color="auto"/>
          <w:color w:val="auto"/>
        </w:rPr>
        <w:t>investors@city.bank</w:t>
      </w:r>
    </w:p>
    <w:p>
      <w:pPr>
        <w:spacing w:after="0" w:line="140" w:lineRule="exact"/>
        <w:rPr>
          <w:sz w:val="20"/>
          <w:szCs w:val="20"/>
          <w:color w:val="auto"/>
        </w:rPr>
      </w:pPr>
    </w:p>
    <w:p>
      <w:pPr>
        <w:spacing w:after="0"/>
        <w:rPr>
          <w:sz w:val="20"/>
          <w:szCs w:val="20"/>
          <w:color w:val="auto"/>
        </w:rPr>
      </w:pPr>
      <w:r>
        <w:rPr>
          <w:rFonts w:ascii="Arial" w:cs="Arial" w:eastAsia="Arial" w:hAnsi="Arial"/>
          <w:sz w:val="14"/>
          <w:szCs w:val="14"/>
          <w:color w:val="auto"/>
        </w:rPr>
        <w:t>Source: South Plains Financial,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225425</wp:posOffset>
            </wp:positionV>
            <wp:extent cx="7160260" cy="139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7" w:name="page8"/>
    <w:bookmarkEnd w:id="7"/>
    <w:p>
      <w:pPr>
        <w:spacing w:after="0"/>
        <w:rPr>
          <w:sz w:val="20"/>
          <w:szCs w:val="20"/>
          <w:color w:val="auto"/>
        </w:rPr>
      </w:pPr>
      <w:r>
        <w:rPr>
          <w:rFonts w:ascii="Arial" w:cs="Arial" w:eastAsia="Arial" w:hAnsi="Arial"/>
          <w:sz w:val="14"/>
          <w:szCs w:val="14"/>
          <w:b w:val="1"/>
          <w:bCs w:val="1"/>
          <w:color w:val="auto"/>
        </w:rPr>
        <w:t>South Plains Financial, Inc.</w:t>
      </w:r>
    </w:p>
    <w:p>
      <w:pPr>
        <w:spacing w:after="0" w:line="2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Consolidated Financial Highlights - (Unaudited)</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(Dollars in thousands, except share data)</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9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80" w:type="dxa"/>
            <w:vAlign w:val="bottom"/>
            <w:gridSpan w:val="7"/>
          </w:tcPr>
          <w:p>
            <w:pPr>
              <w:jc w:val="center"/>
              <w:ind w:left="768"/>
              <w:spacing w:after="0"/>
              <w:rPr>
                <w:sz w:val="20"/>
                <w:szCs w:val="20"/>
                <w:color w:val="auto"/>
              </w:rPr>
            </w:pPr>
            <w:r>
              <w:rPr>
                <w:rFonts w:ascii="Arial" w:cs="Arial" w:eastAsia="Arial" w:hAnsi="Arial"/>
                <w:sz w:val="14"/>
                <w:szCs w:val="14"/>
                <w:b w:val="1"/>
                <w:bCs w:val="1"/>
                <w:color w:val="auto"/>
                <w:w w:val="92"/>
              </w:rPr>
              <w:t>As of and for the quarter ended</w:t>
            </w: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2"/>
        </w:trPr>
        <w:tc>
          <w:tcPr>
            <w:tcW w:w="39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December 31,</w:t>
            </w:r>
          </w:p>
        </w:tc>
        <w:tc>
          <w:tcPr>
            <w:tcW w:w="100" w:type="dxa"/>
            <w:vAlign w:val="bottom"/>
          </w:tcPr>
          <w:p>
            <w:pPr>
              <w:spacing w:after="0"/>
              <w:rPr>
                <w:sz w:val="14"/>
                <w:szCs w:val="14"/>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1"/>
              </w:rPr>
              <w:t>September 30,</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2"/>
              </w:rPr>
              <w:t>June 30,</w:t>
            </w:r>
          </w:p>
        </w:tc>
        <w:tc>
          <w:tcPr>
            <w:tcW w:w="180" w:type="dxa"/>
            <w:vAlign w:val="bottom"/>
          </w:tcPr>
          <w:p>
            <w:pPr>
              <w:spacing w:after="0"/>
              <w:rPr>
                <w:sz w:val="14"/>
                <w:szCs w:val="14"/>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March 31,</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4"/>
              </w:rPr>
              <w:t>December 31,</w:t>
            </w:r>
          </w:p>
        </w:tc>
      </w:tr>
      <w:tr>
        <w:trPr>
          <w:trHeight w:val="188"/>
        </w:trPr>
        <w:tc>
          <w:tcPr>
            <w:tcW w:w="39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w w:val="89"/>
              </w:rPr>
              <w:t>2022</w:t>
            </w:r>
          </w:p>
        </w:tc>
        <w:tc>
          <w:tcPr>
            <w:tcW w:w="2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2022</w:t>
            </w: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r>
      <w:tr>
        <w:trPr>
          <w:trHeight w:val="171"/>
        </w:trPr>
        <w:tc>
          <w:tcPr>
            <w:tcW w:w="3980" w:type="dxa"/>
            <w:vAlign w:val="bottom"/>
          </w:tcPr>
          <w:p>
            <w:pPr>
              <w:spacing w:after="0"/>
              <w:rPr>
                <w:sz w:val="20"/>
                <w:szCs w:val="20"/>
                <w:color w:val="auto"/>
              </w:rPr>
            </w:pPr>
            <w:r>
              <w:rPr>
                <w:rFonts w:ascii="Arial" w:cs="Arial" w:eastAsia="Arial" w:hAnsi="Arial"/>
                <w:sz w:val="14"/>
                <w:szCs w:val="14"/>
                <w:b w:val="1"/>
                <w:bCs w:val="1"/>
                <w:color w:val="auto"/>
              </w:rPr>
              <w:t>Selected Income Statement Data:</w:t>
            </w: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3"/>
        </w:trPr>
        <w:tc>
          <w:tcPr>
            <w:tcW w:w="3980" w:type="dxa"/>
            <w:vAlign w:val="bottom"/>
            <w:shd w:val="clear" w:color="auto" w:fill="CCEEFF"/>
          </w:tcPr>
          <w:p>
            <w:pPr>
              <w:spacing w:after="0"/>
              <w:rPr>
                <w:sz w:val="20"/>
                <w:szCs w:val="20"/>
                <w:color w:val="auto"/>
              </w:rPr>
            </w:pPr>
            <w:r>
              <w:rPr>
                <w:rFonts w:ascii="Arial" w:cs="Arial" w:eastAsia="Arial" w:hAnsi="Arial"/>
                <w:sz w:val="14"/>
                <w:szCs w:val="14"/>
                <w:color w:val="auto"/>
              </w:rPr>
              <w:t>Interest income</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46,228</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41,108</w:t>
            </w:r>
          </w:p>
        </w:tc>
        <w:tc>
          <w:tcPr>
            <w:tcW w:w="2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40,752</w:t>
            </w:r>
          </w:p>
        </w:tc>
        <w:tc>
          <w:tcPr>
            <w:tcW w:w="180" w:type="dxa"/>
            <w:vAlign w:val="bottom"/>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33,080</w:t>
            </w:r>
          </w:p>
        </w:tc>
        <w:tc>
          <w:tcPr>
            <w:tcW w:w="1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34,600</w:t>
            </w:r>
          </w:p>
        </w:tc>
      </w:tr>
      <w:tr>
        <w:trPr>
          <w:trHeight w:val="172"/>
        </w:trPr>
        <w:tc>
          <w:tcPr>
            <w:tcW w:w="3980" w:type="dxa"/>
            <w:vAlign w:val="bottom"/>
          </w:tcPr>
          <w:p>
            <w:pPr>
              <w:spacing w:after="0"/>
              <w:rPr>
                <w:sz w:val="20"/>
                <w:szCs w:val="20"/>
                <w:color w:val="auto"/>
              </w:rPr>
            </w:pPr>
            <w:r>
              <w:rPr>
                <w:rFonts w:ascii="Arial" w:cs="Arial" w:eastAsia="Arial" w:hAnsi="Arial"/>
                <w:sz w:val="14"/>
                <w:szCs w:val="14"/>
                <w:color w:val="auto"/>
              </w:rPr>
              <w:t>Interest expense</w:t>
            </w: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4"/>
                <w:szCs w:val="14"/>
                <w:color w:val="auto"/>
              </w:rPr>
              <w:t>9,906</w:t>
            </w:r>
          </w:p>
        </w:tc>
        <w:tc>
          <w:tcPr>
            <w:tcW w:w="100" w:type="dxa"/>
            <w:vAlign w:val="bottom"/>
          </w:tcPr>
          <w:p>
            <w:pPr>
              <w:spacing w:after="0"/>
              <w:rPr>
                <w:sz w:val="14"/>
                <w:szCs w:val="14"/>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6,006</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3,647</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4"/>
                <w:szCs w:val="14"/>
                <w:color w:val="auto"/>
              </w:rPr>
              <w:t>3,133</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3,151</w:t>
            </w:r>
          </w:p>
        </w:tc>
        <w:tc>
          <w:tcPr>
            <w:tcW w:w="120" w:type="dxa"/>
            <w:vAlign w:val="bottom"/>
          </w:tcPr>
          <w:p>
            <w:pPr>
              <w:spacing w:after="0"/>
              <w:rPr>
                <w:sz w:val="14"/>
                <w:szCs w:val="14"/>
                <w:color w:val="auto"/>
              </w:rPr>
            </w:pPr>
          </w:p>
        </w:tc>
      </w:tr>
      <w:tr>
        <w:trPr>
          <w:trHeight w:val="172"/>
        </w:trPr>
        <w:tc>
          <w:tcPr>
            <w:tcW w:w="3980" w:type="dxa"/>
            <w:vAlign w:val="bottom"/>
            <w:shd w:val="clear" w:color="auto" w:fill="CCEEFF"/>
          </w:tcPr>
          <w:p>
            <w:pPr>
              <w:spacing w:after="0"/>
              <w:rPr>
                <w:sz w:val="20"/>
                <w:szCs w:val="20"/>
                <w:color w:val="auto"/>
              </w:rPr>
            </w:pPr>
            <w:r>
              <w:rPr>
                <w:rFonts w:ascii="Arial" w:cs="Arial" w:eastAsia="Arial" w:hAnsi="Arial"/>
                <w:sz w:val="14"/>
                <w:szCs w:val="14"/>
                <w:color w:val="auto"/>
              </w:rPr>
              <w:t>Net interest income</w:t>
            </w: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36,322</w:t>
            </w:r>
          </w:p>
        </w:tc>
        <w:tc>
          <w:tcPr>
            <w:tcW w:w="10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35,102</w:t>
            </w: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37,105</w:t>
            </w:r>
          </w:p>
        </w:tc>
        <w:tc>
          <w:tcPr>
            <w:tcW w:w="18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29,947</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31,449</w:t>
            </w:r>
          </w:p>
        </w:tc>
      </w:tr>
      <w:tr>
        <w:trPr>
          <w:trHeight w:val="172"/>
        </w:trPr>
        <w:tc>
          <w:tcPr>
            <w:tcW w:w="3980" w:type="dxa"/>
            <w:vAlign w:val="bottom"/>
          </w:tcPr>
          <w:p>
            <w:pPr>
              <w:spacing w:after="0"/>
              <w:rPr>
                <w:sz w:val="20"/>
                <w:szCs w:val="20"/>
                <w:color w:val="auto"/>
              </w:rPr>
            </w:pPr>
            <w:r>
              <w:rPr>
                <w:rFonts w:ascii="Arial" w:cs="Arial" w:eastAsia="Arial" w:hAnsi="Arial"/>
                <w:sz w:val="14"/>
                <w:szCs w:val="14"/>
                <w:color w:val="auto"/>
              </w:rPr>
              <w:t>Provision for loan losses</w:t>
            </w: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4"/>
                <w:szCs w:val="14"/>
                <w:color w:val="auto"/>
              </w:rPr>
              <w:t>248</w:t>
            </w:r>
          </w:p>
        </w:tc>
        <w:tc>
          <w:tcPr>
            <w:tcW w:w="100" w:type="dxa"/>
            <w:vAlign w:val="bottom"/>
          </w:tcPr>
          <w:p>
            <w:pPr>
              <w:spacing w:after="0"/>
              <w:rPr>
                <w:sz w:val="14"/>
                <w:szCs w:val="14"/>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4"/>
                <w:szCs w:val="14"/>
                <w:color w:val="auto"/>
              </w:rPr>
              <w:t>(782)</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4"/>
                <w:szCs w:val="14"/>
                <w:color w:val="auto"/>
              </w:rPr>
              <w:t>(2,085)</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r>
      <w:tr>
        <w:trPr>
          <w:trHeight w:val="172"/>
        </w:trPr>
        <w:tc>
          <w:tcPr>
            <w:tcW w:w="3980" w:type="dxa"/>
            <w:vAlign w:val="bottom"/>
            <w:shd w:val="clear" w:color="auto" w:fill="CCEEFF"/>
          </w:tcPr>
          <w:p>
            <w:pPr>
              <w:spacing w:after="0"/>
              <w:rPr>
                <w:sz w:val="20"/>
                <w:szCs w:val="20"/>
                <w:color w:val="auto"/>
              </w:rPr>
            </w:pPr>
            <w:r>
              <w:rPr>
                <w:rFonts w:ascii="Arial" w:cs="Arial" w:eastAsia="Arial" w:hAnsi="Arial"/>
                <w:sz w:val="14"/>
                <w:szCs w:val="14"/>
                <w:color w:val="auto"/>
              </w:rPr>
              <w:t>Noninterest income</w:t>
            </w: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12,676</w:t>
            </w:r>
          </w:p>
        </w:tc>
        <w:tc>
          <w:tcPr>
            <w:tcW w:w="10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20,937</w:t>
            </w: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18,835</w:t>
            </w:r>
          </w:p>
        </w:tc>
        <w:tc>
          <w:tcPr>
            <w:tcW w:w="18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23,697</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22,928</w:t>
            </w:r>
          </w:p>
        </w:tc>
      </w:tr>
      <w:tr>
        <w:trPr>
          <w:trHeight w:val="172"/>
        </w:trPr>
        <w:tc>
          <w:tcPr>
            <w:tcW w:w="3980" w:type="dxa"/>
            <w:vAlign w:val="bottom"/>
          </w:tcPr>
          <w:p>
            <w:pPr>
              <w:spacing w:after="0"/>
              <w:rPr>
                <w:sz w:val="20"/>
                <w:szCs w:val="20"/>
                <w:color w:val="auto"/>
              </w:rPr>
            </w:pPr>
            <w:r>
              <w:rPr>
                <w:rFonts w:ascii="Arial" w:cs="Arial" w:eastAsia="Arial" w:hAnsi="Arial"/>
                <w:sz w:val="14"/>
                <w:szCs w:val="14"/>
                <w:color w:val="auto"/>
              </w:rPr>
              <w:t>Noninterest expense</w:t>
            </w: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4"/>
                <w:szCs w:val="14"/>
                <w:color w:val="auto"/>
              </w:rPr>
              <w:t>32,708</w:t>
            </w:r>
          </w:p>
        </w:tc>
        <w:tc>
          <w:tcPr>
            <w:tcW w:w="100" w:type="dxa"/>
            <w:vAlign w:val="bottom"/>
          </w:tcPr>
          <w:p>
            <w:pPr>
              <w:spacing w:after="0"/>
              <w:rPr>
                <w:sz w:val="14"/>
                <w:szCs w:val="14"/>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37,401</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4"/>
                <w:szCs w:val="14"/>
                <w:color w:val="auto"/>
              </w:rPr>
              <w:t>36,056</w:t>
            </w:r>
          </w:p>
        </w:tc>
        <w:tc>
          <w:tcPr>
            <w:tcW w:w="180" w:type="dxa"/>
            <w:vAlign w:val="bottom"/>
          </w:tcPr>
          <w:p>
            <w:pPr>
              <w:spacing w:after="0"/>
              <w:rPr>
                <w:sz w:val="14"/>
                <w:szCs w:val="14"/>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4"/>
                <w:szCs w:val="14"/>
                <w:color w:val="auto"/>
              </w:rPr>
              <w:t>37,924</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4"/>
                <w:szCs w:val="14"/>
                <w:color w:val="auto"/>
              </w:rPr>
              <w:t>36,132</w:t>
            </w:r>
          </w:p>
        </w:tc>
      </w:tr>
      <w:tr>
        <w:trPr>
          <w:trHeight w:val="172"/>
        </w:trPr>
        <w:tc>
          <w:tcPr>
            <w:tcW w:w="3980" w:type="dxa"/>
            <w:vAlign w:val="bottom"/>
            <w:shd w:val="clear" w:color="auto" w:fill="CCEEFF"/>
          </w:tcPr>
          <w:p>
            <w:pPr>
              <w:spacing w:after="0"/>
              <w:rPr>
                <w:sz w:val="20"/>
                <w:szCs w:val="20"/>
                <w:color w:val="auto"/>
              </w:rPr>
            </w:pPr>
            <w:r>
              <w:rPr>
                <w:rFonts w:ascii="Arial" w:cs="Arial" w:eastAsia="Arial" w:hAnsi="Arial"/>
                <w:sz w:val="14"/>
                <w:szCs w:val="14"/>
                <w:color w:val="auto"/>
              </w:rPr>
              <w:t>Income tax expense</w:t>
            </w: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3,421</w:t>
            </w:r>
          </w:p>
        </w:tc>
        <w:tc>
          <w:tcPr>
            <w:tcW w:w="10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3,962</w:t>
            </w: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4,001</w:t>
            </w:r>
          </w:p>
        </w:tc>
        <w:tc>
          <w:tcPr>
            <w:tcW w:w="2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3,527</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3,631</w:t>
            </w:r>
          </w:p>
        </w:tc>
        <w:tc>
          <w:tcPr>
            <w:tcW w:w="120" w:type="dxa"/>
            <w:vAlign w:val="bottom"/>
            <w:shd w:val="clear" w:color="auto" w:fill="CCEEFF"/>
          </w:tcPr>
          <w:p>
            <w:pPr>
              <w:spacing w:after="0"/>
              <w:rPr>
                <w:sz w:val="14"/>
                <w:szCs w:val="14"/>
                <w:color w:val="auto"/>
              </w:rPr>
            </w:pPr>
          </w:p>
        </w:tc>
      </w:tr>
      <w:tr>
        <w:trPr>
          <w:trHeight w:val="172"/>
        </w:trPr>
        <w:tc>
          <w:tcPr>
            <w:tcW w:w="3980" w:type="dxa"/>
            <w:vAlign w:val="bottom"/>
          </w:tcPr>
          <w:p>
            <w:pPr>
              <w:spacing w:after="0"/>
              <w:rPr>
                <w:sz w:val="20"/>
                <w:szCs w:val="20"/>
                <w:color w:val="auto"/>
              </w:rPr>
            </w:pPr>
            <w:r>
              <w:rPr>
                <w:rFonts w:ascii="Arial" w:cs="Arial" w:eastAsia="Arial" w:hAnsi="Arial"/>
                <w:sz w:val="14"/>
                <w:szCs w:val="14"/>
                <w:color w:val="auto"/>
              </w:rPr>
              <w:t>Net income</w:t>
            </w: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4"/>
                <w:szCs w:val="14"/>
                <w:color w:val="auto"/>
              </w:rPr>
              <w:t>12,621</w:t>
            </w:r>
          </w:p>
        </w:tc>
        <w:tc>
          <w:tcPr>
            <w:tcW w:w="100" w:type="dxa"/>
            <w:vAlign w:val="bottom"/>
          </w:tcPr>
          <w:p>
            <w:pPr>
              <w:spacing w:after="0"/>
              <w:rPr>
                <w:sz w:val="14"/>
                <w:szCs w:val="14"/>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15,458</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4"/>
                <w:szCs w:val="14"/>
                <w:color w:val="auto"/>
              </w:rPr>
              <w:t>15,883</w:t>
            </w:r>
          </w:p>
        </w:tc>
        <w:tc>
          <w:tcPr>
            <w:tcW w:w="180" w:type="dxa"/>
            <w:vAlign w:val="bottom"/>
          </w:tcPr>
          <w:p>
            <w:pPr>
              <w:spacing w:after="0"/>
              <w:rPr>
                <w:sz w:val="14"/>
                <w:szCs w:val="14"/>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4"/>
                <w:szCs w:val="14"/>
                <w:color w:val="auto"/>
              </w:rPr>
              <w:t>14,278</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4"/>
                <w:szCs w:val="14"/>
                <w:color w:val="auto"/>
              </w:rPr>
              <w:t>14,614</w:t>
            </w:r>
          </w:p>
        </w:tc>
      </w:tr>
      <w:tr>
        <w:trPr>
          <w:trHeight w:val="172"/>
        </w:trPr>
        <w:tc>
          <w:tcPr>
            <w:tcW w:w="39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Per Share Data (Common Stock):</w:t>
            </w: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r>
      <w:tr>
        <w:trPr>
          <w:trHeight w:val="172"/>
        </w:trPr>
        <w:tc>
          <w:tcPr>
            <w:tcW w:w="3980" w:type="dxa"/>
            <w:vAlign w:val="bottom"/>
          </w:tcPr>
          <w:p>
            <w:pPr>
              <w:spacing w:after="0"/>
              <w:rPr>
                <w:sz w:val="20"/>
                <w:szCs w:val="20"/>
                <w:color w:val="auto"/>
              </w:rPr>
            </w:pPr>
            <w:r>
              <w:rPr>
                <w:rFonts w:ascii="Arial" w:cs="Arial" w:eastAsia="Arial" w:hAnsi="Arial"/>
                <w:sz w:val="14"/>
                <w:szCs w:val="14"/>
                <w:color w:val="auto"/>
              </w:rPr>
              <w:t>Net earnings, basic</w:t>
            </w: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4"/>
                <w:szCs w:val="14"/>
                <w:color w:val="auto"/>
              </w:rPr>
              <w:t>0.74</w:t>
            </w:r>
          </w:p>
        </w:tc>
        <w:tc>
          <w:tcPr>
            <w:tcW w:w="100" w:type="dxa"/>
            <w:vAlign w:val="bottom"/>
          </w:tcPr>
          <w:p>
            <w:pPr>
              <w:spacing w:after="0"/>
              <w:rPr>
                <w:sz w:val="14"/>
                <w:szCs w:val="14"/>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0.89</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4"/>
                <w:szCs w:val="14"/>
                <w:color w:val="auto"/>
              </w:rPr>
              <w:t>0.91</w:t>
            </w:r>
          </w:p>
        </w:tc>
        <w:tc>
          <w:tcPr>
            <w:tcW w:w="180" w:type="dxa"/>
            <w:vAlign w:val="bottom"/>
          </w:tcPr>
          <w:p>
            <w:pPr>
              <w:spacing w:after="0"/>
              <w:rPr>
                <w:sz w:val="14"/>
                <w:szCs w:val="14"/>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4"/>
                <w:szCs w:val="14"/>
                <w:color w:val="auto"/>
              </w:rPr>
              <w:t>0.81</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4"/>
                <w:szCs w:val="14"/>
                <w:color w:val="auto"/>
              </w:rPr>
              <w:t>0.82</w:t>
            </w:r>
          </w:p>
        </w:tc>
      </w:tr>
      <w:tr>
        <w:trPr>
          <w:trHeight w:val="172"/>
        </w:trPr>
        <w:tc>
          <w:tcPr>
            <w:tcW w:w="3980" w:type="dxa"/>
            <w:vAlign w:val="bottom"/>
            <w:shd w:val="clear" w:color="auto" w:fill="CCEEFF"/>
          </w:tcPr>
          <w:p>
            <w:pPr>
              <w:spacing w:after="0"/>
              <w:rPr>
                <w:sz w:val="20"/>
                <w:szCs w:val="20"/>
                <w:color w:val="auto"/>
              </w:rPr>
            </w:pPr>
            <w:r>
              <w:rPr>
                <w:rFonts w:ascii="Arial" w:cs="Arial" w:eastAsia="Arial" w:hAnsi="Arial"/>
                <w:sz w:val="14"/>
                <w:szCs w:val="14"/>
                <w:color w:val="auto"/>
              </w:rPr>
              <w:t>Net earnings, diluted</w:t>
            </w: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0.71</w:t>
            </w:r>
          </w:p>
        </w:tc>
        <w:tc>
          <w:tcPr>
            <w:tcW w:w="10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0.86</w:t>
            </w: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0.88</w:t>
            </w:r>
          </w:p>
        </w:tc>
        <w:tc>
          <w:tcPr>
            <w:tcW w:w="18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0.78</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0.79</w:t>
            </w:r>
          </w:p>
        </w:tc>
      </w:tr>
      <w:tr>
        <w:trPr>
          <w:trHeight w:val="172"/>
        </w:trPr>
        <w:tc>
          <w:tcPr>
            <w:tcW w:w="3980" w:type="dxa"/>
            <w:vAlign w:val="bottom"/>
          </w:tcPr>
          <w:p>
            <w:pPr>
              <w:spacing w:after="0"/>
              <w:rPr>
                <w:sz w:val="20"/>
                <w:szCs w:val="20"/>
                <w:color w:val="auto"/>
              </w:rPr>
            </w:pPr>
            <w:r>
              <w:rPr>
                <w:rFonts w:ascii="Arial" w:cs="Arial" w:eastAsia="Arial" w:hAnsi="Arial"/>
                <w:sz w:val="14"/>
                <w:szCs w:val="14"/>
                <w:color w:val="auto"/>
              </w:rPr>
              <w:t>Cash dividends declared and paid</w:t>
            </w: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4"/>
                <w:szCs w:val="14"/>
                <w:color w:val="auto"/>
              </w:rPr>
              <w:t>0.12</w:t>
            </w:r>
          </w:p>
        </w:tc>
        <w:tc>
          <w:tcPr>
            <w:tcW w:w="100" w:type="dxa"/>
            <w:vAlign w:val="bottom"/>
          </w:tcPr>
          <w:p>
            <w:pPr>
              <w:spacing w:after="0"/>
              <w:rPr>
                <w:sz w:val="14"/>
                <w:szCs w:val="14"/>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0.12</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0.11</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4"/>
                <w:szCs w:val="14"/>
                <w:color w:val="auto"/>
              </w:rPr>
              <w:t>0.11</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4"/>
                <w:szCs w:val="14"/>
                <w:color w:val="auto"/>
              </w:rPr>
              <w:t>0.09</w:t>
            </w:r>
          </w:p>
        </w:tc>
      </w:tr>
      <w:tr>
        <w:trPr>
          <w:trHeight w:val="172"/>
        </w:trPr>
        <w:tc>
          <w:tcPr>
            <w:tcW w:w="3980" w:type="dxa"/>
            <w:vAlign w:val="bottom"/>
            <w:shd w:val="clear" w:color="auto" w:fill="CCEEFF"/>
          </w:tcPr>
          <w:p>
            <w:pPr>
              <w:spacing w:after="0"/>
              <w:rPr>
                <w:sz w:val="20"/>
                <w:szCs w:val="20"/>
                <w:color w:val="auto"/>
              </w:rPr>
            </w:pPr>
            <w:r>
              <w:rPr>
                <w:rFonts w:ascii="Arial" w:cs="Arial" w:eastAsia="Arial" w:hAnsi="Arial"/>
                <w:sz w:val="14"/>
                <w:szCs w:val="14"/>
                <w:color w:val="auto"/>
              </w:rPr>
              <w:t>Book value</w:t>
            </w: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20.97</w:t>
            </w:r>
          </w:p>
        </w:tc>
        <w:tc>
          <w:tcPr>
            <w:tcW w:w="10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20.03</w:t>
            </w: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20.91</w:t>
            </w:r>
          </w:p>
        </w:tc>
        <w:tc>
          <w:tcPr>
            <w:tcW w:w="2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21.90</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22.94</w:t>
            </w:r>
          </w:p>
        </w:tc>
        <w:tc>
          <w:tcPr>
            <w:tcW w:w="120" w:type="dxa"/>
            <w:vAlign w:val="bottom"/>
            <w:shd w:val="clear" w:color="auto" w:fill="CCEEFF"/>
          </w:tcPr>
          <w:p>
            <w:pPr>
              <w:spacing w:after="0"/>
              <w:rPr>
                <w:sz w:val="14"/>
                <w:szCs w:val="14"/>
                <w:color w:val="auto"/>
              </w:rPr>
            </w:pPr>
          </w:p>
        </w:tc>
      </w:tr>
      <w:tr>
        <w:trPr>
          <w:trHeight w:val="172"/>
        </w:trPr>
        <w:tc>
          <w:tcPr>
            <w:tcW w:w="3980" w:type="dxa"/>
            <w:vAlign w:val="bottom"/>
          </w:tcPr>
          <w:p>
            <w:pPr>
              <w:spacing w:after="0"/>
              <w:rPr>
                <w:sz w:val="20"/>
                <w:szCs w:val="20"/>
                <w:color w:val="auto"/>
              </w:rPr>
            </w:pPr>
            <w:r>
              <w:rPr>
                <w:rFonts w:ascii="Arial" w:cs="Arial" w:eastAsia="Arial" w:hAnsi="Arial"/>
                <w:sz w:val="14"/>
                <w:szCs w:val="14"/>
                <w:color w:val="auto"/>
              </w:rPr>
              <w:t>Tangible book value (non-GAAP)</w:t>
            </w: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4"/>
                <w:szCs w:val="14"/>
                <w:color w:val="auto"/>
              </w:rPr>
              <w:t>19.57</w:t>
            </w:r>
          </w:p>
        </w:tc>
        <w:tc>
          <w:tcPr>
            <w:tcW w:w="100" w:type="dxa"/>
            <w:vAlign w:val="bottom"/>
          </w:tcPr>
          <w:p>
            <w:pPr>
              <w:spacing w:after="0"/>
              <w:rPr>
                <w:sz w:val="14"/>
                <w:szCs w:val="14"/>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18.61</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19.50</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4"/>
                <w:szCs w:val="14"/>
                <w:color w:val="auto"/>
              </w:rPr>
              <w:t>20.49</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21.51</w:t>
            </w:r>
          </w:p>
        </w:tc>
        <w:tc>
          <w:tcPr>
            <w:tcW w:w="120" w:type="dxa"/>
            <w:vAlign w:val="bottom"/>
          </w:tcPr>
          <w:p>
            <w:pPr>
              <w:spacing w:after="0"/>
              <w:rPr>
                <w:sz w:val="14"/>
                <w:szCs w:val="14"/>
                <w:color w:val="auto"/>
              </w:rPr>
            </w:pPr>
          </w:p>
        </w:tc>
      </w:tr>
      <w:tr>
        <w:trPr>
          <w:trHeight w:val="172"/>
        </w:trPr>
        <w:tc>
          <w:tcPr>
            <w:tcW w:w="3980" w:type="dxa"/>
            <w:vAlign w:val="bottom"/>
            <w:shd w:val="clear" w:color="auto" w:fill="CCEEFF"/>
          </w:tcPr>
          <w:p>
            <w:pPr>
              <w:spacing w:after="0"/>
              <w:rPr>
                <w:sz w:val="20"/>
                <w:szCs w:val="20"/>
                <w:color w:val="auto"/>
              </w:rPr>
            </w:pPr>
            <w:r>
              <w:rPr>
                <w:rFonts w:ascii="Arial" w:cs="Arial" w:eastAsia="Arial" w:hAnsi="Arial"/>
                <w:sz w:val="14"/>
                <w:szCs w:val="14"/>
                <w:color w:val="auto"/>
              </w:rPr>
              <w:t>Weighted average shares outstanding, basic</w:t>
            </w: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17,007,914</w:t>
            </w:r>
          </w:p>
        </w:tc>
        <w:tc>
          <w:tcPr>
            <w:tcW w:w="10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17,286,531</w:t>
            </w: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17,490,706</w:t>
            </w:r>
          </w:p>
        </w:tc>
        <w:tc>
          <w:tcPr>
            <w:tcW w:w="2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17,716,136</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17,777,542</w:t>
            </w:r>
          </w:p>
        </w:tc>
      </w:tr>
      <w:tr>
        <w:trPr>
          <w:trHeight w:val="172"/>
        </w:trPr>
        <w:tc>
          <w:tcPr>
            <w:tcW w:w="3980" w:type="dxa"/>
            <w:vAlign w:val="bottom"/>
          </w:tcPr>
          <w:p>
            <w:pPr>
              <w:spacing w:after="0"/>
              <w:rPr>
                <w:sz w:val="20"/>
                <w:szCs w:val="20"/>
                <w:color w:val="auto"/>
              </w:rPr>
            </w:pPr>
            <w:r>
              <w:rPr>
                <w:rFonts w:ascii="Arial" w:cs="Arial" w:eastAsia="Arial" w:hAnsi="Arial"/>
                <w:sz w:val="14"/>
                <w:szCs w:val="14"/>
                <w:color w:val="auto"/>
              </w:rPr>
              <w:t>Weighted average shares outstanding, dilutive</w:t>
            </w: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4"/>
                <w:szCs w:val="14"/>
                <w:color w:val="auto"/>
              </w:rPr>
              <w:t>17,751,674</w:t>
            </w:r>
          </w:p>
        </w:tc>
        <w:tc>
          <w:tcPr>
            <w:tcW w:w="100" w:type="dxa"/>
            <w:vAlign w:val="bottom"/>
          </w:tcPr>
          <w:p>
            <w:pPr>
              <w:spacing w:after="0"/>
              <w:rPr>
                <w:sz w:val="14"/>
                <w:szCs w:val="14"/>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17,901,899</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18,020,548</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4"/>
                <w:szCs w:val="14"/>
                <w:color w:val="auto"/>
              </w:rPr>
              <w:t>18,392,397</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4"/>
                <w:szCs w:val="14"/>
                <w:color w:val="auto"/>
              </w:rPr>
              <w:t>18,433,038</w:t>
            </w:r>
          </w:p>
        </w:tc>
      </w:tr>
      <w:tr>
        <w:trPr>
          <w:trHeight w:val="172"/>
        </w:trPr>
        <w:tc>
          <w:tcPr>
            <w:tcW w:w="3980" w:type="dxa"/>
            <w:vAlign w:val="bottom"/>
            <w:shd w:val="clear" w:color="auto" w:fill="CCEEFF"/>
          </w:tcPr>
          <w:p>
            <w:pPr>
              <w:spacing w:after="0"/>
              <w:rPr>
                <w:sz w:val="20"/>
                <w:szCs w:val="20"/>
                <w:color w:val="auto"/>
              </w:rPr>
            </w:pPr>
            <w:r>
              <w:rPr>
                <w:rFonts w:ascii="Arial" w:cs="Arial" w:eastAsia="Arial" w:hAnsi="Arial"/>
                <w:sz w:val="14"/>
                <w:szCs w:val="14"/>
                <w:color w:val="auto"/>
              </w:rPr>
              <w:t>Shares outstanding at end of period</w:t>
            </w: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17,027,197</w:t>
            </w:r>
          </w:p>
        </w:tc>
        <w:tc>
          <w:tcPr>
            <w:tcW w:w="10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17,064,640</w:t>
            </w: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17,417,094</w:t>
            </w:r>
          </w:p>
        </w:tc>
        <w:tc>
          <w:tcPr>
            <w:tcW w:w="2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17,673,407</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17,760,243</w:t>
            </w:r>
          </w:p>
        </w:tc>
      </w:tr>
      <w:tr>
        <w:trPr>
          <w:trHeight w:val="172"/>
        </w:trPr>
        <w:tc>
          <w:tcPr>
            <w:tcW w:w="3980" w:type="dxa"/>
            <w:vAlign w:val="bottom"/>
          </w:tcPr>
          <w:p>
            <w:pPr>
              <w:spacing w:after="0"/>
              <w:rPr>
                <w:sz w:val="20"/>
                <w:szCs w:val="20"/>
                <w:color w:val="auto"/>
              </w:rPr>
            </w:pPr>
            <w:r>
              <w:rPr>
                <w:rFonts w:ascii="Arial" w:cs="Arial" w:eastAsia="Arial" w:hAnsi="Arial"/>
                <w:sz w:val="14"/>
                <w:szCs w:val="14"/>
                <w:b w:val="1"/>
                <w:bCs w:val="1"/>
                <w:color w:val="auto"/>
              </w:rPr>
              <w:t>Selected Period End Balance Sheet Data:</w:t>
            </w: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2"/>
        </w:trPr>
        <w:tc>
          <w:tcPr>
            <w:tcW w:w="3980" w:type="dxa"/>
            <w:vAlign w:val="bottom"/>
            <w:shd w:val="clear" w:color="auto" w:fill="CCEEFF"/>
          </w:tcPr>
          <w:p>
            <w:pPr>
              <w:spacing w:after="0"/>
              <w:rPr>
                <w:sz w:val="20"/>
                <w:szCs w:val="20"/>
                <w:color w:val="auto"/>
              </w:rPr>
            </w:pPr>
            <w:r>
              <w:rPr>
                <w:rFonts w:ascii="Arial" w:cs="Arial" w:eastAsia="Arial" w:hAnsi="Arial"/>
                <w:sz w:val="14"/>
                <w:szCs w:val="14"/>
                <w:color w:val="auto"/>
              </w:rPr>
              <w:t>Cash and cash equivalents</w:t>
            </w: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234,883</w:t>
            </w:r>
          </w:p>
        </w:tc>
        <w:tc>
          <w:tcPr>
            <w:tcW w:w="10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329,962</w:t>
            </w: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375,690</w:t>
            </w:r>
          </w:p>
        </w:tc>
        <w:tc>
          <w:tcPr>
            <w:tcW w:w="2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528,612</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486,821</w:t>
            </w:r>
          </w:p>
        </w:tc>
        <w:tc>
          <w:tcPr>
            <w:tcW w:w="120" w:type="dxa"/>
            <w:vAlign w:val="bottom"/>
            <w:shd w:val="clear" w:color="auto" w:fill="CCEEFF"/>
          </w:tcPr>
          <w:p>
            <w:pPr>
              <w:spacing w:after="0"/>
              <w:rPr>
                <w:sz w:val="14"/>
                <w:szCs w:val="14"/>
                <w:color w:val="auto"/>
              </w:rPr>
            </w:pPr>
          </w:p>
        </w:tc>
      </w:tr>
      <w:tr>
        <w:trPr>
          <w:trHeight w:val="172"/>
        </w:trPr>
        <w:tc>
          <w:tcPr>
            <w:tcW w:w="3980" w:type="dxa"/>
            <w:vAlign w:val="bottom"/>
          </w:tcPr>
          <w:p>
            <w:pPr>
              <w:spacing w:after="0"/>
              <w:rPr>
                <w:sz w:val="20"/>
                <w:szCs w:val="20"/>
                <w:color w:val="auto"/>
              </w:rPr>
            </w:pPr>
            <w:r>
              <w:rPr>
                <w:rFonts w:ascii="Arial" w:cs="Arial" w:eastAsia="Arial" w:hAnsi="Arial"/>
                <w:sz w:val="14"/>
                <w:szCs w:val="14"/>
                <w:color w:val="auto"/>
              </w:rPr>
              <w:t>Investment securities</w:t>
            </w: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4"/>
                <w:szCs w:val="14"/>
                <w:color w:val="auto"/>
              </w:rPr>
              <w:t>701,711</w:t>
            </w:r>
          </w:p>
        </w:tc>
        <w:tc>
          <w:tcPr>
            <w:tcW w:w="100" w:type="dxa"/>
            <w:vAlign w:val="bottom"/>
          </w:tcPr>
          <w:p>
            <w:pPr>
              <w:spacing w:after="0"/>
              <w:rPr>
                <w:sz w:val="14"/>
                <w:szCs w:val="14"/>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711,412</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763,943</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4"/>
                <w:szCs w:val="14"/>
                <w:color w:val="auto"/>
              </w:rPr>
              <w:t>793,404</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724,504</w:t>
            </w:r>
          </w:p>
        </w:tc>
        <w:tc>
          <w:tcPr>
            <w:tcW w:w="120" w:type="dxa"/>
            <w:vAlign w:val="bottom"/>
          </w:tcPr>
          <w:p>
            <w:pPr>
              <w:spacing w:after="0"/>
              <w:rPr>
                <w:sz w:val="14"/>
                <w:szCs w:val="14"/>
                <w:color w:val="auto"/>
              </w:rPr>
            </w:pPr>
          </w:p>
        </w:tc>
      </w:tr>
      <w:tr>
        <w:trPr>
          <w:trHeight w:val="172"/>
        </w:trPr>
        <w:tc>
          <w:tcPr>
            <w:tcW w:w="3980" w:type="dxa"/>
            <w:vAlign w:val="bottom"/>
            <w:shd w:val="clear" w:color="auto" w:fill="CCEEFF"/>
          </w:tcPr>
          <w:p>
            <w:pPr>
              <w:spacing w:after="0"/>
              <w:rPr>
                <w:sz w:val="20"/>
                <w:szCs w:val="20"/>
                <w:color w:val="auto"/>
              </w:rPr>
            </w:pPr>
            <w:r>
              <w:rPr>
                <w:rFonts w:ascii="Arial" w:cs="Arial" w:eastAsia="Arial" w:hAnsi="Arial"/>
                <w:sz w:val="14"/>
                <w:szCs w:val="14"/>
                <w:color w:val="auto"/>
              </w:rPr>
              <w:t>Total loans held for investment</w:t>
            </w: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2,748,081</w:t>
            </w: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2,690,366</w:t>
            </w:r>
          </w:p>
        </w:tc>
        <w:tc>
          <w:tcPr>
            <w:tcW w:w="2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2,580,493</w:t>
            </w:r>
          </w:p>
        </w:tc>
        <w:tc>
          <w:tcPr>
            <w:tcW w:w="2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2,453,631</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2,437,577</w:t>
            </w:r>
          </w:p>
        </w:tc>
        <w:tc>
          <w:tcPr>
            <w:tcW w:w="120" w:type="dxa"/>
            <w:vAlign w:val="bottom"/>
            <w:shd w:val="clear" w:color="auto" w:fill="CCEEFF"/>
          </w:tcPr>
          <w:p>
            <w:pPr>
              <w:spacing w:after="0"/>
              <w:rPr>
                <w:sz w:val="14"/>
                <w:szCs w:val="14"/>
                <w:color w:val="auto"/>
              </w:rPr>
            </w:pPr>
          </w:p>
        </w:tc>
      </w:tr>
      <w:tr>
        <w:trPr>
          <w:trHeight w:val="172"/>
        </w:trPr>
        <w:tc>
          <w:tcPr>
            <w:tcW w:w="3980" w:type="dxa"/>
            <w:vAlign w:val="bottom"/>
          </w:tcPr>
          <w:p>
            <w:pPr>
              <w:spacing w:after="0"/>
              <w:rPr>
                <w:sz w:val="20"/>
                <w:szCs w:val="20"/>
                <w:color w:val="auto"/>
              </w:rPr>
            </w:pPr>
            <w:r>
              <w:rPr>
                <w:rFonts w:ascii="Arial" w:cs="Arial" w:eastAsia="Arial" w:hAnsi="Arial"/>
                <w:sz w:val="14"/>
                <w:szCs w:val="14"/>
                <w:color w:val="auto"/>
              </w:rPr>
              <w:t>Allowance for loan losses</w:t>
            </w: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4"/>
                <w:szCs w:val="14"/>
                <w:color w:val="auto"/>
              </w:rPr>
              <w:t>39,288</w:t>
            </w:r>
          </w:p>
        </w:tc>
        <w:tc>
          <w:tcPr>
            <w:tcW w:w="100" w:type="dxa"/>
            <w:vAlign w:val="bottom"/>
          </w:tcPr>
          <w:p>
            <w:pPr>
              <w:spacing w:after="0"/>
              <w:rPr>
                <w:sz w:val="14"/>
                <w:szCs w:val="14"/>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39,657</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4"/>
                <w:szCs w:val="14"/>
                <w:color w:val="auto"/>
              </w:rPr>
              <w:t>39,785</w:t>
            </w:r>
          </w:p>
        </w:tc>
        <w:tc>
          <w:tcPr>
            <w:tcW w:w="180" w:type="dxa"/>
            <w:vAlign w:val="bottom"/>
          </w:tcPr>
          <w:p>
            <w:pPr>
              <w:spacing w:after="0"/>
              <w:rPr>
                <w:sz w:val="14"/>
                <w:szCs w:val="14"/>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4"/>
                <w:szCs w:val="14"/>
                <w:color w:val="auto"/>
              </w:rPr>
              <w:t>39,649</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4"/>
                <w:szCs w:val="14"/>
                <w:color w:val="auto"/>
              </w:rPr>
              <w:t>42,098</w:t>
            </w:r>
          </w:p>
        </w:tc>
      </w:tr>
      <w:tr>
        <w:trPr>
          <w:trHeight w:val="172"/>
        </w:trPr>
        <w:tc>
          <w:tcPr>
            <w:tcW w:w="3980" w:type="dxa"/>
            <w:vAlign w:val="bottom"/>
            <w:shd w:val="clear" w:color="auto" w:fill="CCEEFF"/>
          </w:tcPr>
          <w:p>
            <w:pPr>
              <w:spacing w:after="0"/>
              <w:rPr>
                <w:sz w:val="20"/>
                <w:szCs w:val="20"/>
                <w:color w:val="auto"/>
              </w:rPr>
            </w:pPr>
            <w:r>
              <w:rPr>
                <w:rFonts w:ascii="Arial" w:cs="Arial" w:eastAsia="Arial" w:hAnsi="Arial"/>
                <w:sz w:val="14"/>
                <w:szCs w:val="14"/>
                <w:color w:val="auto"/>
              </w:rPr>
              <w:t>Total assets</w:t>
            </w: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3,944,063</w:t>
            </w: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3,992,690</w:t>
            </w:r>
          </w:p>
        </w:tc>
        <w:tc>
          <w:tcPr>
            <w:tcW w:w="2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3,974,724</w:t>
            </w:r>
          </w:p>
        </w:tc>
        <w:tc>
          <w:tcPr>
            <w:tcW w:w="2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3,999,744</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3,901,855</w:t>
            </w:r>
          </w:p>
        </w:tc>
        <w:tc>
          <w:tcPr>
            <w:tcW w:w="120" w:type="dxa"/>
            <w:vAlign w:val="bottom"/>
            <w:shd w:val="clear" w:color="auto" w:fill="CCEEFF"/>
          </w:tcPr>
          <w:p>
            <w:pPr>
              <w:spacing w:after="0"/>
              <w:rPr>
                <w:sz w:val="14"/>
                <w:szCs w:val="14"/>
                <w:color w:val="auto"/>
              </w:rPr>
            </w:pPr>
          </w:p>
        </w:tc>
      </w:tr>
      <w:tr>
        <w:trPr>
          <w:trHeight w:val="172"/>
        </w:trPr>
        <w:tc>
          <w:tcPr>
            <w:tcW w:w="3980" w:type="dxa"/>
            <w:vAlign w:val="bottom"/>
          </w:tcPr>
          <w:p>
            <w:pPr>
              <w:spacing w:after="0"/>
              <w:rPr>
                <w:sz w:val="20"/>
                <w:szCs w:val="20"/>
                <w:color w:val="auto"/>
              </w:rPr>
            </w:pPr>
            <w:r>
              <w:rPr>
                <w:rFonts w:ascii="Arial" w:cs="Arial" w:eastAsia="Arial" w:hAnsi="Arial"/>
                <w:sz w:val="14"/>
                <w:szCs w:val="14"/>
                <w:color w:val="auto"/>
              </w:rPr>
              <w:t>Interest-bearing deposits</w:t>
            </w: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4"/>
                <w:szCs w:val="14"/>
                <w:color w:val="auto"/>
              </w:rPr>
              <w:t>2,255,942</w:t>
            </w:r>
          </w:p>
        </w:tc>
        <w:tc>
          <w:tcPr>
            <w:tcW w:w="1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2,198,464</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2,230,105</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4"/>
                <w:szCs w:val="14"/>
                <w:color w:val="auto"/>
              </w:rPr>
              <w:t>2,318,942</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2,269,855</w:t>
            </w:r>
          </w:p>
        </w:tc>
        <w:tc>
          <w:tcPr>
            <w:tcW w:w="120" w:type="dxa"/>
            <w:vAlign w:val="bottom"/>
          </w:tcPr>
          <w:p>
            <w:pPr>
              <w:spacing w:after="0"/>
              <w:rPr>
                <w:sz w:val="14"/>
                <w:szCs w:val="14"/>
                <w:color w:val="auto"/>
              </w:rPr>
            </w:pPr>
          </w:p>
        </w:tc>
      </w:tr>
      <w:tr>
        <w:trPr>
          <w:trHeight w:val="172"/>
        </w:trPr>
        <w:tc>
          <w:tcPr>
            <w:tcW w:w="3980" w:type="dxa"/>
            <w:vAlign w:val="bottom"/>
            <w:shd w:val="clear" w:color="auto" w:fill="CCEEFF"/>
          </w:tcPr>
          <w:p>
            <w:pPr>
              <w:spacing w:after="0"/>
              <w:rPr>
                <w:sz w:val="20"/>
                <w:szCs w:val="20"/>
                <w:color w:val="auto"/>
              </w:rPr>
            </w:pPr>
            <w:r>
              <w:rPr>
                <w:rFonts w:ascii="Arial" w:cs="Arial" w:eastAsia="Arial" w:hAnsi="Arial"/>
                <w:sz w:val="14"/>
                <w:szCs w:val="14"/>
                <w:color w:val="auto"/>
              </w:rPr>
              <w:t>Noninterest-bearing deposits</w:t>
            </w: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1,150,488</w:t>
            </w: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1,262,072</w:t>
            </w:r>
          </w:p>
        </w:tc>
        <w:tc>
          <w:tcPr>
            <w:tcW w:w="2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1,195,732</w:t>
            </w:r>
          </w:p>
        </w:tc>
        <w:tc>
          <w:tcPr>
            <w:tcW w:w="2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1,131,215</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1,071,367</w:t>
            </w:r>
          </w:p>
        </w:tc>
        <w:tc>
          <w:tcPr>
            <w:tcW w:w="120" w:type="dxa"/>
            <w:vAlign w:val="bottom"/>
            <w:shd w:val="clear" w:color="auto" w:fill="CCEEFF"/>
          </w:tcPr>
          <w:p>
            <w:pPr>
              <w:spacing w:after="0"/>
              <w:rPr>
                <w:sz w:val="14"/>
                <w:szCs w:val="14"/>
                <w:color w:val="auto"/>
              </w:rPr>
            </w:pPr>
          </w:p>
        </w:tc>
      </w:tr>
      <w:tr>
        <w:trPr>
          <w:trHeight w:val="172"/>
        </w:trPr>
        <w:tc>
          <w:tcPr>
            <w:tcW w:w="3980" w:type="dxa"/>
            <w:vAlign w:val="bottom"/>
          </w:tcPr>
          <w:p>
            <w:pPr>
              <w:spacing w:after="0"/>
              <w:rPr>
                <w:sz w:val="20"/>
                <w:szCs w:val="20"/>
                <w:color w:val="auto"/>
              </w:rPr>
            </w:pPr>
            <w:r>
              <w:rPr>
                <w:rFonts w:ascii="Arial" w:cs="Arial" w:eastAsia="Arial" w:hAnsi="Arial"/>
                <w:sz w:val="14"/>
                <w:szCs w:val="14"/>
                <w:color w:val="auto"/>
              </w:rPr>
              <w:t>Total deposits</w:t>
            </w: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4"/>
                <w:szCs w:val="14"/>
                <w:color w:val="auto"/>
              </w:rPr>
              <w:t>3,406,430</w:t>
            </w:r>
          </w:p>
        </w:tc>
        <w:tc>
          <w:tcPr>
            <w:tcW w:w="1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3,460,536</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3,425,837</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4"/>
                <w:szCs w:val="14"/>
                <w:color w:val="auto"/>
              </w:rPr>
              <w:t>3,450,157</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3,341,222</w:t>
            </w:r>
          </w:p>
        </w:tc>
        <w:tc>
          <w:tcPr>
            <w:tcW w:w="120" w:type="dxa"/>
            <w:vAlign w:val="bottom"/>
          </w:tcPr>
          <w:p>
            <w:pPr>
              <w:spacing w:after="0"/>
              <w:rPr>
                <w:sz w:val="14"/>
                <w:szCs w:val="14"/>
                <w:color w:val="auto"/>
              </w:rPr>
            </w:pPr>
          </w:p>
        </w:tc>
      </w:tr>
      <w:tr>
        <w:trPr>
          <w:trHeight w:val="172"/>
        </w:trPr>
        <w:tc>
          <w:tcPr>
            <w:tcW w:w="3980" w:type="dxa"/>
            <w:vAlign w:val="bottom"/>
            <w:shd w:val="clear" w:color="auto" w:fill="CCEEFF"/>
          </w:tcPr>
          <w:p>
            <w:pPr>
              <w:spacing w:after="0"/>
              <w:rPr>
                <w:sz w:val="20"/>
                <w:szCs w:val="20"/>
                <w:color w:val="auto"/>
              </w:rPr>
            </w:pPr>
            <w:r>
              <w:rPr>
                <w:rFonts w:ascii="Arial" w:cs="Arial" w:eastAsia="Arial" w:hAnsi="Arial"/>
                <w:sz w:val="14"/>
                <w:szCs w:val="14"/>
                <w:color w:val="auto"/>
              </w:rPr>
              <w:t>Borrowings</w:t>
            </w: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122,354</w:t>
            </w:r>
          </w:p>
        </w:tc>
        <w:tc>
          <w:tcPr>
            <w:tcW w:w="10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122,307</w:t>
            </w: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122,261</w:t>
            </w:r>
          </w:p>
        </w:tc>
        <w:tc>
          <w:tcPr>
            <w:tcW w:w="2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122,214</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122,168</w:t>
            </w:r>
          </w:p>
        </w:tc>
        <w:tc>
          <w:tcPr>
            <w:tcW w:w="120" w:type="dxa"/>
            <w:vAlign w:val="bottom"/>
            <w:shd w:val="clear" w:color="auto" w:fill="CCEEFF"/>
          </w:tcPr>
          <w:p>
            <w:pPr>
              <w:spacing w:after="0"/>
              <w:rPr>
                <w:sz w:val="14"/>
                <w:szCs w:val="14"/>
                <w:color w:val="auto"/>
              </w:rPr>
            </w:pPr>
          </w:p>
        </w:tc>
      </w:tr>
      <w:tr>
        <w:trPr>
          <w:trHeight w:val="172"/>
        </w:trPr>
        <w:tc>
          <w:tcPr>
            <w:tcW w:w="3980" w:type="dxa"/>
            <w:vAlign w:val="bottom"/>
          </w:tcPr>
          <w:p>
            <w:pPr>
              <w:spacing w:after="0"/>
              <w:rPr>
                <w:sz w:val="20"/>
                <w:szCs w:val="20"/>
                <w:color w:val="auto"/>
              </w:rPr>
            </w:pPr>
            <w:r>
              <w:rPr>
                <w:rFonts w:ascii="Arial" w:cs="Arial" w:eastAsia="Arial" w:hAnsi="Arial"/>
                <w:sz w:val="14"/>
                <w:szCs w:val="14"/>
                <w:color w:val="auto"/>
              </w:rPr>
              <w:t>Total stockholders’ equity</w:t>
            </w: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4"/>
                <w:szCs w:val="14"/>
                <w:color w:val="auto"/>
              </w:rPr>
              <w:t>357,014</w:t>
            </w:r>
          </w:p>
        </w:tc>
        <w:tc>
          <w:tcPr>
            <w:tcW w:w="100" w:type="dxa"/>
            <w:vAlign w:val="bottom"/>
          </w:tcPr>
          <w:p>
            <w:pPr>
              <w:spacing w:after="0"/>
              <w:rPr>
                <w:sz w:val="14"/>
                <w:szCs w:val="14"/>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341,799</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364,222</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4"/>
                <w:szCs w:val="14"/>
                <w:color w:val="auto"/>
              </w:rPr>
              <w:t>387,068</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407,427</w:t>
            </w:r>
          </w:p>
        </w:tc>
        <w:tc>
          <w:tcPr>
            <w:tcW w:w="120" w:type="dxa"/>
            <w:vAlign w:val="bottom"/>
          </w:tcPr>
          <w:p>
            <w:pPr>
              <w:spacing w:after="0"/>
              <w:rPr>
                <w:sz w:val="14"/>
                <w:szCs w:val="14"/>
                <w:color w:val="auto"/>
              </w:rPr>
            </w:pPr>
          </w:p>
        </w:tc>
      </w:tr>
      <w:tr>
        <w:trPr>
          <w:trHeight w:val="172"/>
        </w:trPr>
        <w:tc>
          <w:tcPr>
            <w:tcW w:w="39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Summary Performance Ratios:</w:t>
            </w: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r>
      <w:tr>
        <w:trPr>
          <w:trHeight w:val="172"/>
        </w:trPr>
        <w:tc>
          <w:tcPr>
            <w:tcW w:w="3980" w:type="dxa"/>
            <w:vAlign w:val="bottom"/>
          </w:tcPr>
          <w:p>
            <w:pPr>
              <w:spacing w:after="0"/>
              <w:rPr>
                <w:sz w:val="20"/>
                <w:szCs w:val="20"/>
                <w:color w:val="auto"/>
              </w:rPr>
            </w:pPr>
            <w:r>
              <w:rPr>
                <w:rFonts w:ascii="Arial" w:cs="Arial" w:eastAsia="Arial" w:hAnsi="Arial"/>
                <w:sz w:val="14"/>
                <w:szCs w:val="14"/>
                <w:color w:val="auto"/>
              </w:rPr>
              <w:t>Return on average assets</w:t>
            </w: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4"/>
                <w:szCs w:val="14"/>
                <w:color w:val="auto"/>
              </w:rPr>
              <w:t>1.27%</w:t>
            </w:r>
          </w:p>
        </w:tc>
        <w:tc>
          <w:tcPr>
            <w:tcW w:w="100" w:type="dxa"/>
            <w:vAlign w:val="bottom"/>
          </w:tcPr>
          <w:p>
            <w:pPr>
              <w:spacing w:after="0"/>
              <w:rPr>
                <w:sz w:val="14"/>
                <w:szCs w:val="14"/>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4"/>
                <w:szCs w:val="14"/>
                <w:color w:val="auto"/>
              </w:rPr>
              <w:t>1.53%</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4"/>
                <w:szCs w:val="14"/>
                <w:color w:val="auto"/>
              </w:rPr>
              <w:t>1.60%</w:t>
            </w:r>
          </w:p>
        </w:tc>
        <w:tc>
          <w:tcPr>
            <w:tcW w:w="180" w:type="dxa"/>
            <w:vAlign w:val="bottom"/>
          </w:tcPr>
          <w:p>
            <w:pPr>
              <w:spacing w:after="0"/>
              <w:rPr>
                <w:sz w:val="14"/>
                <w:szCs w:val="14"/>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4"/>
                <w:szCs w:val="14"/>
                <w:color w:val="auto"/>
              </w:rPr>
              <w:t>1.47%</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1.50%</w:t>
            </w:r>
          </w:p>
        </w:tc>
      </w:tr>
      <w:tr>
        <w:trPr>
          <w:trHeight w:val="172"/>
        </w:trPr>
        <w:tc>
          <w:tcPr>
            <w:tcW w:w="3980" w:type="dxa"/>
            <w:vAlign w:val="bottom"/>
            <w:shd w:val="clear" w:color="auto" w:fill="CCEEFF"/>
          </w:tcPr>
          <w:p>
            <w:pPr>
              <w:spacing w:after="0"/>
              <w:rPr>
                <w:sz w:val="20"/>
                <w:szCs w:val="20"/>
                <w:color w:val="auto"/>
              </w:rPr>
            </w:pPr>
            <w:r>
              <w:rPr>
                <w:rFonts w:ascii="Arial" w:cs="Arial" w:eastAsia="Arial" w:hAnsi="Arial"/>
                <w:sz w:val="14"/>
                <w:szCs w:val="14"/>
                <w:color w:val="auto"/>
              </w:rPr>
              <w:t>Return on average equity</w:t>
            </w: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14.33%</w:t>
            </w:r>
          </w:p>
        </w:tc>
        <w:tc>
          <w:tcPr>
            <w:tcW w:w="10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17.37%</w:t>
            </w: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16.96%</w:t>
            </w:r>
          </w:p>
        </w:tc>
        <w:tc>
          <w:tcPr>
            <w:tcW w:w="18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14.58%</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14.39%</w:t>
            </w:r>
          </w:p>
        </w:tc>
      </w:tr>
      <w:tr>
        <w:trPr>
          <w:trHeight w:val="172"/>
        </w:trPr>
        <w:tc>
          <w:tcPr>
            <w:tcW w:w="3980" w:type="dxa"/>
            <w:vAlign w:val="bottom"/>
          </w:tcPr>
          <w:p>
            <w:pPr>
              <w:spacing w:after="0" w:line="173" w:lineRule="exact"/>
              <w:rPr>
                <w:sz w:val="20"/>
                <w:szCs w:val="20"/>
                <w:color w:val="auto"/>
              </w:rPr>
            </w:pPr>
            <w:r>
              <w:rPr>
                <w:rFonts w:ascii="Arial" w:cs="Arial" w:eastAsia="Arial" w:hAnsi="Arial"/>
                <w:sz w:val="12"/>
                <w:szCs w:val="12"/>
                <w:color w:val="auto"/>
              </w:rPr>
              <w:t xml:space="preserve">Net interest margin </w:t>
            </w:r>
            <w:r>
              <w:rPr>
                <w:rFonts w:ascii="Arial" w:cs="Arial" w:eastAsia="Arial" w:hAnsi="Arial"/>
                <w:sz w:val="19"/>
                <w:szCs w:val="19"/>
                <w:color w:val="auto"/>
                <w:vertAlign w:val="superscript"/>
              </w:rPr>
              <w:t>(1)</w:t>
            </w: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4"/>
                <w:szCs w:val="14"/>
                <w:color w:val="auto"/>
              </w:rPr>
              <w:t>3.88%</w:t>
            </w:r>
          </w:p>
        </w:tc>
        <w:tc>
          <w:tcPr>
            <w:tcW w:w="100" w:type="dxa"/>
            <w:vAlign w:val="bottom"/>
          </w:tcPr>
          <w:p>
            <w:pPr>
              <w:spacing w:after="0"/>
              <w:rPr>
                <w:sz w:val="14"/>
                <w:szCs w:val="14"/>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4"/>
                <w:szCs w:val="14"/>
                <w:color w:val="auto"/>
              </w:rPr>
              <w:t>3.70%</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4"/>
                <w:szCs w:val="14"/>
                <w:color w:val="auto"/>
              </w:rPr>
              <w:t>4.02%</w:t>
            </w:r>
          </w:p>
        </w:tc>
        <w:tc>
          <w:tcPr>
            <w:tcW w:w="180" w:type="dxa"/>
            <w:vAlign w:val="bottom"/>
          </w:tcPr>
          <w:p>
            <w:pPr>
              <w:spacing w:after="0"/>
              <w:rPr>
                <w:sz w:val="14"/>
                <w:szCs w:val="14"/>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4"/>
                <w:szCs w:val="14"/>
                <w:color w:val="auto"/>
              </w:rPr>
              <w:t>3.33%</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3.50%</w:t>
            </w:r>
          </w:p>
        </w:tc>
      </w:tr>
      <w:tr>
        <w:trPr>
          <w:trHeight w:val="172"/>
        </w:trPr>
        <w:tc>
          <w:tcPr>
            <w:tcW w:w="3980" w:type="dxa"/>
            <w:vAlign w:val="bottom"/>
            <w:shd w:val="clear" w:color="auto" w:fill="CCEEFF"/>
          </w:tcPr>
          <w:p>
            <w:pPr>
              <w:spacing w:after="0"/>
              <w:rPr>
                <w:sz w:val="20"/>
                <w:szCs w:val="20"/>
                <w:color w:val="auto"/>
              </w:rPr>
            </w:pPr>
            <w:r>
              <w:rPr>
                <w:rFonts w:ascii="Arial" w:cs="Arial" w:eastAsia="Arial" w:hAnsi="Arial"/>
                <w:sz w:val="14"/>
                <w:szCs w:val="14"/>
                <w:color w:val="auto"/>
              </w:rPr>
              <w:t>Yield on loans</w:t>
            </w: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5.59%</w:t>
            </w:r>
          </w:p>
        </w:tc>
        <w:tc>
          <w:tcPr>
            <w:tcW w:w="10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5.12%</w:t>
            </w: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5.57%</w:t>
            </w:r>
          </w:p>
        </w:tc>
        <w:tc>
          <w:tcPr>
            <w:tcW w:w="18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4.80%</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4.90%</w:t>
            </w:r>
          </w:p>
        </w:tc>
      </w:tr>
      <w:tr>
        <w:trPr>
          <w:trHeight w:val="172"/>
        </w:trPr>
        <w:tc>
          <w:tcPr>
            <w:tcW w:w="3980" w:type="dxa"/>
            <w:vAlign w:val="bottom"/>
          </w:tcPr>
          <w:p>
            <w:pPr>
              <w:spacing w:after="0"/>
              <w:rPr>
                <w:sz w:val="20"/>
                <w:szCs w:val="20"/>
                <w:color w:val="auto"/>
              </w:rPr>
            </w:pPr>
            <w:r>
              <w:rPr>
                <w:rFonts w:ascii="Arial" w:cs="Arial" w:eastAsia="Arial" w:hAnsi="Arial"/>
                <w:sz w:val="14"/>
                <w:szCs w:val="14"/>
                <w:color w:val="auto"/>
              </w:rPr>
              <w:t>Cost of interest-bearing deposits</w:t>
            </w: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4"/>
                <w:szCs w:val="14"/>
                <w:color w:val="auto"/>
              </w:rPr>
              <w:t>1.52%</w:t>
            </w:r>
          </w:p>
        </w:tc>
        <w:tc>
          <w:tcPr>
            <w:tcW w:w="100" w:type="dxa"/>
            <w:vAlign w:val="bottom"/>
          </w:tcPr>
          <w:p>
            <w:pPr>
              <w:spacing w:after="0"/>
              <w:rPr>
                <w:sz w:val="14"/>
                <w:szCs w:val="14"/>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4"/>
                <w:szCs w:val="14"/>
                <w:color w:val="auto"/>
              </w:rPr>
              <w:t>0.82%</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4"/>
                <w:szCs w:val="14"/>
                <w:color w:val="auto"/>
              </w:rPr>
              <w:t>0.42%</w:t>
            </w:r>
          </w:p>
        </w:tc>
        <w:tc>
          <w:tcPr>
            <w:tcW w:w="180" w:type="dxa"/>
            <w:vAlign w:val="bottom"/>
          </w:tcPr>
          <w:p>
            <w:pPr>
              <w:spacing w:after="0"/>
              <w:rPr>
                <w:sz w:val="14"/>
                <w:szCs w:val="14"/>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4"/>
                <w:szCs w:val="14"/>
                <w:color w:val="auto"/>
              </w:rPr>
              <w:t>0.34%</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0.35%</w:t>
            </w:r>
          </w:p>
        </w:tc>
      </w:tr>
      <w:tr>
        <w:trPr>
          <w:trHeight w:val="172"/>
        </w:trPr>
        <w:tc>
          <w:tcPr>
            <w:tcW w:w="3980" w:type="dxa"/>
            <w:vAlign w:val="bottom"/>
            <w:shd w:val="clear" w:color="auto" w:fill="CCEEFF"/>
          </w:tcPr>
          <w:p>
            <w:pPr>
              <w:spacing w:after="0"/>
              <w:rPr>
                <w:sz w:val="20"/>
                <w:szCs w:val="20"/>
                <w:color w:val="auto"/>
              </w:rPr>
            </w:pPr>
            <w:r>
              <w:rPr>
                <w:rFonts w:ascii="Arial" w:cs="Arial" w:eastAsia="Arial" w:hAnsi="Arial"/>
                <w:sz w:val="14"/>
                <w:szCs w:val="14"/>
                <w:color w:val="auto"/>
              </w:rPr>
              <w:t>Efficiency ratio</w:t>
            </w: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66.35%</w:t>
            </w:r>
          </w:p>
        </w:tc>
        <w:tc>
          <w:tcPr>
            <w:tcW w:w="10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66.38%</w:t>
            </w: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64.11%</w:t>
            </w:r>
          </w:p>
        </w:tc>
        <w:tc>
          <w:tcPr>
            <w:tcW w:w="18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70.30%</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66.07%</w:t>
            </w:r>
          </w:p>
        </w:tc>
      </w:tr>
      <w:tr>
        <w:trPr>
          <w:trHeight w:val="172"/>
        </w:trPr>
        <w:tc>
          <w:tcPr>
            <w:tcW w:w="3980" w:type="dxa"/>
            <w:vAlign w:val="bottom"/>
          </w:tcPr>
          <w:p>
            <w:pPr>
              <w:spacing w:after="0"/>
              <w:rPr>
                <w:sz w:val="20"/>
                <w:szCs w:val="20"/>
                <w:color w:val="auto"/>
              </w:rPr>
            </w:pPr>
            <w:r>
              <w:rPr>
                <w:rFonts w:ascii="Arial" w:cs="Arial" w:eastAsia="Arial" w:hAnsi="Arial"/>
                <w:sz w:val="14"/>
                <w:szCs w:val="14"/>
                <w:b w:val="1"/>
                <w:bCs w:val="1"/>
                <w:color w:val="auto"/>
              </w:rPr>
              <w:t>Summary Credit Quality Data:</w:t>
            </w: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2"/>
        </w:trPr>
        <w:tc>
          <w:tcPr>
            <w:tcW w:w="3980" w:type="dxa"/>
            <w:vAlign w:val="bottom"/>
            <w:shd w:val="clear" w:color="auto" w:fill="CCEEFF"/>
          </w:tcPr>
          <w:p>
            <w:pPr>
              <w:spacing w:after="0"/>
              <w:rPr>
                <w:sz w:val="20"/>
                <w:szCs w:val="20"/>
                <w:color w:val="auto"/>
              </w:rPr>
            </w:pPr>
            <w:r>
              <w:rPr>
                <w:rFonts w:ascii="Arial" w:cs="Arial" w:eastAsia="Arial" w:hAnsi="Arial"/>
                <w:sz w:val="14"/>
                <w:szCs w:val="14"/>
                <w:color w:val="auto"/>
              </w:rPr>
              <w:t>Nonperforming loans</w:t>
            </w: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7,790</w:t>
            </w:r>
          </w:p>
        </w:tc>
        <w:tc>
          <w:tcPr>
            <w:tcW w:w="10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7,834</w:t>
            </w: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7,889</w:t>
            </w:r>
          </w:p>
        </w:tc>
        <w:tc>
          <w:tcPr>
            <w:tcW w:w="2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12,141</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10,598</w:t>
            </w:r>
          </w:p>
        </w:tc>
      </w:tr>
      <w:tr>
        <w:trPr>
          <w:trHeight w:val="172"/>
        </w:trPr>
        <w:tc>
          <w:tcPr>
            <w:tcW w:w="3980" w:type="dxa"/>
            <w:vAlign w:val="bottom"/>
          </w:tcPr>
          <w:p>
            <w:pPr>
              <w:spacing w:after="0"/>
              <w:rPr>
                <w:sz w:val="20"/>
                <w:szCs w:val="20"/>
                <w:color w:val="auto"/>
              </w:rPr>
            </w:pPr>
            <w:r>
              <w:rPr>
                <w:rFonts w:ascii="Arial" w:cs="Arial" w:eastAsia="Arial" w:hAnsi="Arial"/>
                <w:sz w:val="14"/>
                <w:szCs w:val="14"/>
                <w:color w:val="auto"/>
              </w:rPr>
              <w:t>Nonperforming loans to total loans held for investment</w:t>
            </w: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4"/>
                <w:szCs w:val="14"/>
                <w:color w:val="auto"/>
              </w:rPr>
              <w:t>0.28%</w:t>
            </w:r>
          </w:p>
        </w:tc>
        <w:tc>
          <w:tcPr>
            <w:tcW w:w="100" w:type="dxa"/>
            <w:vAlign w:val="bottom"/>
          </w:tcPr>
          <w:p>
            <w:pPr>
              <w:spacing w:after="0"/>
              <w:rPr>
                <w:sz w:val="14"/>
                <w:szCs w:val="14"/>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4"/>
                <w:szCs w:val="14"/>
                <w:color w:val="auto"/>
              </w:rPr>
              <w:t>0.29%</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4"/>
                <w:szCs w:val="14"/>
                <w:color w:val="auto"/>
              </w:rPr>
              <w:t>0.31%</w:t>
            </w:r>
          </w:p>
        </w:tc>
        <w:tc>
          <w:tcPr>
            <w:tcW w:w="180" w:type="dxa"/>
            <w:vAlign w:val="bottom"/>
          </w:tcPr>
          <w:p>
            <w:pPr>
              <w:spacing w:after="0"/>
              <w:rPr>
                <w:sz w:val="14"/>
                <w:szCs w:val="14"/>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4"/>
                <w:szCs w:val="14"/>
                <w:color w:val="auto"/>
              </w:rPr>
              <w:t>0.49%</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0.43%</w:t>
            </w:r>
          </w:p>
        </w:tc>
      </w:tr>
      <w:tr>
        <w:trPr>
          <w:trHeight w:val="172"/>
        </w:trPr>
        <w:tc>
          <w:tcPr>
            <w:tcW w:w="3980" w:type="dxa"/>
            <w:vAlign w:val="bottom"/>
            <w:shd w:val="clear" w:color="auto" w:fill="CCEEFF"/>
          </w:tcPr>
          <w:p>
            <w:pPr>
              <w:spacing w:after="0"/>
              <w:rPr>
                <w:sz w:val="20"/>
                <w:szCs w:val="20"/>
                <w:color w:val="auto"/>
              </w:rPr>
            </w:pPr>
            <w:r>
              <w:rPr>
                <w:rFonts w:ascii="Arial" w:cs="Arial" w:eastAsia="Arial" w:hAnsi="Arial"/>
                <w:sz w:val="14"/>
                <w:szCs w:val="14"/>
                <w:color w:val="auto"/>
              </w:rPr>
              <w:t>Other real estate owned</w:t>
            </w: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169</w:t>
            </w: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w:t>
            </w:r>
          </w:p>
        </w:tc>
        <w:tc>
          <w:tcPr>
            <w:tcW w:w="2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w:t>
            </w:r>
          </w:p>
        </w:tc>
        <w:tc>
          <w:tcPr>
            <w:tcW w:w="2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1,141</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1,032</w:t>
            </w:r>
          </w:p>
        </w:tc>
        <w:tc>
          <w:tcPr>
            <w:tcW w:w="120" w:type="dxa"/>
            <w:vAlign w:val="bottom"/>
            <w:shd w:val="clear" w:color="auto" w:fill="CCEEFF"/>
          </w:tcPr>
          <w:p>
            <w:pPr>
              <w:spacing w:after="0"/>
              <w:rPr>
                <w:sz w:val="14"/>
                <w:szCs w:val="14"/>
                <w:color w:val="auto"/>
              </w:rPr>
            </w:pPr>
          </w:p>
        </w:tc>
      </w:tr>
      <w:tr>
        <w:trPr>
          <w:trHeight w:val="172"/>
        </w:trPr>
        <w:tc>
          <w:tcPr>
            <w:tcW w:w="3980" w:type="dxa"/>
            <w:vAlign w:val="bottom"/>
          </w:tcPr>
          <w:p>
            <w:pPr>
              <w:spacing w:after="0"/>
              <w:rPr>
                <w:sz w:val="20"/>
                <w:szCs w:val="20"/>
                <w:color w:val="auto"/>
              </w:rPr>
            </w:pPr>
            <w:r>
              <w:rPr>
                <w:rFonts w:ascii="Arial" w:cs="Arial" w:eastAsia="Arial" w:hAnsi="Arial"/>
                <w:sz w:val="14"/>
                <w:szCs w:val="14"/>
                <w:color w:val="auto"/>
              </w:rPr>
              <w:t>Nonperforming assets to total assets</w:t>
            </w: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4"/>
                <w:szCs w:val="14"/>
                <w:color w:val="auto"/>
              </w:rPr>
              <w:t>0.20%</w:t>
            </w:r>
          </w:p>
        </w:tc>
        <w:tc>
          <w:tcPr>
            <w:tcW w:w="100" w:type="dxa"/>
            <w:vAlign w:val="bottom"/>
          </w:tcPr>
          <w:p>
            <w:pPr>
              <w:spacing w:after="0"/>
              <w:rPr>
                <w:sz w:val="14"/>
                <w:szCs w:val="14"/>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4"/>
                <w:szCs w:val="14"/>
                <w:color w:val="auto"/>
              </w:rPr>
              <w:t>0.20%</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4"/>
                <w:szCs w:val="14"/>
                <w:color w:val="auto"/>
              </w:rPr>
              <w:t>0.20%</w:t>
            </w:r>
          </w:p>
        </w:tc>
        <w:tc>
          <w:tcPr>
            <w:tcW w:w="180" w:type="dxa"/>
            <w:vAlign w:val="bottom"/>
          </w:tcPr>
          <w:p>
            <w:pPr>
              <w:spacing w:after="0"/>
              <w:rPr>
                <w:sz w:val="14"/>
                <w:szCs w:val="14"/>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4"/>
                <w:szCs w:val="14"/>
                <w:color w:val="auto"/>
              </w:rPr>
              <w:t>0.33%</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0.30%</w:t>
            </w:r>
          </w:p>
        </w:tc>
      </w:tr>
      <w:tr>
        <w:trPr>
          <w:trHeight w:val="172"/>
        </w:trPr>
        <w:tc>
          <w:tcPr>
            <w:tcW w:w="3980" w:type="dxa"/>
            <w:vAlign w:val="bottom"/>
            <w:shd w:val="clear" w:color="auto" w:fill="CCEEFF"/>
          </w:tcPr>
          <w:p>
            <w:pPr>
              <w:spacing w:after="0"/>
              <w:rPr>
                <w:sz w:val="20"/>
                <w:szCs w:val="20"/>
                <w:color w:val="auto"/>
              </w:rPr>
            </w:pPr>
            <w:r>
              <w:rPr>
                <w:rFonts w:ascii="Arial" w:cs="Arial" w:eastAsia="Arial" w:hAnsi="Arial"/>
                <w:sz w:val="14"/>
                <w:szCs w:val="14"/>
                <w:color w:val="auto"/>
              </w:rPr>
              <w:t>Allowance for loan losses to total loans held for investment</w:t>
            </w: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1.43%</w:t>
            </w:r>
          </w:p>
        </w:tc>
        <w:tc>
          <w:tcPr>
            <w:tcW w:w="10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1.47%</w:t>
            </w: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1.54%</w:t>
            </w:r>
          </w:p>
        </w:tc>
        <w:tc>
          <w:tcPr>
            <w:tcW w:w="18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1.62%</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1.73%</w:t>
            </w:r>
          </w:p>
        </w:tc>
      </w:tr>
      <w:tr>
        <w:trPr>
          <w:trHeight w:val="182"/>
        </w:trPr>
        <w:tc>
          <w:tcPr>
            <w:tcW w:w="3980" w:type="dxa"/>
            <w:vAlign w:val="bottom"/>
          </w:tcPr>
          <w:p>
            <w:pPr>
              <w:spacing w:after="0"/>
              <w:rPr>
                <w:sz w:val="20"/>
                <w:szCs w:val="20"/>
                <w:color w:val="auto"/>
              </w:rPr>
            </w:pPr>
            <w:r>
              <w:rPr>
                <w:rFonts w:ascii="Arial" w:cs="Arial" w:eastAsia="Arial" w:hAnsi="Arial"/>
                <w:sz w:val="14"/>
                <w:szCs w:val="14"/>
                <w:color w:val="auto"/>
              </w:rPr>
              <w:t>Net charge-offs to average loans outstanding (annualized)</w:t>
            </w: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4"/>
                <w:szCs w:val="14"/>
                <w:color w:val="auto"/>
              </w:rPr>
              <w:t>0.09%</w:t>
            </w:r>
          </w:p>
        </w:tc>
        <w:tc>
          <w:tcPr>
            <w:tcW w:w="100" w:type="dxa"/>
            <w:vAlign w:val="bottom"/>
          </w:tcPr>
          <w:p>
            <w:pPr>
              <w:spacing w:after="0"/>
              <w:rPr>
                <w:sz w:val="15"/>
                <w:szCs w:val="15"/>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4"/>
                <w:szCs w:val="14"/>
                <w:color w:val="auto"/>
              </w:rPr>
              <w:t>(0.10)%</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4"/>
                <w:szCs w:val="14"/>
                <w:color w:val="auto"/>
              </w:rPr>
              <w:t>(0.02)%</w:t>
            </w:r>
          </w:p>
        </w:tc>
        <w:tc>
          <w:tcPr>
            <w:tcW w:w="180" w:type="dxa"/>
            <w:vAlign w:val="bottom"/>
          </w:tcPr>
          <w:p>
            <w:pPr>
              <w:spacing w:after="0"/>
              <w:rPr>
                <w:sz w:val="15"/>
                <w:szCs w:val="15"/>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4"/>
                <w:szCs w:val="14"/>
                <w:color w:val="auto"/>
              </w:rPr>
              <w:t>0.06%</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0.11%</w:t>
            </w:r>
          </w:p>
        </w:tc>
      </w:tr>
      <w:tr>
        <w:trPr>
          <w:trHeight w:val="325"/>
        </w:trPr>
        <w:tc>
          <w:tcPr>
            <w:tcW w:w="39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r>
    </w:tbl>
    <w:p>
      <w:pPr>
        <w:sectPr>
          <w:pgSz w:w="11900" w:h="16838" w:orient="portrait"/>
          <w:cols w:equalWidth="0" w:num="1">
            <w:col w:w="11280"/>
          </w:cols>
          <w:pgMar w:left="300" w:top="125" w:right="319" w:bottom="1440" w:gutter="0" w:footer="0" w:header="0"/>
        </w:sectPr>
      </w:pPr>
    </w:p>
    <w:bookmarkStart w:id="8" w:name="page9"/>
    <w:bookmarkEnd w:id="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6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920" w:type="dxa"/>
            <w:vAlign w:val="bottom"/>
            <w:gridSpan w:val="5"/>
          </w:tcPr>
          <w:p>
            <w:pPr>
              <w:jc w:val="center"/>
              <w:ind w:left="848"/>
              <w:spacing w:after="0"/>
              <w:rPr>
                <w:sz w:val="20"/>
                <w:szCs w:val="20"/>
                <w:color w:val="auto"/>
              </w:rPr>
            </w:pPr>
            <w:r>
              <w:rPr>
                <w:rFonts w:ascii="Arial" w:cs="Arial" w:eastAsia="Arial" w:hAnsi="Arial"/>
                <w:sz w:val="14"/>
                <w:szCs w:val="14"/>
                <w:b w:val="1"/>
                <w:bCs w:val="1"/>
                <w:color w:val="auto"/>
                <w:w w:val="92"/>
              </w:rPr>
              <w:t>As of and for the quarter ended</w:t>
            </w: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2"/>
        </w:trPr>
        <w:tc>
          <w:tcPr>
            <w:tcW w:w="4620" w:type="dxa"/>
            <w:vAlign w:val="bottom"/>
          </w:tcPr>
          <w:p>
            <w:pPr>
              <w:spacing w:after="0"/>
              <w:rPr>
                <w:sz w:val="14"/>
                <w:szCs w:val="14"/>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December 31</w:t>
            </w:r>
          </w:p>
        </w:tc>
        <w:tc>
          <w:tcPr>
            <w:tcW w:w="13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September 30,</w:t>
            </w:r>
          </w:p>
        </w:tc>
        <w:tc>
          <w:tcPr>
            <w:tcW w:w="156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92"/>
              </w:rPr>
              <w:t>June 30,</w:t>
            </w:r>
          </w:p>
        </w:tc>
        <w:tc>
          <w:tcPr>
            <w:tcW w:w="11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9"/>
              </w:rPr>
              <w:t>March 31,</w:t>
            </w:r>
          </w:p>
        </w:tc>
        <w:tc>
          <w:tcPr>
            <w:tcW w:w="12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December 31,</w:t>
            </w:r>
          </w:p>
        </w:tc>
      </w:tr>
      <w:tr>
        <w:trPr>
          <w:trHeight w:val="188"/>
        </w:trPr>
        <w:tc>
          <w:tcPr>
            <w:tcW w:w="4620" w:type="dxa"/>
            <w:vAlign w:val="bottom"/>
          </w:tcPr>
          <w:p>
            <w:pPr>
              <w:spacing w:after="0"/>
              <w:rPr>
                <w:sz w:val="16"/>
                <w:szCs w:val="16"/>
                <w:color w:val="auto"/>
              </w:rPr>
            </w:pPr>
          </w:p>
        </w:tc>
        <w:tc>
          <w:tcPr>
            <w:tcW w:w="112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6"/>
                <w:szCs w:val="16"/>
                <w:color w:val="auto"/>
              </w:rPr>
            </w:pPr>
          </w:p>
        </w:tc>
        <w:tc>
          <w:tcPr>
            <w:tcW w:w="112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6"/>
                <w:szCs w:val="16"/>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2022</w:t>
            </w:r>
          </w:p>
        </w:tc>
        <w:tc>
          <w:tcPr>
            <w:tcW w:w="2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6"/>
                <w:szCs w:val="16"/>
                <w:color w:val="auto"/>
              </w:rPr>
            </w:pPr>
          </w:p>
        </w:tc>
        <w:tc>
          <w:tcPr>
            <w:tcW w:w="112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r>
      <w:tr>
        <w:trPr>
          <w:trHeight w:val="171"/>
        </w:trPr>
        <w:tc>
          <w:tcPr>
            <w:tcW w:w="4620" w:type="dxa"/>
            <w:vAlign w:val="bottom"/>
          </w:tcPr>
          <w:p>
            <w:pPr>
              <w:spacing w:after="0"/>
              <w:rPr>
                <w:sz w:val="20"/>
                <w:szCs w:val="20"/>
                <w:color w:val="auto"/>
              </w:rPr>
            </w:pPr>
            <w:r>
              <w:rPr>
                <w:rFonts w:ascii="Arial" w:cs="Arial" w:eastAsia="Arial" w:hAnsi="Arial"/>
                <w:sz w:val="14"/>
                <w:szCs w:val="14"/>
                <w:b w:val="1"/>
                <w:bCs w:val="1"/>
                <w:color w:val="auto"/>
              </w:rPr>
              <w:t>Capital Ratios:</w:t>
            </w: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3"/>
        </w:trPr>
        <w:tc>
          <w:tcPr>
            <w:tcW w:w="4620" w:type="dxa"/>
            <w:vAlign w:val="bottom"/>
            <w:shd w:val="clear" w:color="auto" w:fill="CCEEFF"/>
          </w:tcPr>
          <w:p>
            <w:pPr>
              <w:spacing w:after="0"/>
              <w:rPr>
                <w:sz w:val="20"/>
                <w:szCs w:val="20"/>
                <w:color w:val="auto"/>
              </w:rPr>
            </w:pPr>
            <w:r>
              <w:rPr>
                <w:rFonts w:ascii="Arial" w:cs="Arial" w:eastAsia="Arial" w:hAnsi="Arial"/>
                <w:sz w:val="14"/>
                <w:szCs w:val="14"/>
                <w:color w:val="auto"/>
              </w:rPr>
              <w:t>Total stockholders’ equity to total assets</w:t>
            </w: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9.05%</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8.56%</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9.16%</w:t>
            </w:r>
          </w:p>
        </w:tc>
        <w:tc>
          <w:tcPr>
            <w:tcW w:w="20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9.68%</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10.44%</w:t>
            </w:r>
          </w:p>
        </w:tc>
      </w:tr>
      <w:tr>
        <w:trPr>
          <w:trHeight w:val="172"/>
        </w:trPr>
        <w:tc>
          <w:tcPr>
            <w:tcW w:w="4620" w:type="dxa"/>
            <w:vAlign w:val="bottom"/>
          </w:tcPr>
          <w:p>
            <w:pPr>
              <w:spacing w:after="0"/>
              <w:rPr>
                <w:sz w:val="20"/>
                <w:szCs w:val="20"/>
                <w:color w:val="auto"/>
              </w:rPr>
            </w:pPr>
            <w:r>
              <w:rPr>
                <w:rFonts w:ascii="Arial" w:cs="Arial" w:eastAsia="Arial" w:hAnsi="Arial"/>
                <w:sz w:val="14"/>
                <w:szCs w:val="14"/>
                <w:color w:val="auto"/>
              </w:rPr>
              <w:t>Tangible common equity to tangible assets (non-GAAP)</w:t>
            </w:r>
          </w:p>
        </w:tc>
        <w:tc>
          <w:tcPr>
            <w:tcW w:w="1340" w:type="dxa"/>
            <w:vAlign w:val="bottom"/>
            <w:gridSpan w:val="2"/>
          </w:tcPr>
          <w:p>
            <w:pPr>
              <w:jc w:val="right"/>
              <w:ind w:right="120"/>
              <w:spacing w:after="0"/>
              <w:rPr>
                <w:sz w:val="20"/>
                <w:szCs w:val="20"/>
                <w:color w:val="auto"/>
              </w:rPr>
            </w:pPr>
            <w:r>
              <w:rPr>
                <w:rFonts w:ascii="Arial" w:cs="Arial" w:eastAsia="Arial" w:hAnsi="Arial"/>
                <w:sz w:val="14"/>
                <w:szCs w:val="14"/>
                <w:color w:val="auto"/>
              </w:rPr>
              <w:t>8.50%</w:t>
            </w:r>
          </w:p>
        </w:tc>
        <w:tc>
          <w:tcPr>
            <w:tcW w:w="1360" w:type="dxa"/>
            <w:vAlign w:val="bottom"/>
            <w:gridSpan w:val="2"/>
          </w:tcPr>
          <w:p>
            <w:pPr>
              <w:jc w:val="right"/>
              <w:ind w:right="120"/>
              <w:spacing w:after="0"/>
              <w:rPr>
                <w:sz w:val="20"/>
                <w:szCs w:val="20"/>
                <w:color w:val="auto"/>
              </w:rPr>
            </w:pPr>
            <w:r>
              <w:rPr>
                <w:rFonts w:ascii="Arial" w:cs="Arial" w:eastAsia="Arial" w:hAnsi="Arial"/>
                <w:sz w:val="14"/>
                <w:szCs w:val="14"/>
                <w:color w:val="auto"/>
              </w:rPr>
              <w:t>8.00%</w:t>
            </w:r>
          </w:p>
        </w:tc>
        <w:tc>
          <w:tcPr>
            <w:tcW w:w="1360" w:type="dxa"/>
            <w:vAlign w:val="bottom"/>
            <w:gridSpan w:val="2"/>
          </w:tcPr>
          <w:p>
            <w:pPr>
              <w:jc w:val="right"/>
              <w:ind w:right="120"/>
              <w:spacing w:after="0"/>
              <w:rPr>
                <w:sz w:val="20"/>
                <w:szCs w:val="20"/>
                <w:color w:val="auto"/>
              </w:rPr>
            </w:pPr>
            <w:r>
              <w:rPr>
                <w:rFonts w:ascii="Arial" w:cs="Arial" w:eastAsia="Arial" w:hAnsi="Arial"/>
                <w:sz w:val="14"/>
                <w:szCs w:val="14"/>
                <w:color w:val="auto"/>
              </w:rPr>
              <w:t>8.60%</w:t>
            </w:r>
          </w:p>
        </w:tc>
        <w:tc>
          <w:tcPr>
            <w:tcW w:w="200" w:type="dxa"/>
            <w:vAlign w:val="bottom"/>
          </w:tcPr>
          <w:p>
            <w:pPr>
              <w:spacing w:after="0"/>
              <w:rPr>
                <w:sz w:val="14"/>
                <w:szCs w:val="14"/>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4"/>
                <w:szCs w:val="14"/>
                <w:color w:val="auto"/>
              </w:rPr>
              <w:t>9.11%</w:t>
            </w:r>
          </w:p>
        </w:tc>
        <w:tc>
          <w:tcPr>
            <w:tcW w:w="1240" w:type="dxa"/>
            <w:vAlign w:val="bottom"/>
            <w:gridSpan w:val="2"/>
          </w:tcPr>
          <w:p>
            <w:pPr>
              <w:jc w:val="right"/>
              <w:spacing w:after="0"/>
              <w:rPr>
                <w:sz w:val="20"/>
                <w:szCs w:val="20"/>
                <w:color w:val="auto"/>
              </w:rPr>
            </w:pPr>
            <w:r>
              <w:rPr>
                <w:rFonts w:ascii="Arial" w:cs="Arial" w:eastAsia="Arial" w:hAnsi="Arial"/>
                <w:sz w:val="14"/>
                <w:szCs w:val="14"/>
                <w:color w:val="auto"/>
              </w:rPr>
              <w:t>9.85%</w:t>
            </w:r>
          </w:p>
        </w:tc>
      </w:tr>
      <w:tr>
        <w:trPr>
          <w:trHeight w:val="172"/>
        </w:trPr>
        <w:tc>
          <w:tcPr>
            <w:tcW w:w="4620" w:type="dxa"/>
            <w:vAlign w:val="bottom"/>
            <w:shd w:val="clear" w:color="auto" w:fill="CCEEFF"/>
          </w:tcPr>
          <w:p>
            <w:pPr>
              <w:spacing w:after="0"/>
              <w:rPr>
                <w:sz w:val="20"/>
                <w:szCs w:val="20"/>
                <w:color w:val="auto"/>
              </w:rPr>
            </w:pPr>
            <w:r>
              <w:rPr>
                <w:rFonts w:ascii="Arial" w:cs="Arial" w:eastAsia="Arial" w:hAnsi="Arial"/>
                <w:sz w:val="14"/>
                <w:szCs w:val="14"/>
                <w:color w:val="auto"/>
              </w:rPr>
              <w:t>Common equity tier 1 to risk-weighted assets</w:t>
            </w: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11.81%</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11.67%</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12.24%</w:t>
            </w:r>
          </w:p>
        </w:tc>
        <w:tc>
          <w:tcPr>
            <w:tcW w:w="20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12.86%</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12.91%</w:t>
            </w:r>
          </w:p>
        </w:tc>
      </w:tr>
      <w:tr>
        <w:trPr>
          <w:trHeight w:val="172"/>
        </w:trPr>
        <w:tc>
          <w:tcPr>
            <w:tcW w:w="4620" w:type="dxa"/>
            <w:vAlign w:val="bottom"/>
          </w:tcPr>
          <w:p>
            <w:pPr>
              <w:spacing w:after="0"/>
              <w:rPr>
                <w:sz w:val="20"/>
                <w:szCs w:val="20"/>
                <w:color w:val="auto"/>
              </w:rPr>
            </w:pPr>
            <w:r>
              <w:rPr>
                <w:rFonts w:ascii="Arial" w:cs="Arial" w:eastAsia="Arial" w:hAnsi="Arial"/>
                <w:sz w:val="14"/>
                <w:szCs w:val="14"/>
                <w:color w:val="auto"/>
              </w:rPr>
              <w:t>Tier 1 capital to average assets</w:t>
            </w:r>
          </w:p>
        </w:tc>
        <w:tc>
          <w:tcPr>
            <w:tcW w:w="1340" w:type="dxa"/>
            <w:vAlign w:val="bottom"/>
            <w:gridSpan w:val="2"/>
          </w:tcPr>
          <w:p>
            <w:pPr>
              <w:jc w:val="right"/>
              <w:ind w:right="120"/>
              <w:spacing w:after="0"/>
              <w:rPr>
                <w:sz w:val="20"/>
                <w:szCs w:val="20"/>
                <w:color w:val="auto"/>
              </w:rPr>
            </w:pPr>
            <w:r>
              <w:rPr>
                <w:rFonts w:ascii="Arial" w:cs="Arial" w:eastAsia="Arial" w:hAnsi="Arial"/>
                <w:sz w:val="14"/>
                <w:szCs w:val="14"/>
                <w:color w:val="auto"/>
              </w:rPr>
              <w:t>11.03%</w:t>
            </w:r>
          </w:p>
        </w:tc>
        <w:tc>
          <w:tcPr>
            <w:tcW w:w="1360" w:type="dxa"/>
            <w:vAlign w:val="bottom"/>
            <w:gridSpan w:val="2"/>
          </w:tcPr>
          <w:p>
            <w:pPr>
              <w:jc w:val="right"/>
              <w:ind w:right="120"/>
              <w:spacing w:after="0"/>
              <w:rPr>
                <w:sz w:val="20"/>
                <w:szCs w:val="20"/>
                <w:color w:val="auto"/>
              </w:rPr>
            </w:pPr>
            <w:r>
              <w:rPr>
                <w:rFonts w:ascii="Arial" w:cs="Arial" w:eastAsia="Arial" w:hAnsi="Arial"/>
                <w:sz w:val="14"/>
                <w:szCs w:val="14"/>
                <w:color w:val="auto"/>
              </w:rPr>
              <w:t>10.95%</w:t>
            </w:r>
          </w:p>
        </w:tc>
        <w:tc>
          <w:tcPr>
            <w:tcW w:w="1360" w:type="dxa"/>
            <w:vAlign w:val="bottom"/>
            <w:gridSpan w:val="2"/>
          </w:tcPr>
          <w:p>
            <w:pPr>
              <w:jc w:val="right"/>
              <w:ind w:right="120"/>
              <w:spacing w:after="0"/>
              <w:rPr>
                <w:sz w:val="20"/>
                <w:szCs w:val="20"/>
                <w:color w:val="auto"/>
              </w:rPr>
            </w:pPr>
            <w:r>
              <w:rPr>
                <w:rFonts w:ascii="Arial" w:cs="Arial" w:eastAsia="Arial" w:hAnsi="Arial"/>
                <w:sz w:val="14"/>
                <w:szCs w:val="14"/>
                <w:color w:val="auto"/>
              </w:rPr>
              <w:t>10.93%</w:t>
            </w:r>
          </w:p>
        </w:tc>
        <w:tc>
          <w:tcPr>
            <w:tcW w:w="200" w:type="dxa"/>
            <w:vAlign w:val="bottom"/>
          </w:tcPr>
          <w:p>
            <w:pPr>
              <w:spacing w:after="0"/>
              <w:rPr>
                <w:sz w:val="14"/>
                <w:szCs w:val="14"/>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4"/>
                <w:szCs w:val="14"/>
                <w:color w:val="auto"/>
              </w:rPr>
              <w:t>10.78%</w:t>
            </w:r>
          </w:p>
        </w:tc>
        <w:tc>
          <w:tcPr>
            <w:tcW w:w="1240" w:type="dxa"/>
            <w:vAlign w:val="bottom"/>
            <w:gridSpan w:val="2"/>
          </w:tcPr>
          <w:p>
            <w:pPr>
              <w:jc w:val="right"/>
              <w:spacing w:after="0"/>
              <w:rPr>
                <w:sz w:val="20"/>
                <w:szCs w:val="20"/>
                <w:color w:val="auto"/>
              </w:rPr>
            </w:pPr>
            <w:r>
              <w:rPr>
                <w:rFonts w:ascii="Arial" w:cs="Arial" w:eastAsia="Arial" w:hAnsi="Arial"/>
                <w:sz w:val="14"/>
                <w:szCs w:val="14"/>
                <w:color w:val="auto"/>
              </w:rPr>
              <w:t>10.77%</w:t>
            </w:r>
          </w:p>
        </w:tc>
      </w:tr>
      <w:tr>
        <w:trPr>
          <w:trHeight w:val="172"/>
        </w:trPr>
        <w:tc>
          <w:tcPr>
            <w:tcW w:w="4620" w:type="dxa"/>
            <w:vAlign w:val="bottom"/>
            <w:shd w:val="clear" w:color="auto" w:fill="CCEEFF"/>
          </w:tcPr>
          <w:p>
            <w:pPr>
              <w:spacing w:after="0"/>
              <w:rPr>
                <w:sz w:val="20"/>
                <w:szCs w:val="20"/>
                <w:color w:val="auto"/>
              </w:rPr>
            </w:pPr>
            <w:r>
              <w:rPr>
                <w:rFonts w:ascii="Arial" w:cs="Arial" w:eastAsia="Arial" w:hAnsi="Arial"/>
                <w:sz w:val="14"/>
                <w:szCs w:val="14"/>
                <w:color w:val="auto"/>
              </w:rPr>
              <w:t>Total capital to risk-weighted assets</w:t>
            </w: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16.58%</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16.46%</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17.32%</w:t>
            </w:r>
          </w:p>
        </w:tc>
        <w:tc>
          <w:tcPr>
            <w:tcW w:w="20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18.22%</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18.40%</w:t>
            </w:r>
          </w:p>
        </w:tc>
      </w:tr>
    </w:tbl>
    <w:p>
      <w:pPr>
        <w:spacing w:after="0" w:line="183" w:lineRule="exact"/>
        <w:rPr>
          <w:sz w:val="20"/>
          <w:szCs w:val="20"/>
          <w:color w:val="auto"/>
        </w:rPr>
      </w:pPr>
    </w:p>
    <w:p>
      <w:pPr>
        <w:spacing w:after="0"/>
        <w:rPr>
          <w:sz w:val="20"/>
          <w:szCs w:val="20"/>
          <w:color w:val="auto"/>
        </w:rPr>
      </w:pPr>
      <w:r>
        <w:rPr>
          <w:rFonts w:ascii="Arial" w:cs="Arial" w:eastAsia="Arial" w:hAnsi="Arial"/>
          <w:sz w:val="14"/>
          <w:szCs w:val="14"/>
          <w:color w:val="auto"/>
        </w:rPr>
        <w:t>(1) Net interest margin is calculated as the annual net interest income, on a fully tax-equivalent basis, divided by average interest-earning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225425</wp:posOffset>
            </wp:positionV>
            <wp:extent cx="7160260" cy="139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9" w:name="page10"/>
    <w:bookmarkEnd w:id="9"/>
    <w:p>
      <w:pPr>
        <w:spacing w:after="0"/>
        <w:rPr>
          <w:sz w:val="20"/>
          <w:szCs w:val="20"/>
          <w:color w:val="auto"/>
        </w:rPr>
      </w:pPr>
      <w:r>
        <w:rPr>
          <w:rFonts w:ascii="Arial" w:cs="Arial" w:eastAsia="Arial" w:hAnsi="Arial"/>
          <w:sz w:val="14"/>
          <w:szCs w:val="14"/>
          <w:b w:val="1"/>
          <w:bCs w:val="1"/>
          <w:color w:val="auto"/>
        </w:rPr>
        <w:t>South Plains Financial, Inc.</w:t>
      </w:r>
    </w:p>
    <w:p>
      <w:pPr>
        <w:spacing w:after="0" w:line="2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Average Balances and Yields - (Unaudited)</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(Dollars in thousands)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5"/>
          </w:tcPr>
          <w:p>
            <w:pPr>
              <w:jc w:val="right"/>
              <w:ind w:right="460"/>
              <w:spacing w:after="0"/>
              <w:rPr>
                <w:sz w:val="20"/>
                <w:szCs w:val="20"/>
                <w:color w:val="auto"/>
              </w:rPr>
            </w:pPr>
            <w:r>
              <w:rPr>
                <w:rFonts w:ascii="Arial" w:cs="Arial" w:eastAsia="Arial" w:hAnsi="Arial"/>
                <w:sz w:val="14"/>
                <w:szCs w:val="14"/>
                <w:b w:val="1"/>
                <w:bCs w:val="1"/>
                <w:color w:val="auto"/>
              </w:rPr>
              <w:t>For the Three Months Ended</w:t>
            </w: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0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rPr>
              <w:t>December 31, 2022</w:t>
            </w:r>
          </w:p>
        </w:tc>
        <w:tc>
          <w:tcPr>
            <w:tcW w:w="112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4"/>
          </w:tcPr>
          <w:p>
            <w:pPr>
              <w:jc w:val="center"/>
              <w:ind w:right="100"/>
              <w:spacing w:after="0"/>
              <w:rPr>
                <w:sz w:val="20"/>
                <w:szCs w:val="20"/>
                <w:color w:val="auto"/>
              </w:rPr>
            </w:pPr>
            <w:r>
              <w:rPr>
                <w:rFonts w:ascii="Arial" w:cs="Arial" w:eastAsia="Arial" w:hAnsi="Arial"/>
                <w:sz w:val="14"/>
                <w:szCs w:val="14"/>
                <w:b w:val="1"/>
                <w:bCs w:val="1"/>
                <w:color w:val="auto"/>
                <w:w w:val="91"/>
              </w:rPr>
              <w:t>December 31, 2021</w:t>
            </w:r>
          </w:p>
        </w:tc>
        <w:tc>
          <w:tcPr>
            <w:tcW w:w="11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0"/>
        </w:trPr>
        <w:tc>
          <w:tcPr>
            <w:tcW w:w="2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Average</w:t>
            </w: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Average</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Balance</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gridSpan w:val="2"/>
          </w:tcPr>
          <w:p>
            <w:pPr>
              <w:ind w:left="140"/>
              <w:spacing w:after="0"/>
              <w:rPr>
                <w:sz w:val="20"/>
                <w:szCs w:val="20"/>
                <w:color w:val="auto"/>
              </w:rPr>
            </w:pPr>
            <w:r>
              <w:rPr>
                <w:rFonts w:ascii="Arial" w:cs="Arial" w:eastAsia="Arial" w:hAnsi="Arial"/>
                <w:sz w:val="14"/>
                <w:szCs w:val="14"/>
                <w:b w:val="1"/>
                <w:bCs w:val="1"/>
                <w:color w:val="auto"/>
              </w:rPr>
              <w:t>Interest</w:t>
            </w:r>
          </w:p>
        </w:tc>
        <w:tc>
          <w:tcPr>
            <w:tcW w:w="13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Yield/Rate</w:t>
            </w:r>
          </w:p>
        </w:tc>
        <w:tc>
          <w:tcPr>
            <w:tcW w:w="200" w:type="dxa"/>
            <w:vAlign w:val="bottom"/>
          </w:tcPr>
          <w:p>
            <w:pPr>
              <w:spacing w:after="0"/>
              <w:rPr>
                <w:sz w:val="16"/>
                <w:szCs w:val="16"/>
                <w:color w:val="auto"/>
              </w:rPr>
            </w:pPr>
          </w:p>
        </w:tc>
        <w:tc>
          <w:tcPr>
            <w:tcW w:w="10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Balance</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4"/>
              </w:rPr>
              <w:t>Interest</w:t>
            </w:r>
          </w:p>
        </w:tc>
        <w:tc>
          <w:tcPr>
            <w:tcW w:w="12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Yield/Rate</w:t>
            </w:r>
          </w:p>
        </w:tc>
        <w:tc>
          <w:tcPr>
            <w:tcW w:w="0" w:type="dxa"/>
            <w:vAlign w:val="bottom"/>
          </w:tcPr>
          <w:p>
            <w:pPr>
              <w:spacing w:after="0"/>
              <w:rPr>
                <w:sz w:val="1"/>
                <w:szCs w:val="1"/>
                <w:color w:val="auto"/>
              </w:rPr>
            </w:pPr>
          </w:p>
        </w:tc>
      </w:tr>
      <w:tr>
        <w:trPr>
          <w:trHeight w:val="171"/>
        </w:trPr>
        <w:tc>
          <w:tcPr>
            <w:tcW w:w="3080" w:type="dxa"/>
            <w:vAlign w:val="bottom"/>
            <w:gridSpan w:val="2"/>
          </w:tcPr>
          <w:p>
            <w:pPr>
              <w:spacing w:after="0"/>
              <w:rPr>
                <w:sz w:val="20"/>
                <w:szCs w:val="20"/>
                <w:color w:val="auto"/>
              </w:rPr>
            </w:pPr>
            <w:r>
              <w:rPr>
                <w:rFonts w:ascii="Arial" w:cs="Arial" w:eastAsia="Arial" w:hAnsi="Arial"/>
                <w:sz w:val="14"/>
                <w:szCs w:val="14"/>
                <w:b w:val="1"/>
                <w:bCs w:val="1"/>
                <w:color w:val="auto"/>
              </w:rPr>
              <w:t>Assets</w:t>
            </w:r>
          </w:p>
        </w:tc>
        <w:tc>
          <w:tcPr>
            <w:tcW w:w="2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060" w:type="dxa"/>
            <w:vAlign w:val="bottom"/>
            <w:shd w:val="clear" w:color="auto" w:fill="CCEEFF"/>
          </w:tcPr>
          <w:p>
            <w:pPr>
              <w:spacing w:after="0" w:line="173" w:lineRule="exact"/>
              <w:rPr>
                <w:sz w:val="20"/>
                <w:szCs w:val="20"/>
                <w:color w:val="auto"/>
              </w:rPr>
            </w:pPr>
            <w:r>
              <w:rPr>
                <w:rFonts w:ascii="Arial" w:cs="Arial" w:eastAsia="Arial" w:hAnsi="Arial"/>
                <w:sz w:val="13"/>
                <w:szCs w:val="13"/>
                <w:color w:val="auto"/>
              </w:rPr>
              <w:t xml:space="preserve">Loans, excluding PPP </w:t>
            </w:r>
            <w:r>
              <w:rPr>
                <w:rFonts w:ascii="Arial" w:cs="Arial" w:eastAsia="Arial" w:hAnsi="Arial"/>
                <w:sz w:val="20"/>
                <w:szCs w:val="20"/>
                <w:color w:val="auto"/>
                <w:vertAlign w:val="superscript"/>
              </w:rPr>
              <w:t>(1)</w:t>
            </w: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2,744,574</w:t>
            </w:r>
          </w:p>
        </w:tc>
        <w:tc>
          <w:tcPr>
            <w:tcW w:w="100" w:type="dxa"/>
            <w:vAlign w:val="bottom"/>
            <w:shd w:val="clear" w:color="auto" w:fill="CCEEFF"/>
          </w:tcPr>
          <w:p>
            <w:pPr>
              <w:spacing w:after="0"/>
              <w:rPr>
                <w:sz w:val="15"/>
                <w:szCs w:val="15"/>
                <w:color w:val="auto"/>
              </w:rPr>
            </w:pP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38,607</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5.58%</w:t>
            </w: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2,469,703</w:t>
            </w:r>
          </w:p>
        </w:tc>
        <w:tc>
          <w:tcPr>
            <w:tcW w:w="100" w:type="dxa"/>
            <w:vAlign w:val="bottom"/>
            <w:shd w:val="clear" w:color="auto" w:fill="CCEEFF"/>
          </w:tcPr>
          <w:p>
            <w:pPr>
              <w:spacing w:after="0"/>
              <w:rPr>
                <w:sz w:val="15"/>
                <w:szCs w:val="15"/>
                <w:color w:val="auto"/>
              </w:rPr>
            </w:pP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29,940</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4.81%</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060" w:type="dxa"/>
            <w:vAlign w:val="bottom"/>
          </w:tcPr>
          <w:p>
            <w:pPr>
              <w:spacing w:after="0"/>
              <w:rPr>
                <w:sz w:val="20"/>
                <w:szCs w:val="20"/>
                <w:color w:val="auto"/>
              </w:rPr>
            </w:pPr>
            <w:r>
              <w:rPr>
                <w:rFonts w:ascii="Arial" w:cs="Arial" w:eastAsia="Arial" w:hAnsi="Arial"/>
                <w:sz w:val="14"/>
                <w:szCs w:val="14"/>
                <w:color w:val="auto"/>
              </w:rPr>
              <w:t>Loans - PPP</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1,021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88</w:t>
            </w:r>
          </w:p>
        </w:tc>
        <w:tc>
          <w:tcPr>
            <w:tcW w:w="200" w:type="dxa"/>
            <w:vAlign w:val="bottom"/>
          </w:tcPr>
          <w:p>
            <w:pPr>
              <w:spacing w:after="0"/>
              <w:rPr>
                <w:sz w:val="14"/>
                <w:szCs w:val="14"/>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4"/>
                <w:szCs w:val="14"/>
                <w:color w:val="auto"/>
              </w:rPr>
              <w:t>34.19%</w:t>
            </w:r>
          </w:p>
        </w:tc>
        <w:tc>
          <w:tcPr>
            <w:tcW w:w="200" w:type="dxa"/>
            <w:vAlign w:val="bottom"/>
          </w:tcPr>
          <w:p>
            <w:pPr>
              <w:spacing w:after="0"/>
              <w:rPr>
                <w:sz w:val="14"/>
                <w:szCs w:val="14"/>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4"/>
                <w:szCs w:val="14"/>
                <w:color w:val="auto"/>
              </w:rPr>
              <w:t>48,033</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1,143</w:t>
            </w:r>
          </w:p>
        </w:tc>
        <w:tc>
          <w:tcPr>
            <w:tcW w:w="220" w:type="dxa"/>
            <w:vAlign w:val="bottom"/>
          </w:tcPr>
          <w:p>
            <w:pPr>
              <w:spacing w:after="0"/>
              <w:rPr>
                <w:sz w:val="14"/>
                <w:szCs w:val="14"/>
                <w:color w:val="auto"/>
              </w:rPr>
            </w:pPr>
          </w:p>
        </w:tc>
        <w:tc>
          <w:tcPr>
            <w:tcW w:w="1240" w:type="dxa"/>
            <w:vAlign w:val="bottom"/>
            <w:gridSpan w:val="2"/>
          </w:tcPr>
          <w:p>
            <w:pPr>
              <w:jc w:val="right"/>
              <w:spacing w:after="0"/>
              <w:rPr>
                <w:sz w:val="20"/>
                <w:szCs w:val="20"/>
                <w:color w:val="auto"/>
              </w:rPr>
            </w:pPr>
            <w:r>
              <w:rPr>
                <w:rFonts w:ascii="Arial" w:cs="Arial" w:eastAsia="Arial" w:hAnsi="Arial"/>
                <w:sz w:val="14"/>
                <w:szCs w:val="14"/>
                <w:color w:val="auto"/>
              </w:rPr>
              <w:t>9.44%</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4"/>
                <w:szCs w:val="14"/>
                <w:color w:val="auto"/>
              </w:rPr>
              <w:t>Debt securities - taxable</w:t>
            </w: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601,411</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4,868</w:t>
            </w:r>
          </w:p>
        </w:tc>
        <w:tc>
          <w:tcPr>
            <w:tcW w:w="20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3.21%</w:t>
            </w:r>
          </w:p>
        </w:tc>
        <w:tc>
          <w:tcPr>
            <w:tcW w:w="20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507,948</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2,174</w:t>
            </w:r>
          </w:p>
        </w:tc>
        <w:tc>
          <w:tcPr>
            <w:tcW w:w="22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1.70%</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060" w:type="dxa"/>
            <w:vAlign w:val="bottom"/>
          </w:tcPr>
          <w:p>
            <w:pPr>
              <w:spacing w:after="0"/>
              <w:rPr>
                <w:sz w:val="20"/>
                <w:szCs w:val="20"/>
                <w:color w:val="auto"/>
              </w:rPr>
            </w:pPr>
            <w:r>
              <w:rPr>
                <w:rFonts w:ascii="Arial" w:cs="Arial" w:eastAsia="Arial" w:hAnsi="Arial"/>
                <w:sz w:val="14"/>
                <w:szCs w:val="14"/>
                <w:color w:val="auto"/>
              </w:rPr>
              <w:t>Debt securities - nontaxable</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214,011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1,418</w:t>
            </w:r>
          </w:p>
        </w:tc>
        <w:tc>
          <w:tcPr>
            <w:tcW w:w="200" w:type="dxa"/>
            <w:vAlign w:val="bottom"/>
          </w:tcPr>
          <w:p>
            <w:pPr>
              <w:spacing w:after="0"/>
              <w:rPr>
                <w:sz w:val="14"/>
                <w:szCs w:val="14"/>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4"/>
                <w:szCs w:val="14"/>
                <w:color w:val="auto"/>
              </w:rPr>
              <w:t>2.63%</w:t>
            </w:r>
          </w:p>
        </w:tc>
        <w:tc>
          <w:tcPr>
            <w:tcW w:w="200" w:type="dxa"/>
            <w:vAlign w:val="bottom"/>
          </w:tcPr>
          <w:p>
            <w:pPr>
              <w:spacing w:after="0"/>
              <w:rPr>
                <w:sz w:val="14"/>
                <w:szCs w:val="14"/>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4"/>
                <w:szCs w:val="14"/>
                <w:color w:val="auto"/>
              </w:rPr>
              <w:t>219,812</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1,458</w:t>
            </w:r>
          </w:p>
        </w:tc>
        <w:tc>
          <w:tcPr>
            <w:tcW w:w="220" w:type="dxa"/>
            <w:vAlign w:val="bottom"/>
          </w:tcPr>
          <w:p>
            <w:pPr>
              <w:spacing w:after="0"/>
              <w:rPr>
                <w:sz w:val="14"/>
                <w:szCs w:val="14"/>
                <w:color w:val="auto"/>
              </w:rPr>
            </w:pPr>
          </w:p>
        </w:tc>
        <w:tc>
          <w:tcPr>
            <w:tcW w:w="1240" w:type="dxa"/>
            <w:vAlign w:val="bottom"/>
            <w:gridSpan w:val="2"/>
          </w:tcPr>
          <w:p>
            <w:pPr>
              <w:jc w:val="right"/>
              <w:spacing w:after="0"/>
              <w:rPr>
                <w:sz w:val="20"/>
                <w:szCs w:val="20"/>
                <w:color w:val="auto"/>
              </w:rPr>
            </w:pPr>
            <w:r>
              <w:rPr>
                <w:rFonts w:ascii="Arial" w:cs="Arial" w:eastAsia="Arial" w:hAnsi="Arial"/>
                <w:sz w:val="14"/>
                <w:szCs w:val="14"/>
                <w:color w:val="auto"/>
              </w:rPr>
              <w:t>2.63%</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4"/>
                <w:szCs w:val="14"/>
                <w:color w:val="auto"/>
              </w:rPr>
              <w:t>Other interest-bearing assets</w:t>
            </w: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184,471</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1,546</w:t>
            </w:r>
          </w:p>
        </w:tc>
        <w:tc>
          <w:tcPr>
            <w:tcW w:w="20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3.32%</w:t>
            </w:r>
          </w:p>
        </w:tc>
        <w:tc>
          <w:tcPr>
            <w:tcW w:w="20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359,088</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192</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0.21%</w:t>
            </w:r>
          </w:p>
        </w:tc>
        <w:tc>
          <w:tcPr>
            <w:tcW w:w="0" w:type="dxa"/>
            <w:vAlign w:val="bottom"/>
          </w:tcPr>
          <w:p>
            <w:pPr>
              <w:spacing w:after="0"/>
              <w:rPr>
                <w:sz w:val="1"/>
                <w:szCs w:val="1"/>
                <w:color w:val="auto"/>
              </w:rPr>
            </w:pPr>
          </w:p>
        </w:tc>
      </w:tr>
      <w:tr>
        <w:trPr>
          <w:trHeight w:val="172"/>
        </w:trPr>
        <w:tc>
          <w:tcPr>
            <w:tcW w:w="20" w:type="dxa"/>
            <w:vAlign w:val="bottom"/>
            <w:vMerge w:val="restart"/>
          </w:tcPr>
          <w:p>
            <w:pPr>
              <w:spacing w:after="0"/>
              <w:rPr>
                <w:sz w:val="14"/>
                <w:szCs w:val="14"/>
                <w:color w:val="auto"/>
              </w:rPr>
            </w:pPr>
          </w:p>
        </w:tc>
        <w:tc>
          <w:tcPr>
            <w:tcW w:w="3060" w:type="dxa"/>
            <w:vAlign w:val="bottom"/>
            <w:tcBorders>
              <w:top w:val="single" w:sz="8" w:color="CCEEFF"/>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1360" w:type="dxa"/>
            <w:vAlign w:val="bottom"/>
            <w:tcBorders>
              <w:top w:val="single" w:sz="8" w:color="CCEEFF"/>
            </w:tcBorders>
            <w:gridSpan w:val="2"/>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1240" w:type="dxa"/>
            <w:vAlign w:val="bottom"/>
            <w:tcBorders>
              <w:top w:val="single" w:sz="8" w:color="CCEEFF"/>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Total interest-earning assets</w:t>
            </w: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3,745,488</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46,527</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4.93%</w:t>
            </w: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3,604,584</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34,907</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3.84%</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060" w:type="dxa"/>
            <w:vAlign w:val="bottom"/>
          </w:tcPr>
          <w:p>
            <w:pPr>
              <w:spacing w:after="0"/>
              <w:rPr>
                <w:sz w:val="20"/>
                <w:szCs w:val="20"/>
                <w:color w:val="auto"/>
              </w:rPr>
            </w:pPr>
            <w:r>
              <w:rPr>
                <w:rFonts w:ascii="Arial" w:cs="Arial" w:eastAsia="Arial" w:hAnsi="Arial"/>
                <w:sz w:val="14"/>
                <w:szCs w:val="14"/>
                <w:color w:val="auto"/>
              </w:rPr>
              <w:t>Noninterest-earning assets</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182,088</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4"/>
                <w:szCs w:val="14"/>
                <w:color w:val="auto"/>
              </w:rPr>
              <w:t>260,211</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0" w:type="dxa"/>
            <w:vAlign w:val="bottom"/>
            <w:vMerge w:val="restart"/>
          </w:tcPr>
          <w:p>
            <w:pPr>
              <w:spacing w:after="0"/>
              <w:rPr>
                <w:sz w:val="14"/>
                <w:szCs w:val="14"/>
                <w:color w:val="auto"/>
              </w:rPr>
            </w:pPr>
          </w:p>
        </w:tc>
        <w:tc>
          <w:tcPr>
            <w:tcW w:w="30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3060" w:type="dxa"/>
            <w:vAlign w:val="bottom"/>
          </w:tcPr>
          <w:p>
            <w:pPr>
              <w:spacing w:after="0"/>
              <w:rPr>
                <w:sz w:val="20"/>
                <w:szCs w:val="20"/>
                <w:color w:val="auto"/>
              </w:rPr>
            </w:pPr>
            <w:r>
              <w:rPr>
                <w:rFonts w:ascii="Arial" w:cs="Arial" w:eastAsia="Arial" w:hAnsi="Arial"/>
                <w:sz w:val="14"/>
                <w:szCs w:val="14"/>
                <w:b w:val="1"/>
                <w:bCs w:val="1"/>
                <w:color w:val="auto"/>
              </w:rPr>
              <w:t>Total assets</w:t>
            </w:r>
          </w:p>
        </w:tc>
        <w:tc>
          <w:tcPr>
            <w:tcW w:w="4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3,927,576</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3,864,795</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0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vMerge w:val="restart"/>
          </w:tcPr>
          <w:p>
            <w:pPr>
              <w:spacing w:after="0"/>
              <w:rPr>
                <w:sz w:val="13"/>
                <w:szCs w:val="13"/>
                <w:color w:val="auto"/>
              </w:rPr>
            </w:pPr>
          </w:p>
        </w:tc>
        <w:tc>
          <w:tcPr>
            <w:tcW w:w="30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3060" w:type="dxa"/>
            <w:vAlign w:val="bottom"/>
          </w:tcPr>
          <w:p>
            <w:pPr>
              <w:spacing w:after="0"/>
              <w:rPr>
                <w:sz w:val="20"/>
                <w:szCs w:val="20"/>
                <w:color w:val="auto"/>
              </w:rPr>
            </w:pPr>
            <w:r>
              <w:rPr>
                <w:rFonts w:ascii="Arial" w:cs="Arial" w:eastAsia="Arial" w:hAnsi="Arial"/>
                <w:sz w:val="14"/>
                <w:szCs w:val="14"/>
                <w:b w:val="1"/>
                <w:bCs w:val="1"/>
                <w:color w:val="auto"/>
              </w:rPr>
              <w:t>Liabilities &amp; stockholders’ equity</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4"/>
                <w:szCs w:val="14"/>
                <w:color w:val="auto"/>
              </w:rPr>
              <w:t>NOW, Savings, MMDA’s</w:t>
            </w: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1,844,551</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7,231</w:t>
            </w:r>
          </w:p>
        </w:tc>
        <w:tc>
          <w:tcPr>
            <w:tcW w:w="20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1.56%</w:t>
            </w: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1,864,373</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904</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0.19%</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060" w:type="dxa"/>
            <w:vAlign w:val="bottom"/>
          </w:tcPr>
          <w:p>
            <w:pPr>
              <w:spacing w:after="0"/>
              <w:rPr>
                <w:sz w:val="20"/>
                <w:szCs w:val="20"/>
                <w:color w:val="auto"/>
              </w:rPr>
            </w:pPr>
            <w:r>
              <w:rPr>
                <w:rFonts w:ascii="Arial" w:cs="Arial" w:eastAsia="Arial" w:hAnsi="Arial"/>
                <w:sz w:val="14"/>
                <w:szCs w:val="14"/>
                <w:color w:val="auto"/>
              </w:rPr>
              <w:t>Time deposits</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305,098</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1,027</w:t>
            </w:r>
          </w:p>
        </w:tc>
        <w:tc>
          <w:tcPr>
            <w:tcW w:w="200" w:type="dxa"/>
            <w:vAlign w:val="bottom"/>
          </w:tcPr>
          <w:p>
            <w:pPr>
              <w:spacing w:after="0"/>
              <w:rPr>
                <w:sz w:val="14"/>
                <w:szCs w:val="14"/>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4"/>
                <w:szCs w:val="14"/>
                <w:color w:val="auto"/>
              </w:rPr>
              <w:t>1.34%</w:t>
            </w:r>
          </w:p>
        </w:tc>
        <w:tc>
          <w:tcPr>
            <w:tcW w:w="200" w:type="dxa"/>
            <w:vAlign w:val="bottom"/>
          </w:tcPr>
          <w:p>
            <w:pPr>
              <w:spacing w:after="0"/>
              <w:rPr>
                <w:sz w:val="14"/>
                <w:szCs w:val="14"/>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4"/>
                <w:szCs w:val="14"/>
                <w:color w:val="auto"/>
              </w:rPr>
              <w:t>337,449</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1,016</w:t>
            </w:r>
          </w:p>
        </w:tc>
        <w:tc>
          <w:tcPr>
            <w:tcW w:w="220" w:type="dxa"/>
            <w:vAlign w:val="bottom"/>
          </w:tcPr>
          <w:p>
            <w:pPr>
              <w:spacing w:after="0"/>
              <w:rPr>
                <w:sz w:val="14"/>
                <w:szCs w:val="14"/>
                <w:color w:val="auto"/>
              </w:rPr>
            </w:pPr>
          </w:p>
        </w:tc>
        <w:tc>
          <w:tcPr>
            <w:tcW w:w="1240" w:type="dxa"/>
            <w:vAlign w:val="bottom"/>
            <w:gridSpan w:val="2"/>
          </w:tcPr>
          <w:p>
            <w:pPr>
              <w:jc w:val="right"/>
              <w:spacing w:after="0"/>
              <w:rPr>
                <w:sz w:val="20"/>
                <w:szCs w:val="20"/>
                <w:color w:val="auto"/>
              </w:rPr>
            </w:pPr>
            <w:r>
              <w:rPr>
                <w:rFonts w:ascii="Arial" w:cs="Arial" w:eastAsia="Arial" w:hAnsi="Arial"/>
                <w:sz w:val="14"/>
                <w:szCs w:val="14"/>
                <w:color w:val="auto"/>
              </w:rPr>
              <w:t>1.19%</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4"/>
                <w:szCs w:val="14"/>
                <w:color w:val="auto"/>
              </w:rPr>
              <w:t>Short-term borrowings</w:t>
            </w: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0.00%</w:t>
            </w:r>
          </w:p>
        </w:tc>
        <w:tc>
          <w:tcPr>
            <w:tcW w:w="20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0.00%</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060" w:type="dxa"/>
            <w:vAlign w:val="bottom"/>
          </w:tcPr>
          <w:p>
            <w:pPr>
              <w:spacing w:after="0"/>
              <w:rPr>
                <w:sz w:val="20"/>
                <w:szCs w:val="20"/>
                <w:color w:val="auto"/>
              </w:rPr>
            </w:pPr>
            <w:r>
              <w:rPr>
                <w:rFonts w:ascii="Arial" w:cs="Arial" w:eastAsia="Arial" w:hAnsi="Arial"/>
                <w:sz w:val="14"/>
                <w:szCs w:val="14"/>
                <w:color w:val="auto"/>
              </w:rPr>
              <w:t>Notes payable &amp; other long-term borrowings</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4"/>
                <w:szCs w:val="14"/>
                <w:color w:val="auto"/>
              </w:rPr>
              <w:t>0.00%</w:t>
            </w:r>
          </w:p>
        </w:tc>
        <w:tc>
          <w:tcPr>
            <w:tcW w:w="2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240" w:type="dxa"/>
            <w:vAlign w:val="bottom"/>
            <w:gridSpan w:val="2"/>
          </w:tcPr>
          <w:p>
            <w:pPr>
              <w:jc w:val="right"/>
              <w:spacing w:after="0"/>
              <w:rPr>
                <w:sz w:val="20"/>
                <w:szCs w:val="20"/>
                <w:color w:val="auto"/>
              </w:rPr>
            </w:pPr>
            <w:r>
              <w:rPr>
                <w:rFonts w:ascii="Arial" w:cs="Arial" w:eastAsia="Arial" w:hAnsi="Arial"/>
                <w:sz w:val="14"/>
                <w:szCs w:val="14"/>
                <w:color w:val="auto"/>
              </w:rPr>
              <w:t>0.00%</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4"/>
                <w:szCs w:val="14"/>
                <w:color w:val="auto"/>
              </w:rPr>
              <w:t>Subordinated debt securities</w:t>
            </w: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75,938</w:t>
            </w: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1,013</w:t>
            </w:r>
          </w:p>
        </w:tc>
        <w:tc>
          <w:tcPr>
            <w:tcW w:w="20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5.29%</w:t>
            </w:r>
          </w:p>
        </w:tc>
        <w:tc>
          <w:tcPr>
            <w:tcW w:w="20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75,752</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1,012</w:t>
            </w:r>
          </w:p>
        </w:tc>
        <w:tc>
          <w:tcPr>
            <w:tcW w:w="22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5.30%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060" w:type="dxa"/>
            <w:vAlign w:val="bottom"/>
          </w:tcPr>
          <w:p>
            <w:pPr>
              <w:spacing w:after="0"/>
              <w:rPr>
                <w:sz w:val="20"/>
                <w:szCs w:val="20"/>
                <w:color w:val="auto"/>
              </w:rPr>
            </w:pPr>
            <w:r>
              <w:rPr>
                <w:rFonts w:ascii="Arial" w:cs="Arial" w:eastAsia="Arial" w:hAnsi="Arial"/>
                <w:sz w:val="14"/>
                <w:szCs w:val="14"/>
                <w:color w:val="auto"/>
                <w:w w:val="96"/>
              </w:rPr>
              <w:t>Junior subordinated deferrable interest debentures</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4"/>
                <w:szCs w:val="14"/>
                <w:color w:val="auto"/>
              </w:rPr>
              <w:t>46,393</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4"/>
                <w:szCs w:val="14"/>
                <w:color w:val="auto"/>
              </w:rPr>
              <w:t>635</w:t>
            </w:r>
          </w:p>
        </w:tc>
        <w:tc>
          <w:tcPr>
            <w:tcW w:w="1360" w:type="dxa"/>
            <w:vAlign w:val="bottom"/>
            <w:gridSpan w:val="2"/>
          </w:tcPr>
          <w:p>
            <w:pPr>
              <w:jc w:val="right"/>
              <w:ind w:right="120"/>
              <w:spacing w:after="0"/>
              <w:rPr>
                <w:sz w:val="20"/>
                <w:szCs w:val="20"/>
                <w:color w:val="auto"/>
              </w:rPr>
            </w:pPr>
            <w:r>
              <w:rPr>
                <w:rFonts w:ascii="Arial" w:cs="Arial" w:eastAsia="Arial" w:hAnsi="Arial"/>
                <w:sz w:val="14"/>
                <w:szCs w:val="14"/>
                <w:color w:val="auto"/>
              </w:rPr>
              <w:t>5.43%</w:t>
            </w:r>
          </w:p>
        </w:tc>
        <w:tc>
          <w:tcPr>
            <w:tcW w:w="200" w:type="dxa"/>
            <w:vAlign w:val="bottom"/>
          </w:tcPr>
          <w:p>
            <w:pPr>
              <w:spacing w:after="0"/>
              <w:rPr>
                <w:sz w:val="15"/>
                <w:szCs w:val="15"/>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4"/>
                <w:szCs w:val="14"/>
                <w:color w:val="auto"/>
              </w:rPr>
              <w:t>46,393</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219</w:t>
            </w:r>
          </w:p>
        </w:tc>
        <w:tc>
          <w:tcPr>
            <w:tcW w:w="1240" w:type="dxa"/>
            <w:vAlign w:val="bottom"/>
            <w:gridSpan w:val="2"/>
          </w:tcPr>
          <w:p>
            <w:pPr>
              <w:jc w:val="right"/>
              <w:spacing w:after="0"/>
              <w:rPr>
                <w:sz w:val="20"/>
                <w:szCs w:val="20"/>
                <w:color w:val="auto"/>
              </w:rPr>
            </w:pPr>
            <w:r>
              <w:rPr>
                <w:rFonts w:ascii="Arial" w:cs="Arial" w:eastAsia="Arial" w:hAnsi="Arial"/>
                <w:sz w:val="14"/>
                <w:szCs w:val="14"/>
                <w:color w:val="auto"/>
              </w:rPr>
              <w:t>1.87%</w:t>
            </w:r>
          </w:p>
        </w:tc>
        <w:tc>
          <w:tcPr>
            <w:tcW w:w="0" w:type="dxa"/>
            <w:vAlign w:val="bottom"/>
          </w:tcPr>
          <w:p>
            <w:pPr>
              <w:spacing w:after="0"/>
              <w:rPr>
                <w:sz w:val="1"/>
                <w:szCs w:val="1"/>
                <w:color w:val="auto"/>
              </w:rPr>
            </w:pPr>
          </w:p>
        </w:tc>
      </w:tr>
      <w:tr>
        <w:trPr>
          <w:trHeight w:val="172"/>
        </w:trPr>
        <w:tc>
          <w:tcPr>
            <w:tcW w:w="20" w:type="dxa"/>
            <w:vAlign w:val="bottom"/>
            <w:vMerge w:val="restart"/>
          </w:tcPr>
          <w:p>
            <w:pPr>
              <w:spacing w:after="0"/>
              <w:rPr>
                <w:sz w:val="14"/>
                <w:szCs w:val="14"/>
                <w:color w:val="auto"/>
              </w:rPr>
            </w:pPr>
          </w:p>
        </w:tc>
        <w:tc>
          <w:tcPr>
            <w:tcW w:w="30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3060" w:type="dxa"/>
            <w:vAlign w:val="bottom"/>
          </w:tcPr>
          <w:p>
            <w:pPr>
              <w:spacing w:after="0"/>
              <w:rPr>
                <w:sz w:val="20"/>
                <w:szCs w:val="20"/>
                <w:color w:val="auto"/>
              </w:rPr>
            </w:pPr>
            <w:r>
              <w:rPr>
                <w:rFonts w:ascii="Arial" w:cs="Arial" w:eastAsia="Arial" w:hAnsi="Arial"/>
                <w:sz w:val="14"/>
                <w:szCs w:val="14"/>
                <w:b w:val="1"/>
                <w:bCs w:val="1"/>
                <w:color w:val="auto"/>
              </w:rPr>
              <w:t>Total interest-bearing liabilities</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2,271,984</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9,906</w:t>
            </w:r>
          </w:p>
        </w:tc>
        <w:tc>
          <w:tcPr>
            <w:tcW w:w="200" w:type="dxa"/>
            <w:vAlign w:val="bottom"/>
          </w:tcPr>
          <w:p>
            <w:pPr>
              <w:spacing w:after="0"/>
              <w:rPr>
                <w:sz w:val="14"/>
                <w:szCs w:val="14"/>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4"/>
                <w:szCs w:val="14"/>
                <w:color w:val="auto"/>
              </w:rPr>
              <w:t>1.73%</w:t>
            </w:r>
          </w:p>
        </w:tc>
        <w:tc>
          <w:tcPr>
            <w:tcW w:w="2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2,323,971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3,151</w:t>
            </w:r>
          </w:p>
        </w:tc>
        <w:tc>
          <w:tcPr>
            <w:tcW w:w="220" w:type="dxa"/>
            <w:vAlign w:val="bottom"/>
          </w:tcPr>
          <w:p>
            <w:pPr>
              <w:spacing w:after="0"/>
              <w:rPr>
                <w:sz w:val="14"/>
                <w:szCs w:val="14"/>
                <w:color w:val="auto"/>
              </w:rPr>
            </w:pPr>
          </w:p>
        </w:tc>
        <w:tc>
          <w:tcPr>
            <w:tcW w:w="1240" w:type="dxa"/>
            <w:vAlign w:val="bottom"/>
            <w:gridSpan w:val="2"/>
          </w:tcPr>
          <w:p>
            <w:pPr>
              <w:jc w:val="right"/>
              <w:spacing w:after="0"/>
              <w:rPr>
                <w:sz w:val="20"/>
                <w:szCs w:val="20"/>
                <w:color w:val="auto"/>
              </w:rPr>
            </w:pPr>
            <w:r>
              <w:rPr>
                <w:rFonts w:ascii="Arial" w:cs="Arial" w:eastAsia="Arial" w:hAnsi="Arial"/>
                <w:sz w:val="14"/>
                <w:szCs w:val="14"/>
                <w:color w:val="auto"/>
              </w:rPr>
              <w:t>0.54%</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4"/>
                <w:szCs w:val="14"/>
                <w:color w:val="auto"/>
              </w:rPr>
              <w:t>Demand deposits</w:t>
            </w: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1,234,570</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1,093,352</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060" w:type="dxa"/>
            <w:vAlign w:val="bottom"/>
          </w:tcPr>
          <w:p>
            <w:pPr>
              <w:spacing w:after="0"/>
              <w:rPr>
                <w:sz w:val="20"/>
                <w:szCs w:val="20"/>
                <w:color w:val="auto"/>
              </w:rPr>
            </w:pPr>
            <w:r>
              <w:rPr>
                <w:rFonts w:ascii="Arial" w:cs="Arial" w:eastAsia="Arial" w:hAnsi="Arial"/>
                <w:sz w:val="14"/>
                <w:szCs w:val="14"/>
                <w:color w:val="auto"/>
              </w:rPr>
              <w:t>Other liabilities</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4"/>
                <w:szCs w:val="14"/>
                <w:color w:val="auto"/>
              </w:rPr>
              <w:t>71,615</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4"/>
                <w:szCs w:val="14"/>
                <w:color w:val="auto"/>
              </w:rPr>
              <w:t>44,620</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4"/>
                <w:szCs w:val="14"/>
                <w:color w:val="auto"/>
              </w:rPr>
              <w:t>Stockholders’ equity</w:t>
            </w: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349,407</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402,852</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0" w:type="dxa"/>
            <w:vAlign w:val="bottom"/>
            <w:vMerge w:val="restart"/>
          </w:tcPr>
          <w:p>
            <w:pPr>
              <w:spacing w:after="0"/>
              <w:rPr>
                <w:sz w:val="14"/>
                <w:szCs w:val="14"/>
                <w:color w:val="auto"/>
              </w:rPr>
            </w:pPr>
          </w:p>
        </w:tc>
        <w:tc>
          <w:tcPr>
            <w:tcW w:w="3060" w:type="dxa"/>
            <w:vAlign w:val="bottom"/>
            <w:tcBorders>
              <w:top w:val="single" w:sz="8" w:color="CCEEFF"/>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940" w:type="dxa"/>
            <w:vAlign w:val="bottom"/>
            <w:tcBorders>
              <w:top w:val="single" w:sz="8" w:color="CCEEFF"/>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1120" w:type="dxa"/>
            <w:vAlign w:val="bottom"/>
            <w:tcBorders>
              <w:top w:val="single" w:sz="8" w:color="CCEEFF"/>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920" w:type="dxa"/>
            <w:vAlign w:val="bottom"/>
            <w:tcBorders>
              <w:top w:val="single" w:sz="8" w:color="CCEEFF"/>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112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Total liabilities &amp; stockholders’ equity</w:t>
            </w: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3,927,576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3,864,795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20" w:type="dxa"/>
            <w:vAlign w:val="bottom"/>
            <w:vMerge w:val="restart"/>
          </w:tcPr>
          <w:p>
            <w:pPr>
              <w:spacing w:after="0"/>
              <w:rPr>
                <w:sz w:val="13"/>
                <w:szCs w:val="13"/>
                <w:color w:val="auto"/>
              </w:rPr>
            </w:pPr>
          </w:p>
        </w:tc>
        <w:tc>
          <w:tcPr>
            <w:tcW w:w="3060" w:type="dxa"/>
            <w:vAlign w:val="bottom"/>
            <w:tcBorders>
              <w:top w:val="single" w:sz="8" w:color="CCEEFF"/>
            </w:tcBorders>
          </w:tcPr>
          <w:p>
            <w:pPr>
              <w:spacing w:after="0"/>
              <w:rPr>
                <w:sz w:val="13"/>
                <w:szCs w:val="13"/>
                <w:color w:val="auto"/>
              </w:rPr>
            </w:pPr>
          </w:p>
        </w:tc>
        <w:tc>
          <w:tcPr>
            <w:tcW w:w="200" w:type="dxa"/>
            <w:vAlign w:val="bottom"/>
            <w:tcBorders>
              <w:top w:val="single" w:sz="8" w:color="CCEEFF"/>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340" w:type="dxa"/>
            <w:vAlign w:val="bottom"/>
            <w:tcBorders>
              <w:top w:val="single" w:sz="8" w:color="CCEEFF"/>
            </w:tcBorders>
            <w:gridSpan w:val="2"/>
          </w:tcPr>
          <w:p>
            <w:pPr>
              <w:spacing w:after="0"/>
              <w:rPr>
                <w:sz w:val="13"/>
                <w:szCs w:val="13"/>
                <w:color w:val="auto"/>
              </w:rPr>
            </w:pPr>
          </w:p>
        </w:tc>
        <w:tc>
          <w:tcPr>
            <w:tcW w:w="1140" w:type="dxa"/>
            <w:vAlign w:val="bottom"/>
            <w:tcBorders>
              <w:top w:val="single" w:sz="8" w:color="CCEEFF"/>
            </w:tcBorders>
            <w:gridSpan w:val="2"/>
          </w:tcPr>
          <w:p>
            <w:pPr>
              <w:spacing w:after="0"/>
              <w:rPr>
                <w:sz w:val="13"/>
                <w:szCs w:val="13"/>
                <w:color w:val="auto"/>
              </w:rPr>
            </w:pPr>
          </w:p>
        </w:tc>
        <w:tc>
          <w:tcPr>
            <w:tcW w:w="1120" w:type="dxa"/>
            <w:vAlign w:val="bottom"/>
            <w:tcBorders>
              <w:top w:val="single" w:sz="8" w:color="CCEEFF"/>
            </w:tcBorders>
          </w:tcPr>
          <w:p>
            <w:pPr>
              <w:spacing w:after="0"/>
              <w:rPr>
                <w:sz w:val="13"/>
                <w:szCs w:val="13"/>
                <w:color w:val="auto"/>
              </w:rPr>
            </w:pPr>
          </w:p>
        </w:tc>
        <w:tc>
          <w:tcPr>
            <w:tcW w:w="240" w:type="dxa"/>
            <w:vAlign w:val="bottom"/>
            <w:tcBorders>
              <w:top w:val="single" w:sz="8" w:color="CCEEFF"/>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320" w:type="dxa"/>
            <w:vAlign w:val="bottom"/>
            <w:tcBorders>
              <w:top w:val="single" w:sz="8" w:color="CCEEFF"/>
            </w:tcBorders>
            <w:gridSpan w:val="2"/>
          </w:tcPr>
          <w:p>
            <w:pPr>
              <w:spacing w:after="0"/>
              <w:rPr>
                <w:sz w:val="13"/>
                <w:szCs w:val="13"/>
                <w:color w:val="auto"/>
              </w:rPr>
            </w:pPr>
          </w:p>
        </w:tc>
        <w:tc>
          <w:tcPr>
            <w:tcW w:w="1140" w:type="dxa"/>
            <w:vAlign w:val="bottom"/>
            <w:tcBorders>
              <w:top w:val="single" w:sz="8" w:color="CCEEFF"/>
            </w:tcBorders>
            <w:gridSpan w:val="2"/>
          </w:tcPr>
          <w:p>
            <w:pPr>
              <w:spacing w:after="0"/>
              <w:rPr>
                <w:sz w:val="13"/>
                <w:szCs w:val="13"/>
                <w:color w:val="auto"/>
              </w:rPr>
            </w:pPr>
          </w:p>
        </w:tc>
        <w:tc>
          <w:tcPr>
            <w:tcW w:w="1120" w:type="dxa"/>
            <w:vAlign w:val="bottom"/>
            <w:tcBorders>
              <w:top w:val="single" w:sz="8" w:color="CCEEFF"/>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4"/>
                <w:szCs w:val="14"/>
                <w:color w:val="auto"/>
              </w:rPr>
              <w:t>Net interest income</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36,621</w:t>
            </w: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31,756</w:t>
            </w: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95"/>
        </w:trPr>
        <w:tc>
          <w:tcPr>
            <w:tcW w:w="20" w:type="dxa"/>
            <w:vAlign w:val="bottom"/>
          </w:tcPr>
          <w:p>
            <w:pPr>
              <w:spacing w:after="0"/>
              <w:rPr>
                <w:sz w:val="24"/>
                <w:szCs w:val="24"/>
                <w:color w:val="auto"/>
              </w:rPr>
            </w:pPr>
          </w:p>
        </w:tc>
        <w:tc>
          <w:tcPr>
            <w:tcW w:w="3060" w:type="dxa"/>
            <w:vAlign w:val="bottom"/>
            <w:tcBorders>
              <w:top w:val="single" w:sz="8" w:color="CCEEFF"/>
            </w:tcBorders>
          </w:tcPr>
          <w:p>
            <w:pPr>
              <w:spacing w:after="0"/>
              <w:rPr>
                <w:sz w:val="20"/>
                <w:szCs w:val="20"/>
                <w:color w:val="auto"/>
              </w:rPr>
            </w:pPr>
            <w:r>
              <w:rPr>
                <w:rFonts w:ascii="Arial" w:cs="Arial" w:eastAsia="Arial" w:hAnsi="Arial"/>
                <w:sz w:val="14"/>
                <w:szCs w:val="14"/>
                <w:color w:val="auto"/>
              </w:rPr>
              <w:t xml:space="preserve">Net interest margin </w:t>
            </w:r>
            <w:r>
              <w:rPr>
                <w:rFonts w:ascii="Arial" w:cs="Arial" w:eastAsia="Arial" w:hAnsi="Arial"/>
                <w:sz w:val="23"/>
                <w:szCs w:val="23"/>
                <w:color w:val="auto"/>
                <w:vertAlign w:val="superscript"/>
              </w:rPr>
              <w:t>(2)</w:t>
            </w:r>
          </w:p>
        </w:tc>
        <w:tc>
          <w:tcPr>
            <w:tcW w:w="200" w:type="dxa"/>
            <w:vAlign w:val="bottom"/>
            <w:tcBorders>
              <w:top w:val="single" w:sz="8" w:color="CCEEFF"/>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94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1360" w:type="dxa"/>
            <w:vAlign w:val="bottom"/>
            <w:tcBorders>
              <w:top w:val="single" w:sz="8" w:color="CCEEFF"/>
            </w:tcBorders>
            <w:gridSpan w:val="2"/>
          </w:tcPr>
          <w:p>
            <w:pPr>
              <w:jc w:val="right"/>
              <w:ind w:right="120"/>
              <w:spacing w:after="0"/>
              <w:rPr>
                <w:sz w:val="20"/>
                <w:szCs w:val="20"/>
                <w:color w:val="auto"/>
              </w:rPr>
            </w:pPr>
            <w:r>
              <w:rPr>
                <w:rFonts w:ascii="Arial" w:cs="Arial" w:eastAsia="Arial" w:hAnsi="Arial"/>
                <w:sz w:val="14"/>
                <w:szCs w:val="14"/>
                <w:color w:val="auto"/>
              </w:rPr>
              <w:t>3.88%</w:t>
            </w:r>
          </w:p>
        </w:tc>
        <w:tc>
          <w:tcPr>
            <w:tcW w:w="200" w:type="dxa"/>
            <w:vAlign w:val="bottom"/>
            <w:tcBorders>
              <w:top w:val="single" w:sz="8" w:color="CCEEFF"/>
            </w:tcBorders>
          </w:tcPr>
          <w:p>
            <w:pPr>
              <w:spacing w:after="0"/>
              <w:rPr>
                <w:sz w:val="24"/>
                <w:szCs w:val="24"/>
                <w:color w:val="auto"/>
              </w:rPr>
            </w:pPr>
          </w:p>
        </w:tc>
        <w:tc>
          <w:tcPr>
            <w:tcW w:w="92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240" w:type="dxa"/>
            <w:vAlign w:val="bottom"/>
            <w:tcBorders>
              <w:top w:val="single" w:sz="8" w:color="CCEEFF"/>
            </w:tcBorders>
            <w:gridSpan w:val="2"/>
          </w:tcPr>
          <w:p>
            <w:pPr>
              <w:jc w:val="right"/>
              <w:spacing w:after="0"/>
              <w:rPr>
                <w:sz w:val="20"/>
                <w:szCs w:val="20"/>
                <w:color w:val="auto"/>
              </w:rPr>
            </w:pPr>
            <w:r>
              <w:rPr>
                <w:rFonts w:ascii="Arial" w:cs="Arial" w:eastAsia="Arial" w:hAnsi="Arial"/>
                <w:sz w:val="14"/>
                <w:szCs w:val="14"/>
                <w:color w:val="auto"/>
              </w:rPr>
              <w:t>3.50%</w:t>
            </w:r>
          </w:p>
        </w:tc>
        <w:tc>
          <w:tcPr>
            <w:tcW w:w="0" w:type="dxa"/>
            <w:vAlign w:val="bottom"/>
          </w:tcPr>
          <w:p>
            <w:pPr>
              <w:spacing w:after="0"/>
              <w:rPr>
                <w:sz w:val="1"/>
                <w:szCs w:val="1"/>
                <w:color w:val="auto"/>
              </w:rPr>
            </w:pPr>
          </w:p>
        </w:tc>
      </w:tr>
    </w:tbl>
    <w:p>
      <w:pPr>
        <w:spacing w:after="0" w:line="43" w:lineRule="exact"/>
        <w:rPr>
          <w:sz w:val="20"/>
          <w:szCs w:val="20"/>
          <w:color w:val="auto"/>
        </w:rPr>
      </w:pPr>
    </w:p>
    <w:p>
      <w:pPr>
        <w:ind w:left="260" w:hanging="254"/>
        <w:spacing w:after="0"/>
        <w:tabs>
          <w:tab w:leader="none" w:pos="260" w:val="left"/>
        </w:tabs>
        <w:numPr>
          <w:ilvl w:val="0"/>
          <w:numId w:val="6"/>
        </w:numPr>
        <w:rPr>
          <w:rFonts w:ascii="Arial" w:cs="Arial" w:eastAsia="Arial" w:hAnsi="Arial"/>
          <w:sz w:val="14"/>
          <w:szCs w:val="14"/>
          <w:color w:val="auto"/>
        </w:rPr>
      </w:pPr>
      <w:r>
        <w:rPr>
          <w:rFonts w:ascii="Arial" w:cs="Arial" w:eastAsia="Arial" w:hAnsi="Arial"/>
          <w:sz w:val="14"/>
          <w:szCs w:val="14"/>
          <w:color w:val="auto"/>
        </w:rPr>
        <w:t>Average loan balances include nonaccrual loans and loans held for sale.</w:t>
      </w:r>
    </w:p>
    <w:p>
      <w:pPr>
        <w:spacing w:after="0" w:line="20" w:lineRule="exact"/>
        <w:rPr>
          <w:rFonts w:ascii="Arial" w:cs="Arial" w:eastAsia="Arial" w:hAnsi="Arial"/>
          <w:sz w:val="14"/>
          <w:szCs w:val="14"/>
          <w:color w:val="auto"/>
        </w:rPr>
      </w:pPr>
    </w:p>
    <w:p>
      <w:pPr>
        <w:ind w:right="3180" w:firstLine="6"/>
        <w:spacing w:after="0" w:line="273" w:lineRule="auto"/>
        <w:tabs>
          <w:tab w:leader="none" w:pos="248" w:val="left"/>
        </w:tabs>
        <w:numPr>
          <w:ilvl w:val="0"/>
          <w:numId w:val="6"/>
        </w:numPr>
        <w:rPr>
          <w:rFonts w:ascii="Arial" w:cs="Arial" w:eastAsia="Arial" w:hAnsi="Arial"/>
          <w:sz w:val="14"/>
          <w:szCs w:val="14"/>
          <w:color w:val="auto"/>
        </w:rPr>
      </w:pPr>
      <w:r>
        <w:rPr>
          <w:rFonts w:ascii="Arial" w:cs="Arial" w:eastAsia="Arial" w:hAnsi="Arial"/>
          <w:sz w:val="14"/>
          <w:szCs w:val="14"/>
          <w:color w:val="auto"/>
        </w:rPr>
        <w:t>Net interest margin is calculated as the annualized net income, on a fully tax-equivalent basis, divided by average interest-earning assets. PPP - Small Business Administration Paycheck Protection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198755</wp:posOffset>
            </wp:positionV>
            <wp:extent cx="7160260" cy="139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0" w:name="page11"/>
    <w:bookmarkEnd w:id="10"/>
    <w:p>
      <w:pPr>
        <w:spacing w:after="0"/>
        <w:rPr>
          <w:sz w:val="20"/>
          <w:szCs w:val="20"/>
          <w:color w:val="auto"/>
        </w:rPr>
      </w:pPr>
      <w:r>
        <w:rPr>
          <w:rFonts w:ascii="Arial" w:cs="Arial" w:eastAsia="Arial" w:hAnsi="Arial"/>
          <w:sz w:val="14"/>
          <w:szCs w:val="14"/>
          <w:b w:val="1"/>
          <w:bCs w:val="1"/>
          <w:color w:val="auto"/>
        </w:rPr>
        <w:t>South Plains Financial, Inc.</w:t>
      </w:r>
    </w:p>
    <w:p>
      <w:pPr>
        <w:spacing w:after="0" w:line="2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Average Balances and Yields - (Unaudited)</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(Dollars in thousands)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5"/>
          </w:tcPr>
          <w:p>
            <w:pPr>
              <w:jc w:val="right"/>
              <w:ind w:right="440"/>
              <w:spacing w:after="0"/>
              <w:rPr>
                <w:sz w:val="20"/>
                <w:szCs w:val="20"/>
                <w:color w:val="auto"/>
              </w:rPr>
            </w:pPr>
            <w:r>
              <w:rPr>
                <w:rFonts w:ascii="Arial" w:cs="Arial" w:eastAsia="Arial" w:hAnsi="Arial"/>
                <w:sz w:val="14"/>
                <w:szCs w:val="14"/>
                <w:b w:val="1"/>
                <w:bCs w:val="1"/>
                <w:color w:val="auto"/>
              </w:rPr>
              <w:t>For the Twelve Months Ended</w:t>
            </w: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0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rPr>
              <w:t>December 31, 2022</w:t>
            </w:r>
          </w:p>
        </w:tc>
        <w:tc>
          <w:tcPr>
            <w:tcW w:w="112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4"/>
          </w:tcPr>
          <w:p>
            <w:pPr>
              <w:jc w:val="center"/>
              <w:ind w:right="100"/>
              <w:spacing w:after="0"/>
              <w:rPr>
                <w:sz w:val="20"/>
                <w:szCs w:val="20"/>
                <w:color w:val="auto"/>
              </w:rPr>
            </w:pPr>
            <w:r>
              <w:rPr>
                <w:rFonts w:ascii="Arial" w:cs="Arial" w:eastAsia="Arial" w:hAnsi="Arial"/>
                <w:sz w:val="14"/>
                <w:szCs w:val="14"/>
                <w:b w:val="1"/>
                <w:bCs w:val="1"/>
                <w:color w:val="auto"/>
                <w:w w:val="91"/>
              </w:rPr>
              <w:t>December 31, 2021</w:t>
            </w:r>
          </w:p>
        </w:tc>
        <w:tc>
          <w:tcPr>
            <w:tcW w:w="11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0"/>
        </w:trPr>
        <w:tc>
          <w:tcPr>
            <w:tcW w:w="2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Average</w:t>
            </w: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Average</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Balance</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gridSpan w:val="2"/>
          </w:tcPr>
          <w:p>
            <w:pPr>
              <w:ind w:left="140"/>
              <w:spacing w:after="0"/>
              <w:rPr>
                <w:sz w:val="20"/>
                <w:szCs w:val="20"/>
                <w:color w:val="auto"/>
              </w:rPr>
            </w:pPr>
            <w:r>
              <w:rPr>
                <w:rFonts w:ascii="Arial" w:cs="Arial" w:eastAsia="Arial" w:hAnsi="Arial"/>
                <w:sz w:val="14"/>
                <w:szCs w:val="14"/>
                <w:b w:val="1"/>
                <w:bCs w:val="1"/>
                <w:color w:val="auto"/>
              </w:rPr>
              <w:t>Interest</w:t>
            </w:r>
          </w:p>
        </w:tc>
        <w:tc>
          <w:tcPr>
            <w:tcW w:w="13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Yield/Rate</w:t>
            </w:r>
          </w:p>
        </w:tc>
        <w:tc>
          <w:tcPr>
            <w:tcW w:w="200" w:type="dxa"/>
            <w:vAlign w:val="bottom"/>
          </w:tcPr>
          <w:p>
            <w:pPr>
              <w:spacing w:after="0"/>
              <w:rPr>
                <w:sz w:val="16"/>
                <w:szCs w:val="16"/>
                <w:color w:val="auto"/>
              </w:rPr>
            </w:pPr>
          </w:p>
        </w:tc>
        <w:tc>
          <w:tcPr>
            <w:tcW w:w="10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Balance</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4"/>
              </w:rPr>
              <w:t>Interest</w:t>
            </w:r>
          </w:p>
        </w:tc>
        <w:tc>
          <w:tcPr>
            <w:tcW w:w="12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Yield/Rate</w:t>
            </w:r>
          </w:p>
        </w:tc>
        <w:tc>
          <w:tcPr>
            <w:tcW w:w="0" w:type="dxa"/>
            <w:vAlign w:val="bottom"/>
          </w:tcPr>
          <w:p>
            <w:pPr>
              <w:spacing w:after="0"/>
              <w:rPr>
                <w:sz w:val="1"/>
                <w:szCs w:val="1"/>
                <w:color w:val="auto"/>
              </w:rPr>
            </w:pPr>
          </w:p>
        </w:tc>
      </w:tr>
      <w:tr>
        <w:trPr>
          <w:trHeight w:val="171"/>
        </w:trPr>
        <w:tc>
          <w:tcPr>
            <w:tcW w:w="3080" w:type="dxa"/>
            <w:vAlign w:val="bottom"/>
            <w:gridSpan w:val="2"/>
          </w:tcPr>
          <w:p>
            <w:pPr>
              <w:spacing w:after="0"/>
              <w:rPr>
                <w:sz w:val="20"/>
                <w:szCs w:val="20"/>
                <w:color w:val="auto"/>
              </w:rPr>
            </w:pPr>
            <w:r>
              <w:rPr>
                <w:rFonts w:ascii="Arial" w:cs="Arial" w:eastAsia="Arial" w:hAnsi="Arial"/>
                <w:sz w:val="14"/>
                <w:szCs w:val="14"/>
                <w:b w:val="1"/>
                <w:bCs w:val="1"/>
                <w:color w:val="auto"/>
              </w:rPr>
              <w:t>Assets</w:t>
            </w:r>
          </w:p>
        </w:tc>
        <w:tc>
          <w:tcPr>
            <w:tcW w:w="2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060" w:type="dxa"/>
            <w:vAlign w:val="bottom"/>
            <w:shd w:val="clear" w:color="auto" w:fill="CCEEFF"/>
          </w:tcPr>
          <w:p>
            <w:pPr>
              <w:spacing w:after="0" w:line="173" w:lineRule="exact"/>
              <w:rPr>
                <w:sz w:val="20"/>
                <w:szCs w:val="20"/>
                <w:color w:val="auto"/>
              </w:rPr>
            </w:pPr>
            <w:r>
              <w:rPr>
                <w:rFonts w:ascii="Arial" w:cs="Arial" w:eastAsia="Arial" w:hAnsi="Arial"/>
                <w:sz w:val="13"/>
                <w:szCs w:val="13"/>
                <w:color w:val="auto"/>
              </w:rPr>
              <w:t xml:space="preserve">Loans, excluding PPP </w:t>
            </w:r>
            <w:r>
              <w:rPr>
                <w:rFonts w:ascii="Arial" w:cs="Arial" w:eastAsia="Arial" w:hAnsi="Arial"/>
                <w:sz w:val="20"/>
                <w:szCs w:val="20"/>
                <w:color w:val="auto"/>
                <w:vertAlign w:val="superscript"/>
              </w:rPr>
              <w:t>(1)</w:t>
            </w: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2,597,274</w:t>
            </w:r>
          </w:p>
        </w:tc>
        <w:tc>
          <w:tcPr>
            <w:tcW w:w="100" w:type="dxa"/>
            <w:vAlign w:val="bottom"/>
            <w:shd w:val="clear" w:color="auto" w:fill="CCEEFF"/>
          </w:tcPr>
          <w:p>
            <w:pPr>
              <w:spacing w:after="0"/>
              <w:rPr>
                <w:sz w:val="15"/>
                <w:szCs w:val="15"/>
                <w:color w:val="auto"/>
              </w:rPr>
            </w:pP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135,927</w:t>
            </w:r>
          </w:p>
        </w:tc>
        <w:tc>
          <w:tcPr>
            <w:tcW w:w="20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5.23%</w:t>
            </w: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2,302,413</w:t>
            </w:r>
          </w:p>
        </w:tc>
        <w:tc>
          <w:tcPr>
            <w:tcW w:w="100" w:type="dxa"/>
            <w:vAlign w:val="bottom"/>
            <w:shd w:val="clear" w:color="auto" w:fill="CCEEFF"/>
          </w:tcPr>
          <w:p>
            <w:pPr>
              <w:spacing w:after="0"/>
              <w:rPr>
                <w:sz w:val="15"/>
                <w:szCs w:val="15"/>
                <w:color w:val="auto"/>
              </w:rPr>
            </w:pP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112,255</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4.88%</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060" w:type="dxa"/>
            <w:vAlign w:val="bottom"/>
          </w:tcPr>
          <w:p>
            <w:pPr>
              <w:spacing w:after="0"/>
              <w:rPr>
                <w:sz w:val="20"/>
                <w:szCs w:val="20"/>
                <w:color w:val="auto"/>
              </w:rPr>
            </w:pPr>
            <w:r>
              <w:rPr>
                <w:rFonts w:ascii="Arial" w:cs="Arial" w:eastAsia="Arial" w:hAnsi="Arial"/>
                <w:sz w:val="14"/>
                <w:szCs w:val="14"/>
                <w:color w:val="auto"/>
              </w:rPr>
              <w:t>Loans - PPP</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4"/>
                <w:szCs w:val="14"/>
                <w:color w:val="auto"/>
              </w:rPr>
              <w:t>14,887</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2,030</w:t>
            </w:r>
          </w:p>
        </w:tc>
        <w:tc>
          <w:tcPr>
            <w:tcW w:w="200" w:type="dxa"/>
            <w:vAlign w:val="bottom"/>
          </w:tcPr>
          <w:p>
            <w:pPr>
              <w:spacing w:after="0"/>
              <w:rPr>
                <w:sz w:val="14"/>
                <w:szCs w:val="14"/>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4"/>
                <w:szCs w:val="14"/>
                <w:color w:val="auto"/>
              </w:rPr>
              <w:t>13.64%</w:t>
            </w:r>
          </w:p>
        </w:tc>
        <w:tc>
          <w:tcPr>
            <w:tcW w:w="200" w:type="dxa"/>
            <w:vAlign w:val="bottom"/>
          </w:tcPr>
          <w:p>
            <w:pPr>
              <w:spacing w:after="0"/>
              <w:rPr>
                <w:sz w:val="14"/>
                <w:szCs w:val="14"/>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4"/>
                <w:szCs w:val="14"/>
                <w:color w:val="auto"/>
              </w:rPr>
              <w:t>117,788</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8,290</w:t>
            </w:r>
          </w:p>
        </w:tc>
        <w:tc>
          <w:tcPr>
            <w:tcW w:w="220" w:type="dxa"/>
            <w:vAlign w:val="bottom"/>
          </w:tcPr>
          <w:p>
            <w:pPr>
              <w:spacing w:after="0"/>
              <w:rPr>
                <w:sz w:val="14"/>
                <w:szCs w:val="14"/>
                <w:color w:val="auto"/>
              </w:rPr>
            </w:pPr>
          </w:p>
        </w:tc>
        <w:tc>
          <w:tcPr>
            <w:tcW w:w="1240" w:type="dxa"/>
            <w:vAlign w:val="bottom"/>
            <w:gridSpan w:val="2"/>
          </w:tcPr>
          <w:p>
            <w:pPr>
              <w:jc w:val="right"/>
              <w:spacing w:after="0"/>
              <w:rPr>
                <w:sz w:val="20"/>
                <w:szCs w:val="20"/>
                <w:color w:val="auto"/>
              </w:rPr>
            </w:pPr>
            <w:r>
              <w:rPr>
                <w:rFonts w:ascii="Arial" w:cs="Arial" w:eastAsia="Arial" w:hAnsi="Arial"/>
                <w:sz w:val="14"/>
                <w:szCs w:val="14"/>
                <w:color w:val="auto"/>
              </w:rPr>
              <w:t>7.04%</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4"/>
                <w:szCs w:val="14"/>
                <w:color w:val="auto"/>
              </w:rPr>
              <w:t>Debt securities - taxable</w:t>
            </w: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594,405</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15,010</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2.53%</w:t>
            </w:r>
          </w:p>
        </w:tc>
        <w:tc>
          <w:tcPr>
            <w:tcW w:w="20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532,272</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9,292</w:t>
            </w:r>
          </w:p>
        </w:tc>
        <w:tc>
          <w:tcPr>
            <w:tcW w:w="22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1.75%</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060" w:type="dxa"/>
            <w:vAlign w:val="bottom"/>
          </w:tcPr>
          <w:p>
            <w:pPr>
              <w:spacing w:after="0"/>
              <w:rPr>
                <w:sz w:val="20"/>
                <w:szCs w:val="20"/>
                <w:color w:val="auto"/>
              </w:rPr>
            </w:pPr>
            <w:r>
              <w:rPr>
                <w:rFonts w:ascii="Arial" w:cs="Arial" w:eastAsia="Arial" w:hAnsi="Arial"/>
                <w:sz w:val="14"/>
                <w:szCs w:val="14"/>
                <w:color w:val="auto"/>
              </w:rPr>
              <w:t>Debt securities - nontaxable</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216,216</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5,733</w:t>
            </w:r>
          </w:p>
        </w:tc>
        <w:tc>
          <w:tcPr>
            <w:tcW w:w="200" w:type="dxa"/>
            <w:vAlign w:val="bottom"/>
          </w:tcPr>
          <w:p>
            <w:pPr>
              <w:spacing w:after="0"/>
              <w:rPr>
                <w:sz w:val="14"/>
                <w:szCs w:val="14"/>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4"/>
                <w:szCs w:val="14"/>
                <w:color w:val="auto"/>
              </w:rPr>
              <w:t>2.65%</w:t>
            </w:r>
          </w:p>
        </w:tc>
        <w:tc>
          <w:tcPr>
            <w:tcW w:w="200" w:type="dxa"/>
            <w:vAlign w:val="bottom"/>
          </w:tcPr>
          <w:p>
            <w:pPr>
              <w:spacing w:after="0"/>
              <w:rPr>
                <w:sz w:val="14"/>
                <w:szCs w:val="14"/>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4"/>
                <w:szCs w:val="14"/>
                <w:color w:val="auto"/>
              </w:rPr>
              <w:t>219,385</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5,872</w:t>
            </w:r>
          </w:p>
        </w:tc>
        <w:tc>
          <w:tcPr>
            <w:tcW w:w="220" w:type="dxa"/>
            <w:vAlign w:val="bottom"/>
          </w:tcPr>
          <w:p>
            <w:pPr>
              <w:spacing w:after="0"/>
              <w:rPr>
                <w:sz w:val="14"/>
                <w:szCs w:val="14"/>
                <w:color w:val="auto"/>
              </w:rPr>
            </w:pPr>
          </w:p>
        </w:tc>
        <w:tc>
          <w:tcPr>
            <w:tcW w:w="1240" w:type="dxa"/>
            <w:vAlign w:val="bottom"/>
            <w:gridSpan w:val="2"/>
          </w:tcPr>
          <w:p>
            <w:pPr>
              <w:jc w:val="right"/>
              <w:spacing w:after="0"/>
              <w:rPr>
                <w:sz w:val="20"/>
                <w:szCs w:val="20"/>
                <w:color w:val="auto"/>
              </w:rPr>
            </w:pPr>
            <w:r>
              <w:rPr>
                <w:rFonts w:ascii="Arial" w:cs="Arial" w:eastAsia="Arial" w:hAnsi="Arial"/>
                <w:sz w:val="14"/>
                <w:szCs w:val="14"/>
                <w:color w:val="auto"/>
              </w:rPr>
              <w:t>2.68%</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4"/>
                <w:szCs w:val="14"/>
                <w:color w:val="auto"/>
              </w:rPr>
              <w:t>Other interest-bearing assets</w:t>
            </w: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318,862</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3,675</w:t>
            </w:r>
          </w:p>
        </w:tc>
        <w:tc>
          <w:tcPr>
            <w:tcW w:w="20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1.15%</w:t>
            </w:r>
          </w:p>
        </w:tc>
        <w:tc>
          <w:tcPr>
            <w:tcW w:w="20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336,081</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565</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0.17%</w:t>
            </w:r>
          </w:p>
        </w:tc>
        <w:tc>
          <w:tcPr>
            <w:tcW w:w="0" w:type="dxa"/>
            <w:vAlign w:val="bottom"/>
          </w:tcPr>
          <w:p>
            <w:pPr>
              <w:spacing w:after="0"/>
              <w:rPr>
                <w:sz w:val="1"/>
                <w:szCs w:val="1"/>
                <w:color w:val="auto"/>
              </w:rPr>
            </w:pPr>
          </w:p>
        </w:tc>
      </w:tr>
      <w:tr>
        <w:trPr>
          <w:trHeight w:val="172"/>
        </w:trPr>
        <w:tc>
          <w:tcPr>
            <w:tcW w:w="20" w:type="dxa"/>
            <w:vAlign w:val="bottom"/>
            <w:vMerge w:val="restart"/>
          </w:tcPr>
          <w:p>
            <w:pPr>
              <w:spacing w:after="0"/>
              <w:rPr>
                <w:sz w:val="14"/>
                <w:szCs w:val="14"/>
                <w:color w:val="auto"/>
              </w:rPr>
            </w:pPr>
          </w:p>
        </w:tc>
        <w:tc>
          <w:tcPr>
            <w:tcW w:w="3060" w:type="dxa"/>
            <w:vAlign w:val="bottom"/>
            <w:tcBorders>
              <w:top w:val="single" w:sz="8" w:color="CCEEFF"/>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1360" w:type="dxa"/>
            <w:vAlign w:val="bottom"/>
            <w:tcBorders>
              <w:top w:val="single" w:sz="8" w:color="CCEEFF"/>
            </w:tcBorders>
            <w:gridSpan w:val="2"/>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1240" w:type="dxa"/>
            <w:vAlign w:val="bottom"/>
            <w:tcBorders>
              <w:top w:val="single" w:sz="8" w:color="CCEEFF"/>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Total interest-earning assets</w:t>
            </w: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3,741,644</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162,375</w:t>
            </w:r>
          </w:p>
        </w:tc>
        <w:tc>
          <w:tcPr>
            <w:tcW w:w="20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4.34%</w:t>
            </w: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3,507,939</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136,274</w:t>
            </w:r>
          </w:p>
        </w:tc>
        <w:tc>
          <w:tcPr>
            <w:tcW w:w="22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3.88%</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060" w:type="dxa"/>
            <w:vAlign w:val="bottom"/>
          </w:tcPr>
          <w:p>
            <w:pPr>
              <w:spacing w:after="0"/>
              <w:rPr>
                <w:sz w:val="20"/>
                <w:szCs w:val="20"/>
                <w:color w:val="auto"/>
              </w:rPr>
            </w:pPr>
            <w:r>
              <w:rPr>
                <w:rFonts w:ascii="Arial" w:cs="Arial" w:eastAsia="Arial" w:hAnsi="Arial"/>
                <w:sz w:val="14"/>
                <w:szCs w:val="14"/>
                <w:color w:val="auto"/>
              </w:rPr>
              <w:t>Noninterest-earning assets</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222,544</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4"/>
                <w:szCs w:val="14"/>
                <w:color w:val="auto"/>
              </w:rPr>
              <w:t>261,140</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0" w:type="dxa"/>
            <w:vAlign w:val="bottom"/>
            <w:vMerge w:val="restart"/>
          </w:tcPr>
          <w:p>
            <w:pPr>
              <w:spacing w:after="0"/>
              <w:rPr>
                <w:sz w:val="14"/>
                <w:szCs w:val="14"/>
                <w:color w:val="auto"/>
              </w:rPr>
            </w:pPr>
          </w:p>
        </w:tc>
        <w:tc>
          <w:tcPr>
            <w:tcW w:w="30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3060" w:type="dxa"/>
            <w:vAlign w:val="bottom"/>
          </w:tcPr>
          <w:p>
            <w:pPr>
              <w:spacing w:after="0"/>
              <w:rPr>
                <w:sz w:val="20"/>
                <w:szCs w:val="20"/>
                <w:color w:val="auto"/>
              </w:rPr>
            </w:pPr>
            <w:r>
              <w:rPr>
                <w:rFonts w:ascii="Arial" w:cs="Arial" w:eastAsia="Arial" w:hAnsi="Arial"/>
                <w:sz w:val="14"/>
                <w:szCs w:val="14"/>
                <w:b w:val="1"/>
                <w:bCs w:val="1"/>
                <w:color w:val="auto"/>
              </w:rPr>
              <w:t>Total assets</w:t>
            </w:r>
          </w:p>
        </w:tc>
        <w:tc>
          <w:tcPr>
            <w:tcW w:w="4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3,964,188</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3,769,079</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0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vMerge w:val="restart"/>
          </w:tcPr>
          <w:p>
            <w:pPr>
              <w:spacing w:after="0"/>
              <w:rPr>
                <w:sz w:val="13"/>
                <w:szCs w:val="13"/>
                <w:color w:val="auto"/>
              </w:rPr>
            </w:pPr>
          </w:p>
        </w:tc>
        <w:tc>
          <w:tcPr>
            <w:tcW w:w="30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3060" w:type="dxa"/>
            <w:vAlign w:val="bottom"/>
          </w:tcPr>
          <w:p>
            <w:pPr>
              <w:spacing w:after="0"/>
              <w:rPr>
                <w:sz w:val="20"/>
                <w:szCs w:val="20"/>
                <w:color w:val="auto"/>
              </w:rPr>
            </w:pPr>
            <w:r>
              <w:rPr>
                <w:rFonts w:ascii="Arial" w:cs="Arial" w:eastAsia="Arial" w:hAnsi="Arial"/>
                <w:sz w:val="14"/>
                <w:szCs w:val="14"/>
                <w:b w:val="1"/>
                <w:bCs w:val="1"/>
                <w:color w:val="auto"/>
              </w:rPr>
              <w:t>Liabilities &amp; stockholders’ equity</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4"/>
                <w:szCs w:val="14"/>
                <w:color w:val="auto"/>
              </w:rPr>
              <w:t>NOW, Savings, MMDA’s</w:t>
            </w: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1,889,888</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13,013</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0.69%</w:t>
            </w: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1,841,678</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4,163</w:t>
            </w:r>
          </w:p>
        </w:tc>
        <w:tc>
          <w:tcPr>
            <w:tcW w:w="22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0.23%</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060" w:type="dxa"/>
            <w:vAlign w:val="bottom"/>
          </w:tcPr>
          <w:p>
            <w:pPr>
              <w:spacing w:after="0"/>
              <w:rPr>
                <w:sz w:val="20"/>
                <w:szCs w:val="20"/>
                <w:color w:val="auto"/>
              </w:rPr>
            </w:pPr>
            <w:r>
              <w:rPr>
                <w:rFonts w:ascii="Arial" w:cs="Arial" w:eastAsia="Arial" w:hAnsi="Arial"/>
                <w:sz w:val="14"/>
                <w:szCs w:val="14"/>
                <w:color w:val="auto"/>
              </w:rPr>
              <w:t>Time deposits</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327,289</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3,989</w:t>
            </w:r>
          </w:p>
        </w:tc>
        <w:tc>
          <w:tcPr>
            <w:tcW w:w="200" w:type="dxa"/>
            <w:vAlign w:val="bottom"/>
          </w:tcPr>
          <w:p>
            <w:pPr>
              <w:spacing w:after="0"/>
              <w:rPr>
                <w:sz w:val="14"/>
                <w:szCs w:val="14"/>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4"/>
                <w:szCs w:val="14"/>
                <w:color w:val="auto"/>
              </w:rPr>
              <w:t>1.22%</w:t>
            </w:r>
          </w:p>
        </w:tc>
        <w:tc>
          <w:tcPr>
            <w:tcW w:w="200" w:type="dxa"/>
            <w:vAlign w:val="bottom"/>
          </w:tcPr>
          <w:p>
            <w:pPr>
              <w:spacing w:after="0"/>
              <w:rPr>
                <w:sz w:val="14"/>
                <w:szCs w:val="14"/>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4"/>
                <w:szCs w:val="14"/>
                <w:color w:val="auto"/>
              </w:rPr>
              <w:t>329,509</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4,130</w:t>
            </w:r>
          </w:p>
        </w:tc>
        <w:tc>
          <w:tcPr>
            <w:tcW w:w="220" w:type="dxa"/>
            <w:vAlign w:val="bottom"/>
          </w:tcPr>
          <w:p>
            <w:pPr>
              <w:spacing w:after="0"/>
              <w:rPr>
                <w:sz w:val="14"/>
                <w:szCs w:val="14"/>
                <w:color w:val="auto"/>
              </w:rPr>
            </w:pPr>
          </w:p>
        </w:tc>
        <w:tc>
          <w:tcPr>
            <w:tcW w:w="1240" w:type="dxa"/>
            <w:vAlign w:val="bottom"/>
            <w:gridSpan w:val="2"/>
          </w:tcPr>
          <w:p>
            <w:pPr>
              <w:jc w:val="right"/>
              <w:spacing w:after="0"/>
              <w:rPr>
                <w:sz w:val="20"/>
                <w:szCs w:val="20"/>
                <w:color w:val="auto"/>
              </w:rPr>
            </w:pPr>
            <w:r>
              <w:rPr>
                <w:rFonts w:ascii="Arial" w:cs="Arial" w:eastAsia="Arial" w:hAnsi="Arial"/>
                <w:sz w:val="14"/>
                <w:szCs w:val="14"/>
                <w:color w:val="auto"/>
              </w:rPr>
              <w:t>1.25%</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4"/>
                <w:szCs w:val="14"/>
                <w:color w:val="auto"/>
              </w:rPr>
              <w:t>Short-term borrowings</w:t>
            </w: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0.00%</w:t>
            </w:r>
          </w:p>
        </w:tc>
        <w:tc>
          <w:tcPr>
            <w:tcW w:w="20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8,045</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5</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0.06%</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060" w:type="dxa"/>
            <w:vAlign w:val="bottom"/>
          </w:tcPr>
          <w:p>
            <w:pPr>
              <w:spacing w:after="0"/>
              <w:rPr>
                <w:sz w:val="20"/>
                <w:szCs w:val="20"/>
                <w:color w:val="auto"/>
              </w:rPr>
            </w:pPr>
            <w:r>
              <w:rPr>
                <w:rFonts w:ascii="Arial" w:cs="Arial" w:eastAsia="Arial" w:hAnsi="Arial"/>
                <w:sz w:val="14"/>
                <w:szCs w:val="14"/>
                <w:color w:val="auto"/>
              </w:rPr>
              <w:t>Notes payable &amp; other long-term borrowings</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4"/>
                <w:szCs w:val="14"/>
                <w:color w:val="auto"/>
              </w:rPr>
              <w:t>0.00%</w:t>
            </w:r>
          </w:p>
        </w:tc>
        <w:tc>
          <w:tcPr>
            <w:tcW w:w="200" w:type="dxa"/>
            <w:vAlign w:val="bottom"/>
          </w:tcPr>
          <w:p>
            <w:pPr>
              <w:spacing w:after="0"/>
              <w:rPr>
                <w:sz w:val="14"/>
                <w:szCs w:val="14"/>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4"/>
                <w:szCs w:val="14"/>
                <w:color w:val="auto"/>
              </w:rPr>
              <w:t>19,641</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38</w:t>
            </w:r>
          </w:p>
        </w:tc>
        <w:tc>
          <w:tcPr>
            <w:tcW w:w="220" w:type="dxa"/>
            <w:vAlign w:val="bottom"/>
          </w:tcPr>
          <w:p>
            <w:pPr>
              <w:spacing w:after="0"/>
              <w:rPr>
                <w:sz w:val="14"/>
                <w:szCs w:val="14"/>
                <w:color w:val="auto"/>
              </w:rPr>
            </w:pPr>
          </w:p>
        </w:tc>
        <w:tc>
          <w:tcPr>
            <w:tcW w:w="1240" w:type="dxa"/>
            <w:vAlign w:val="bottom"/>
            <w:gridSpan w:val="2"/>
          </w:tcPr>
          <w:p>
            <w:pPr>
              <w:jc w:val="right"/>
              <w:spacing w:after="0"/>
              <w:rPr>
                <w:sz w:val="20"/>
                <w:szCs w:val="20"/>
                <w:color w:val="auto"/>
              </w:rPr>
            </w:pPr>
            <w:r>
              <w:rPr>
                <w:rFonts w:ascii="Arial" w:cs="Arial" w:eastAsia="Arial" w:hAnsi="Arial"/>
                <w:sz w:val="14"/>
                <w:szCs w:val="14"/>
                <w:color w:val="auto"/>
              </w:rPr>
              <w:t>0.19%</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4"/>
                <w:szCs w:val="14"/>
                <w:color w:val="auto"/>
              </w:rPr>
              <w:t>Subordinated debt securities</w:t>
            </w: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75,874</w:t>
            </w: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4,050</w:t>
            </w:r>
          </w:p>
        </w:tc>
        <w:tc>
          <w:tcPr>
            <w:tcW w:w="20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5.34%</w:t>
            </w:r>
          </w:p>
        </w:tc>
        <w:tc>
          <w:tcPr>
            <w:tcW w:w="20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75,699</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4,056</w:t>
            </w:r>
          </w:p>
        </w:tc>
        <w:tc>
          <w:tcPr>
            <w:tcW w:w="22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5.36%</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060" w:type="dxa"/>
            <w:vAlign w:val="bottom"/>
          </w:tcPr>
          <w:p>
            <w:pPr>
              <w:spacing w:after="0"/>
              <w:rPr>
                <w:sz w:val="20"/>
                <w:szCs w:val="20"/>
                <w:color w:val="auto"/>
              </w:rPr>
            </w:pPr>
            <w:r>
              <w:rPr>
                <w:rFonts w:ascii="Arial" w:cs="Arial" w:eastAsia="Arial" w:hAnsi="Arial"/>
                <w:sz w:val="14"/>
                <w:szCs w:val="14"/>
                <w:color w:val="auto"/>
                <w:w w:val="96"/>
              </w:rPr>
              <w:t>Junior subordinated deferrable interest debentures</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4"/>
                <w:szCs w:val="14"/>
                <w:color w:val="auto"/>
              </w:rPr>
              <w:t>46,393</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1,640</w:t>
            </w:r>
          </w:p>
        </w:tc>
        <w:tc>
          <w:tcPr>
            <w:tcW w:w="200" w:type="dxa"/>
            <w:vAlign w:val="bottom"/>
          </w:tcPr>
          <w:p>
            <w:pPr>
              <w:spacing w:after="0"/>
              <w:rPr>
                <w:sz w:val="15"/>
                <w:szCs w:val="15"/>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4"/>
                <w:szCs w:val="14"/>
                <w:color w:val="auto"/>
              </w:rPr>
              <w:t>3.54%</w:t>
            </w:r>
          </w:p>
        </w:tc>
        <w:tc>
          <w:tcPr>
            <w:tcW w:w="200" w:type="dxa"/>
            <w:vAlign w:val="bottom"/>
          </w:tcPr>
          <w:p>
            <w:pPr>
              <w:spacing w:after="0"/>
              <w:rPr>
                <w:sz w:val="15"/>
                <w:szCs w:val="15"/>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4"/>
                <w:szCs w:val="14"/>
                <w:color w:val="auto"/>
              </w:rPr>
              <w:t>46,393</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880</w:t>
            </w:r>
          </w:p>
        </w:tc>
        <w:tc>
          <w:tcPr>
            <w:tcW w:w="1240" w:type="dxa"/>
            <w:vAlign w:val="bottom"/>
            <w:gridSpan w:val="2"/>
          </w:tcPr>
          <w:p>
            <w:pPr>
              <w:jc w:val="right"/>
              <w:spacing w:after="0"/>
              <w:rPr>
                <w:sz w:val="20"/>
                <w:szCs w:val="20"/>
                <w:color w:val="auto"/>
              </w:rPr>
            </w:pPr>
            <w:r>
              <w:rPr>
                <w:rFonts w:ascii="Arial" w:cs="Arial" w:eastAsia="Arial" w:hAnsi="Arial"/>
                <w:sz w:val="14"/>
                <w:szCs w:val="14"/>
                <w:color w:val="auto"/>
              </w:rPr>
              <w:t>1.90%</w:t>
            </w:r>
          </w:p>
        </w:tc>
        <w:tc>
          <w:tcPr>
            <w:tcW w:w="0" w:type="dxa"/>
            <w:vAlign w:val="bottom"/>
          </w:tcPr>
          <w:p>
            <w:pPr>
              <w:spacing w:after="0"/>
              <w:rPr>
                <w:sz w:val="1"/>
                <w:szCs w:val="1"/>
                <w:color w:val="auto"/>
              </w:rPr>
            </w:pPr>
          </w:p>
        </w:tc>
      </w:tr>
      <w:tr>
        <w:trPr>
          <w:trHeight w:val="172"/>
        </w:trPr>
        <w:tc>
          <w:tcPr>
            <w:tcW w:w="20" w:type="dxa"/>
            <w:vAlign w:val="bottom"/>
            <w:vMerge w:val="restart"/>
          </w:tcPr>
          <w:p>
            <w:pPr>
              <w:spacing w:after="0"/>
              <w:rPr>
                <w:sz w:val="14"/>
                <w:szCs w:val="14"/>
                <w:color w:val="auto"/>
              </w:rPr>
            </w:pPr>
          </w:p>
        </w:tc>
        <w:tc>
          <w:tcPr>
            <w:tcW w:w="30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3060" w:type="dxa"/>
            <w:vAlign w:val="bottom"/>
          </w:tcPr>
          <w:p>
            <w:pPr>
              <w:spacing w:after="0"/>
              <w:rPr>
                <w:sz w:val="20"/>
                <w:szCs w:val="20"/>
                <w:color w:val="auto"/>
              </w:rPr>
            </w:pPr>
            <w:r>
              <w:rPr>
                <w:rFonts w:ascii="Arial" w:cs="Arial" w:eastAsia="Arial" w:hAnsi="Arial"/>
                <w:sz w:val="14"/>
                <w:szCs w:val="14"/>
                <w:b w:val="1"/>
                <w:bCs w:val="1"/>
                <w:color w:val="auto"/>
              </w:rPr>
              <w:t>Total interest-bearing liabilities</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2,339,448</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4"/>
                <w:szCs w:val="14"/>
                <w:color w:val="auto"/>
              </w:rPr>
              <w:t>22,692</w:t>
            </w:r>
          </w:p>
        </w:tc>
        <w:tc>
          <w:tcPr>
            <w:tcW w:w="1360" w:type="dxa"/>
            <w:vAlign w:val="bottom"/>
            <w:gridSpan w:val="2"/>
          </w:tcPr>
          <w:p>
            <w:pPr>
              <w:jc w:val="right"/>
              <w:ind w:right="120"/>
              <w:spacing w:after="0"/>
              <w:rPr>
                <w:sz w:val="20"/>
                <w:szCs w:val="20"/>
                <w:color w:val="auto"/>
              </w:rPr>
            </w:pPr>
            <w:r>
              <w:rPr>
                <w:rFonts w:ascii="Arial" w:cs="Arial" w:eastAsia="Arial" w:hAnsi="Arial"/>
                <w:sz w:val="14"/>
                <w:szCs w:val="14"/>
                <w:color w:val="auto"/>
              </w:rPr>
              <w:t>0.97%</w:t>
            </w:r>
          </w:p>
        </w:tc>
        <w:tc>
          <w:tcPr>
            <w:tcW w:w="2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2,320,965</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13,272</w:t>
            </w:r>
          </w:p>
        </w:tc>
        <w:tc>
          <w:tcPr>
            <w:tcW w:w="1240" w:type="dxa"/>
            <w:vAlign w:val="bottom"/>
            <w:gridSpan w:val="2"/>
          </w:tcPr>
          <w:p>
            <w:pPr>
              <w:jc w:val="right"/>
              <w:spacing w:after="0"/>
              <w:rPr>
                <w:sz w:val="20"/>
                <w:szCs w:val="20"/>
                <w:color w:val="auto"/>
              </w:rPr>
            </w:pPr>
            <w:r>
              <w:rPr>
                <w:rFonts w:ascii="Arial" w:cs="Arial" w:eastAsia="Arial" w:hAnsi="Arial"/>
                <w:sz w:val="14"/>
                <w:szCs w:val="14"/>
                <w:color w:val="auto"/>
              </w:rPr>
              <w:t>0.57%</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4"/>
                <w:szCs w:val="14"/>
                <w:color w:val="auto"/>
              </w:rPr>
              <w:t>Demand deposits</w:t>
            </w: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1,189,730</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1,016,835</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060" w:type="dxa"/>
            <w:vAlign w:val="bottom"/>
          </w:tcPr>
          <w:p>
            <w:pPr>
              <w:spacing w:after="0"/>
              <w:rPr>
                <w:sz w:val="20"/>
                <w:szCs w:val="20"/>
                <w:color w:val="auto"/>
              </w:rPr>
            </w:pPr>
            <w:r>
              <w:rPr>
                <w:rFonts w:ascii="Arial" w:cs="Arial" w:eastAsia="Arial" w:hAnsi="Arial"/>
                <w:sz w:val="14"/>
                <w:szCs w:val="14"/>
                <w:color w:val="auto"/>
              </w:rPr>
              <w:t>Other liabilities</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4"/>
                <w:szCs w:val="14"/>
                <w:color w:val="auto"/>
              </w:rPr>
              <w:t>66,182</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4"/>
                <w:szCs w:val="14"/>
                <w:color w:val="auto"/>
              </w:rPr>
              <w:t>42,654</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4"/>
                <w:szCs w:val="14"/>
                <w:color w:val="auto"/>
              </w:rPr>
              <w:t>Stockholders’ equity</w:t>
            </w: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368,828</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388,625</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0" w:type="dxa"/>
            <w:vAlign w:val="bottom"/>
            <w:vMerge w:val="restart"/>
          </w:tcPr>
          <w:p>
            <w:pPr>
              <w:spacing w:after="0"/>
              <w:rPr>
                <w:sz w:val="14"/>
                <w:szCs w:val="14"/>
                <w:color w:val="auto"/>
              </w:rPr>
            </w:pPr>
          </w:p>
        </w:tc>
        <w:tc>
          <w:tcPr>
            <w:tcW w:w="3060" w:type="dxa"/>
            <w:vAlign w:val="bottom"/>
            <w:tcBorders>
              <w:top w:val="single" w:sz="8" w:color="CCEEFF"/>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940" w:type="dxa"/>
            <w:vAlign w:val="bottom"/>
            <w:tcBorders>
              <w:top w:val="single" w:sz="8" w:color="CCEEFF"/>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1120" w:type="dxa"/>
            <w:vAlign w:val="bottom"/>
            <w:tcBorders>
              <w:top w:val="single" w:sz="8" w:color="CCEEFF"/>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920" w:type="dxa"/>
            <w:vAlign w:val="bottom"/>
            <w:tcBorders>
              <w:top w:val="single" w:sz="8" w:color="CCEEFF"/>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112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Total liabilities &amp; stockholders’ equity</w:t>
            </w: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3,964,188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3,769,079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20" w:type="dxa"/>
            <w:vAlign w:val="bottom"/>
            <w:vMerge w:val="restart"/>
          </w:tcPr>
          <w:p>
            <w:pPr>
              <w:spacing w:after="0"/>
              <w:rPr>
                <w:sz w:val="13"/>
                <w:szCs w:val="13"/>
                <w:color w:val="auto"/>
              </w:rPr>
            </w:pPr>
          </w:p>
        </w:tc>
        <w:tc>
          <w:tcPr>
            <w:tcW w:w="3060" w:type="dxa"/>
            <w:vAlign w:val="bottom"/>
            <w:tcBorders>
              <w:top w:val="single" w:sz="8" w:color="CCEEFF"/>
            </w:tcBorders>
          </w:tcPr>
          <w:p>
            <w:pPr>
              <w:spacing w:after="0"/>
              <w:rPr>
                <w:sz w:val="13"/>
                <w:szCs w:val="13"/>
                <w:color w:val="auto"/>
              </w:rPr>
            </w:pPr>
          </w:p>
        </w:tc>
        <w:tc>
          <w:tcPr>
            <w:tcW w:w="200" w:type="dxa"/>
            <w:vAlign w:val="bottom"/>
            <w:tcBorders>
              <w:top w:val="single" w:sz="8" w:color="CCEEFF"/>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340" w:type="dxa"/>
            <w:vAlign w:val="bottom"/>
            <w:tcBorders>
              <w:top w:val="single" w:sz="8" w:color="CCEEFF"/>
            </w:tcBorders>
            <w:gridSpan w:val="2"/>
          </w:tcPr>
          <w:p>
            <w:pPr>
              <w:spacing w:after="0"/>
              <w:rPr>
                <w:sz w:val="13"/>
                <w:szCs w:val="13"/>
                <w:color w:val="auto"/>
              </w:rPr>
            </w:pPr>
          </w:p>
        </w:tc>
        <w:tc>
          <w:tcPr>
            <w:tcW w:w="940" w:type="dxa"/>
            <w:vAlign w:val="bottom"/>
            <w:tcBorders>
              <w:top w:val="single" w:sz="8" w:color="CCEEFF"/>
            </w:tcBorders>
          </w:tcPr>
          <w:p>
            <w:pPr>
              <w:spacing w:after="0"/>
              <w:rPr>
                <w:sz w:val="13"/>
                <w:szCs w:val="13"/>
                <w:color w:val="auto"/>
              </w:rPr>
            </w:pPr>
          </w:p>
        </w:tc>
        <w:tc>
          <w:tcPr>
            <w:tcW w:w="200" w:type="dxa"/>
            <w:vAlign w:val="bottom"/>
            <w:tcBorders>
              <w:top w:val="single" w:sz="8" w:color="CCEEFF"/>
            </w:tcBorders>
          </w:tcPr>
          <w:p>
            <w:pPr>
              <w:spacing w:after="0"/>
              <w:rPr>
                <w:sz w:val="13"/>
                <w:szCs w:val="13"/>
                <w:color w:val="auto"/>
              </w:rPr>
            </w:pPr>
          </w:p>
        </w:tc>
        <w:tc>
          <w:tcPr>
            <w:tcW w:w="1120" w:type="dxa"/>
            <w:vAlign w:val="bottom"/>
            <w:tcBorders>
              <w:top w:val="single" w:sz="8" w:color="CCEEFF"/>
            </w:tcBorders>
          </w:tcPr>
          <w:p>
            <w:pPr>
              <w:spacing w:after="0"/>
              <w:rPr>
                <w:sz w:val="13"/>
                <w:szCs w:val="13"/>
                <w:color w:val="auto"/>
              </w:rPr>
            </w:pPr>
          </w:p>
        </w:tc>
        <w:tc>
          <w:tcPr>
            <w:tcW w:w="240" w:type="dxa"/>
            <w:vAlign w:val="bottom"/>
            <w:tcBorders>
              <w:top w:val="single" w:sz="8" w:color="CCEEFF"/>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320" w:type="dxa"/>
            <w:vAlign w:val="bottom"/>
            <w:tcBorders>
              <w:top w:val="single" w:sz="8" w:color="CCEEFF"/>
            </w:tcBorders>
            <w:gridSpan w:val="2"/>
          </w:tcPr>
          <w:p>
            <w:pPr>
              <w:spacing w:after="0"/>
              <w:rPr>
                <w:sz w:val="13"/>
                <w:szCs w:val="13"/>
                <w:color w:val="auto"/>
              </w:rPr>
            </w:pPr>
          </w:p>
        </w:tc>
        <w:tc>
          <w:tcPr>
            <w:tcW w:w="920" w:type="dxa"/>
            <w:vAlign w:val="bottom"/>
            <w:tcBorders>
              <w:top w:val="single" w:sz="8" w:color="CCEEFF"/>
            </w:tcBorders>
          </w:tcPr>
          <w:p>
            <w:pPr>
              <w:spacing w:after="0"/>
              <w:rPr>
                <w:sz w:val="13"/>
                <w:szCs w:val="13"/>
                <w:color w:val="auto"/>
              </w:rPr>
            </w:pPr>
          </w:p>
        </w:tc>
        <w:tc>
          <w:tcPr>
            <w:tcW w:w="220" w:type="dxa"/>
            <w:vAlign w:val="bottom"/>
            <w:tcBorders>
              <w:top w:val="single" w:sz="8" w:color="CCEEFF"/>
            </w:tcBorders>
          </w:tcPr>
          <w:p>
            <w:pPr>
              <w:spacing w:after="0"/>
              <w:rPr>
                <w:sz w:val="13"/>
                <w:szCs w:val="13"/>
                <w:color w:val="auto"/>
              </w:rPr>
            </w:pPr>
          </w:p>
        </w:tc>
        <w:tc>
          <w:tcPr>
            <w:tcW w:w="1120" w:type="dxa"/>
            <w:vAlign w:val="bottom"/>
            <w:tcBorders>
              <w:top w:val="single" w:sz="8" w:color="CCEEFF"/>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4"/>
                <w:szCs w:val="14"/>
                <w:color w:val="auto"/>
              </w:rPr>
              <w:t>Net interest income</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139,683</w:t>
            </w: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123,002</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95"/>
        </w:trPr>
        <w:tc>
          <w:tcPr>
            <w:tcW w:w="20" w:type="dxa"/>
            <w:vAlign w:val="bottom"/>
          </w:tcPr>
          <w:p>
            <w:pPr>
              <w:spacing w:after="0"/>
              <w:rPr>
                <w:sz w:val="24"/>
                <w:szCs w:val="24"/>
                <w:color w:val="auto"/>
              </w:rPr>
            </w:pPr>
          </w:p>
        </w:tc>
        <w:tc>
          <w:tcPr>
            <w:tcW w:w="3060" w:type="dxa"/>
            <w:vAlign w:val="bottom"/>
            <w:tcBorders>
              <w:top w:val="single" w:sz="8" w:color="CCEEFF"/>
            </w:tcBorders>
          </w:tcPr>
          <w:p>
            <w:pPr>
              <w:spacing w:after="0"/>
              <w:rPr>
                <w:sz w:val="20"/>
                <w:szCs w:val="20"/>
                <w:color w:val="auto"/>
              </w:rPr>
            </w:pPr>
            <w:r>
              <w:rPr>
                <w:rFonts w:ascii="Arial" w:cs="Arial" w:eastAsia="Arial" w:hAnsi="Arial"/>
                <w:sz w:val="14"/>
                <w:szCs w:val="14"/>
                <w:color w:val="auto"/>
              </w:rPr>
              <w:t xml:space="preserve">Net interest margin </w:t>
            </w:r>
            <w:r>
              <w:rPr>
                <w:rFonts w:ascii="Arial" w:cs="Arial" w:eastAsia="Arial" w:hAnsi="Arial"/>
                <w:sz w:val="23"/>
                <w:szCs w:val="23"/>
                <w:color w:val="auto"/>
                <w:vertAlign w:val="superscript"/>
              </w:rPr>
              <w:t>(2)</w:t>
            </w:r>
          </w:p>
        </w:tc>
        <w:tc>
          <w:tcPr>
            <w:tcW w:w="200" w:type="dxa"/>
            <w:vAlign w:val="bottom"/>
            <w:tcBorders>
              <w:top w:val="single" w:sz="8" w:color="CCEEFF"/>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94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1360" w:type="dxa"/>
            <w:vAlign w:val="bottom"/>
            <w:tcBorders>
              <w:top w:val="single" w:sz="8" w:color="CCEEFF"/>
            </w:tcBorders>
            <w:gridSpan w:val="2"/>
          </w:tcPr>
          <w:p>
            <w:pPr>
              <w:jc w:val="right"/>
              <w:ind w:right="120"/>
              <w:spacing w:after="0"/>
              <w:rPr>
                <w:sz w:val="20"/>
                <w:szCs w:val="20"/>
                <w:color w:val="auto"/>
              </w:rPr>
            </w:pPr>
            <w:r>
              <w:rPr>
                <w:rFonts w:ascii="Arial" w:cs="Arial" w:eastAsia="Arial" w:hAnsi="Arial"/>
                <w:sz w:val="14"/>
                <w:szCs w:val="14"/>
                <w:color w:val="auto"/>
              </w:rPr>
              <w:t>3.73%</w:t>
            </w:r>
          </w:p>
        </w:tc>
        <w:tc>
          <w:tcPr>
            <w:tcW w:w="200" w:type="dxa"/>
            <w:vAlign w:val="bottom"/>
            <w:tcBorders>
              <w:top w:val="single" w:sz="8" w:color="CCEEFF"/>
            </w:tcBorders>
          </w:tcPr>
          <w:p>
            <w:pPr>
              <w:spacing w:after="0"/>
              <w:rPr>
                <w:sz w:val="24"/>
                <w:szCs w:val="24"/>
                <w:color w:val="auto"/>
              </w:rPr>
            </w:pPr>
          </w:p>
        </w:tc>
        <w:tc>
          <w:tcPr>
            <w:tcW w:w="92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240" w:type="dxa"/>
            <w:vAlign w:val="bottom"/>
            <w:tcBorders>
              <w:top w:val="single" w:sz="8" w:color="CCEEFF"/>
            </w:tcBorders>
            <w:gridSpan w:val="2"/>
          </w:tcPr>
          <w:p>
            <w:pPr>
              <w:jc w:val="right"/>
              <w:spacing w:after="0"/>
              <w:rPr>
                <w:sz w:val="20"/>
                <w:szCs w:val="20"/>
                <w:color w:val="auto"/>
              </w:rPr>
            </w:pPr>
            <w:r>
              <w:rPr>
                <w:rFonts w:ascii="Arial" w:cs="Arial" w:eastAsia="Arial" w:hAnsi="Arial"/>
                <w:sz w:val="14"/>
                <w:szCs w:val="14"/>
                <w:color w:val="auto"/>
              </w:rPr>
              <w:t>3.51%</w:t>
            </w:r>
          </w:p>
        </w:tc>
        <w:tc>
          <w:tcPr>
            <w:tcW w:w="0" w:type="dxa"/>
            <w:vAlign w:val="bottom"/>
          </w:tcPr>
          <w:p>
            <w:pPr>
              <w:spacing w:after="0"/>
              <w:rPr>
                <w:sz w:val="1"/>
                <w:szCs w:val="1"/>
                <w:color w:val="auto"/>
              </w:rPr>
            </w:pPr>
          </w:p>
        </w:tc>
      </w:tr>
    </w:tbl>
    <w:p>
      <w:pPr>
        <w:spacing w:after="0" w:line="43" w:lineRule="exact"/>
        <w:rPr>
          <w:sz w:val="20"/>
          <w:szCs w:val="20"/>
          <w:color w:val="auto"/>
        </w:rPr>
      </w:pPr>
    </w:p>
    <w:p>
      <w:pPr>
        <w:ind w:left="260" w:hanging="254"/>
        <w:spacing w:after="0"/>
        <w:tabs>
          <w:tab w:leader="none" w:pos="260" w:val="left"/>
        </w:tabs>
        <w:numPr>
          <w:ilvl w:val="0"/>
          <w:numId w:val="7"/>
        </w:numPr>
        <w:rPr>
          <w:rFonts w:ascii="Arial" w:cs="Arial" w:eastAsia="Arial" w:hAnsi="Arial"/>
          <w:sz w:val="14"/>
          <w:szCs w:val="14"/>
          <w:color w:val="auto"/>
        </w:rPr>
      </w:pPr>
      <w:r>
        <w:rPr>
          <w:rFonts w:ascii="Arial" w:cs="Arial" w:eastAsia="Arial" w:hAnsi="Arial"/>
          <w:sz w:val="14"/>
          <w:szCs w:val="14"/>
          <w:color w:val="auto"/>
        </w:rPr>
        <w:t>Average loan balances include nonaccrual loans and loans held for sale.</w:t>
      </w:r>
    </w:p>
    <w:p>
      <w:pPr>
        <w:spacing w:after="0" w:line="20" w:lineRule="exact"/>
        <w:rPr>
          <w:rFonts w:ascii="Arial" w:cs="Arial" w:eastAsia="Arial" w:hAnsi="Arial"/>
          <w:sz w:val="14"/>
          <w:szCs w:val="14"/>
          <w:color w:val="auto"/>
        </w:rPr>
      </w:pPr>
    </w:p>
    <w:p>
      <w:pPr>
        <w:ind w:right="3160" w:firstLine="6"/>
        <w:spacing w:after="0" w:line="273" w:lineRule="auto"/>
        <w:tabs>
          <w:tab w:leader="none" w:pos="258" w:val="left"/>
        </w:tabs>
        <w:numPr>
          <w:ilvl w:val="0"/>
          <w:numId w:val="7"/>
        </w:numPr>
        <w:rPr>
          <w:rFonts w:ascii="Arial" w:cs="Arial" w:eastAsia="Arial" w:hAnsi="Arial"/>
          <w:sz w:val="14"/>
          <w:szCs w:val="14"/>
          <w:color w:val="auto"/>
        </w:rPr>
      </w:pPr>
      <w:r>
        <w:rPr>
          <w:rFonts w:ascii="Arial" w:cs="Arial" w:eastAsia="Arial" w:hAnsi="Arial"/>
          <w:sz w:val="14"/>
          <w:szCs w:val="14"/>
          <w:color w:val="auto"/>
        </w:rPr>
        <w:t>Net interest margin is calculated as the annualized net income, on a fully tax-equivalent basis, divided by average interest-earning assets. PPP - Small Business Administration Paycheck Protection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198755</wp:posOffset>
            </wp:positionV>
            <wp:extent cx="7160260" cy="139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1" w:name="page12"/>
    <w:bookmarkEnd w:id="11"/>
    <w:p>
      <w:pPr>
        <w:spacing w:after="0"/>
        <w:rPr>
          <w:sz w:val="20"/>
          <w:szCs w:val="20"/>
          <w:color w:val="auto"/>
        </w:rPr>
      </w:pPr>
      <w:r>
        <w:rPr>
          <w:rFonts w:ascii="Arial" w:cs="Arial" w:eastAsia="Arial" w:hAnsi="Arial"/>
          <w:sz w:val="14"/>
          <w:szCs w:val="14"/>
          <w:b w:val="1"/>
          <w:bCs w:val="1"/>
          <w:color w:val="auto"/>
        </w:rPr>
        <w:t>South Plains Financial, Inc.</w:t>
      </w:r>
    </w:p>
    <w:p>
      <w:pPr>
        <w:spacing w:after="0" w:line="2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Consolidated Balance Sheets</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(Unaudited)</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(Dollars in thousands)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0" w:type="dxa"/>
            <w:vAlign w:val="bottom"/>
          </w:tcPr>
          <w:p>
            <w:pPr>
              <w:spacing w:after="0"/>
              <w:rPr>
                <w:sz w:val="16"/>
                <w:szCs w:val="16"/>
                <w:color w:val="auto"/>
              </w:rPr>
            </w:pPr>
          </w:p>
        </w:tc>
        <w:tc>
          <w:tcPr>
            <w:tcW w:w="576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ind w:right="9"/>
              <w:spacing w:after="0"/>
              <w:rPr>
                <w:sz w:val="20"/>
                <w:szCs w:val="20"/>
                <w:color w:val="auto"/>
              </w:rPr>
            </w:pPr>
            <w:r>
              <w:rPr>
                <w:rFonts w:ascii="Arial" w:cs="Arial" w:eastAsia="Arial" w:hAnsi="Arial"/>
                <w:sz w:val="14"/>
                <w:szCs w:val="14"/>
                <w:b w:val="1"/>
                <w:bCs w:val="1"/>
                <w:color w:val="auto"/>
              </w:rPr>
              <w:t>As of</w:t>
            </w:r>
          </w:p>
        </w:tc>
        <w:tc>
          <w:tcPr>
            <w:tcW w:w="10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5760" w:type="dxa"/>
            <w:vAlign w:val="bottom"/>
          </w:tcPr>
          <w:p>
            <w:pPr>
              <w:spacing w:after="0"/>
              <w:rPr>
                <w:sz w:val="13"/>
                <w:szCs w:val="13"/>
                <w:color w:val="auto"/>
              </w:rPr>
            </w:pPr>
          </w:p>
        </w:tc>
        <w:tc>
          <w:tcPr>
            <w:tcW w:w="2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gridSpan w:val="2"/>
          </w:tcPr>
          <w:p>
            <w:pPr>
              <w:jc w:val="right"/>
              <w:ind w:right="380"/>
              <w:spacing w:after="0" w:line="157" w:lineRule="exact"/>
              <w:rPr>
                <w:sz w:val="20"/>
                <w:szCs w:val="20"/>
                <w:color w:val="auto"/>
              </w:rPr>
            </w:pPr>
            <w:r>
              <w:rPr>
                <w:rFonts w:ascii="Arial" w:cs="Arial" w:eastAsia="Arial" w:hAnsi="Arial"/>
                <w:sz w:val="14"/>
                <w:szCs w:val="14"/>
                <w:b w:val="1"/>
                <w:bCs w:val="1"/>
                <w:color w:val="auto"/>
                <w:w w:val="92"/>
              </w:rPr>
              <w:t>December 31,</w:t>
            </w:r>
          </w:p>
        </w:tc>
        <w:tc>
          <w:tcPr>
            <w:tcW w:w="100" w:type="dxa"/>
            <w:vAlign w:val="bottom"/>
          </w:tcPr>
          <w:p>
            <w:pPr>
              <w:spacing w:after="0"/>
              <w:rPr>
                <w:sz w:val="13"/>
                <w:szCs w:val="13"/>
                <w:color w:val="auto"/>
              </w:rPr>
            </w:pPr>
          </w:p>
        </w:tc>
        <w:tc>
          <w:tcPr>
            <w:tcW w:w="1020" w:type="dxa"/>
            <w:vAlign w:val="bottom"/>
          </w:tcPr>
          <w:p>
            <w:pPr>
              <w:jc w:val="right"/>
              <w:ind w:right="68"/>
              <w:spacing w:after="0" w:line="157" w:lineRule="exact"/>
              <w:rPr>
                <w:sz w:val="20"/>
                <w:szCs w:val="20"/>
                <w:color w:val="auto"/>
              </w:rPr>
            </w:pPr>
            <w:r>
              <w:rPr>
                <w:rFonts w:ascii="Arial" w:cs="Arial" w:eastAsia="Arial" w:hAnsi="Arial"/>
                <w:sz w:val="14"/>
                <w:szCs w:val="14"/>
                <w:b w:val="1"/>
                <w:bCs w:val="1"/>
                <w:color w:val="auto"/>
                <w:w w:val="94"/>
              </w:rPr>
              <w:t>December 31,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76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3"/>
        </w:trPr>
        <w:tc>
          <w:tcPr>
            <w:tcW w:w="5780" w:type="dxa"/>
            <w:vAlign w:val="bottom"/>
            <w:gridSpan w:val="2"/>
          </w:tcPr>
          <w:p>
            <w:pPr>
              <w:spacing w:after="0"/>
              <w:rPr>
                <w:sz w:val="20"/>
                <w:szCs w:val="20"/>
                <w:color w:val="auto"/>
              </w:rPr>
            </w:pPr>
            <w:r>
              <w:rPr>
                <w:rFonts w:ascii="Arial" w:cs="Arial" w:eastAsia="Arial" w:hAnsi="Arial"/>
                <w:sz w:val="14"/>
                <w:szCs w:val="14"/>
                <w:b w:val="1"/>
                <w:bCs w:val="1"/>
                <w:color w:val="auto"/>
              </w:rPr>
              <w:t>Assets</w:t>
            </w:r>
          </w:p>
        </w:tc>
        <w:tc>
          <w:tcPr>
            <w:tcW w:w="2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4"/>
                <w:szCs w:val="14"/>
                <w:color w:val="auto"/>
              </w:rPr>
              <w:t>Cash and due from banks</w:t>
            </w:r>
          </w:p>
        </w:tc>
        <w:tc>
          <w:tcPr>
            <w:tcW w:w="30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61,613</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68,425</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760" w:type="dxa"/>
            <w:vAlign w:val="bottom"/>
          </w:tcPr>
          <w:p>
            <w:pPr>
              <w:spacing w:after="0"/>
              <w:rPr>
                <w:sz w:val="20"/>
                <w:szCs w:val="20"/>
                <w:color w:val="auto"/>
              </w:rPr>
            </w:pPr>
            <w:r>
              <w:rPr>
                <w:rFonts w:ascii="Arial" w:cs="Arial" w:eastAsia="Arial" w:hAnsi="Arial"/>
                <w:sz w:val="14"/>
                <w:szCs w:val="14"/>
                <w:color w:val="auto"/>
              </w:rPr>
              <w:t>Interest-bearing deposits in banks</w:t>
            </w:r>
          </w:p>
        </w:tc>
        <w:tc>
          <w:tcPr>
            <w:tcW w:w="2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173,270</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4"/>
                <w:szCs w:val="14"/>
                <w:color w:val="auto"/>
              </w:rPr>
              <w:t>418,396</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4"/>
                <w:szCs w:val="14"/>
                <w:color w:val="auto"/>
              </w:rPr>
              <w:t>Federal funds sold</w:t>
            </w:r>
          </w:p>
        </w:tc>
        <w:tc>
          <w:tcPr>
            <w:tcW w:w="2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760" w:type="dxa"/>
            <w:vAlign w:val="bottom"/>
          </w:tcPr>
          <w:p>
            <w:pPr>
              <w:spacing w:after="0"/>
              <w:rPr>
                <w:sz w:val="20"/>
                <w:szCs w:val="20"/>
                <w:color w:val="auto"/>
              </w:rPr>
            </w:pPr>
            <w:r>
              <w:rPr>
                <w:rFonts w:ascii="Arial" w:cs="Arial" w:eastAsia="Arial" w:hAnsi="Arial"/>
                <w:sz w:val="14"/>
                <w:szCs w:val="14"/>
                <w:color w:val="auto"/>
              </w:rPr>
              <w:t>Investment securities</w:t>
            </w:r>
          </w:p>
        </w:tc>
        <w:tc>
          <w:tcPr>
            <w:tcW w:w="2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701,711</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4"/>
                <w:szCs w:val="14"/>
                <w:color w:val="auto"/>
              </w:rPr>
              <w:t>724,504</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4"/>
                <w:szCs w:val="14"/>
                <w:color w:val="auto"/>
              </w:rPr>
              <w:t>Loans held for sale</w:t>
            </w:r>
          </w:p>
        </w:tc>
        <w:tc>
          <w:tcPr>
            <w:tcW w:w="2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30,403</w:t>
            </w:r>
          </w:p>
        </w:tc>
        <w:tc>
          <w:tcPr>
            <w:tcW w:w="10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76,507</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760" w:type="dxa"/>
            <w:vAlign w:val="bottom"/>
          </w:tcPr>
          <w:p>
            <w:pPr>
              <w:spacing w:after="0"/>
              <w:rPr>
                <w:sz w:val="20"/>
                <w:szCs w:val="20"/>
                <w:color w:val="auto"/>
              </w:rPr>
            </w:pPr>
            <w:r>
              <w:rPr>
                <w:rFonts w:ascii="Arial" w:cs="Arial" w:eastAsia="Arial" w:hAnsi="Arial"/>
                <w:sz w:val="14"/>
                <w:szCs w:val="14"/>
                <w:color w:val="auto"/>
              </w:rPr>
              <w:t>Loans held for investment</w:t>
            </w:r>
          </w:p>
        </w:tc>
        <w:tc>
          <w:tcPr>
            <w:tcW w:w="2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2,748,081</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4"/>
                <w:szCs w:val="14"/>
                <w:color w:val="auto"/>
              </w:rPr>
              <w:t>2,437,577</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4"/>
                <w:szCs w:val="14"/>
                <w:color w:val="auto"/>
              </w:rPr>
              <w:t>Less: Allowance for loan losses</w:t>
            </w:r>
          </w:p>
        </w:tc>
        <w:tc>
          <w:tcPr>
            <w:tcW w:w="2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(39,288)</w:t>
            </w:r>
          </w:p>
        </w:tc>
        <w:tc>
          <w:tcPr>
            <w:tcW w:w="10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(42,098)</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760" w:type="dxa"/>
            <w:vAlign w:val="bottom"/>
            <w:tcBorders>
              <w:top w:val="single" w:sz="8" w:color="CCEEFF"/>
            </w:tcBorders>
          </w:tcPr>
          <w:p>
            <w:pPr>
              <w:spacing w:after="0"/>
              <w:rPr>
                <w:sz w:val="20"/>
                <w:szCs w:val="20"/>
                <w:color w:val="auto"/>
              </w:rPr>
            </w:pPr>
            <w:r>
              <w:rPr>
                <w:rFonts w:ascii="Arial" w:cs="Arial" w:eastAsia="Arial" w:hAnsi="Arial"/>
                <w:sz w:val="14"/>
                <w:szCs w:val="14"/>
                <w:color w:val="auto"/>
              </w:rPr>
              <w:t>Net loans held for investment</w:t>
            </w:r>
          </w:p>
        </w:tc>
        <w:tc>
          <w:tcPr>
            <w:tcW w:w="2920" w:type="dxa"/>
            <w:vAlign w:val="bottom"/>
            <w:tcBorders>
              <w:top w:val="single" w:sz="8" w:color="CCEEFF"/>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2,708,793</w:t>
            </w:r>
          </w:p>
        </w:tc>
        <w:tc>
          <w:tcPr>
            <w:tcW w:w="220" w:type="dxa"/>
            <w:vAlign w:val="bottom"/>
            <w:tcBorders>
              <w:top w:val="single" w:sz="8" w:color="CCEEFF"/>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2,395,479</w:t>
            </w:r>
          </w:p>
        </w:tc>
        <w:tc>
          <w:tcPr>
            <w:tcW w:w="10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4"/>
                <w:szCs w:val="14"/>
                <w:color w:val="auto"/>
              </w:rPr>
              <w:t>Premises and equipment, net</w:t>
            </w:r>
          </w:p>
        </w:tc>
        <w:tc>
          <w:tcPr>
            <w:tcW w:w="2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56,337</w:t>
            </w:r>
          </w:p>
        </w:tc>
        <w:tc>
          <w:tcPr>
            <w:tcW w:w="10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57,699</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760" w:type="dxa"/>
            <w:vAlign w:val="bottom"/>
          </w:tcPr>
          <w:p>
            <w:pPr>
              <w:spacing w:after="0"/>
              <w:rPr>
                <w:sz w:val="20"/>
                <w:szCs w:val="20"/>
                <w:color w:val="auto"/>
              </w:rPr>
            </w:pPr>
            <w:r>
              <w:rPr>
                <w:rFonts w:ascii="Arial" w:cs="Arial" w:eastAsia="Arial" w:hAnsi="Arial"/>
                <w:sz w:val="14"/>
                <w:szCs w:val="14"/>
                <w:color w:val="auto"/>
              </w:rPr>
              <w:t>Goodwill</w:t>
            </w:r>
          </w:p>
        </w:tc>
        <w:tc>
          <w:tcPr>
            <w:tcW w:w="2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19,508</w:t>
            </w:r>
          </w:p>
        </w:tc>
        <w:tc>
          <w:tcPr>
            <w:tcW w:w="100" w:type="dxa"/>
            <w:vAlign w:val="bottom"/>
          </w:tcPr>
          <w:p>
            <w:pPr>
              <w:spacing w:after="0"/>
              <w:rPr>
                <w:sz w:val="14"/>
                <w:szCs w:val="14"/>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4"/>
                <w:szCs w:val="14"/>
                <w:color w:val="auto"/>
              </w:rPr>
              <w:t>19,508</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4"/>
                <w:szCs w:val="14"/>
                <w:color w:val="auto"/>
              </w:rPr>
              <w:t>Intangible assets</w:t>
            </w:r>
          </w:p>
        </w:tc>
        <w:tc>
          <w:tcPr>
            <w:tcW w:w="2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4,349</w:t>
            </w: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5,895</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760" w:type="dxa"/>
            <w:vAlign w:val="bottom"/>
          </w:tcPr>
          <w:p>
            <w:pPr>
              <w:spacing w:after="0"/>
              <w:rPr>
                <w:sz w:val="20"/>
                <w:szCs w:val="20"/>
                <w:color w:val="auto"/>
              </w:rPr>
            </w:pPr>
            <w:r>
              <w:rPr>
                <w:rFonts w:ascii="Arial" w:cs="Arial" w:eastAsia="Arial" w:hAnsi="Arial"/>
                <w:sz w:val="14"/>
                <w:szCs w:val="14"/>
                <w:color w:val="auto"/>
              </w:rPr>
              <w:t>Mortgage servicing assets</w:t>
            </w:r>
          </w:p>
        </w:tc>
        <w:tc>
          <w:tcPr>
            <w:tcW w:w="2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27,474</w:t>
            </w:r>
          </w:p>
        </w:tc>
        <w:tc>
          <w:tcPr>
            <w:tcW w:w="100" w:type="dxa"/>
            <w:vAlign w:val="bottom"/>
          </w:tcPr>
          <w:p>
            <w:pPr>
              <w:spacing w:after="0"/>
              <w:rPr>
                <w:sz w:val="14"/>
                <w:szCs w:val="14"/>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4"/>
                <w:szCs w:val="14"/>
                <w:color w:val="auto"/>
              </w:rPr>
              <w:t>19,700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Other assets</w:t>
            </w:r>
          </w:p>
        </w:tc>
        <w:tc>
          <w:tcPr>
            <w:tcW w:w="29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160,605</w:t>
            </w:r>
          </w:p>
        </w:tc>
        <w:tc>
          <w:tcPr>
            <w:tcW w:w="2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115,742</w:t>
            </w:r>
          </w:p>
        </w:tc>
        <w:tc>
          <w:tcPr>
            <w:tcW w:w="1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760" w:type="dxa"/>
            <w:vAlign w:val="bottom"/>
          </w:tcPr>
          <w:p>
            <w:pPr>
              <w:spacing w:after="0"/>
              <w:rPr>
                <w:sz w:val="20"/>
                <w:szCs w:val="20"/>
                <w:color w:val="auto"/>
              </w:rPr>
            </w:pPr>
            <w:r>
              <w:rPr>
                <w:rFonts w:ascii="Arial" w:cs="Arial" w:eastAsia="Arial" w:hAnsi="Arial"/>
                <w:sz w:val="14"/>
                <w:szCs w:val="14"/>
                <w:color w:val="auto"/>
              </w:rPr>
              <w:t>Total assets</w:t>
            </w:r>
          </w:p>
        </w:tc>
        <w:tc>
          <w:tcPr>
            <w:tcW w:w="30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3,944,063</w:t>
            </w:r>
          </w:p>
        </w:tc>
        <w:tc>
          <w:tcPr>
            <w:tcW w:w="2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20" w:type="dxa"/>
            <w:vAlign w:val="bottom"/>
            <w:gridSpan w:val="2"/>
          </w:tcPr>
          <w:p>
            <w:pPr>
              <w:jc w:val="right"/>
              <w:ind w:right="100"/>
              <w:spacing w:after="0"/>
              <w:rPr>
                <w:sz w:val="20"/>
                <w:szCs w:val="20"/>
                <w:color w:val="auto"/>
              </w:rPr>
            </w:pPr>
            <w:r>
              <w:rPr>
                <w:rFonts w:ascii="Arial" w:cs="Arial" w:eastAsia="Arial" w:hAnsi="Arial"/>
                <w:sz w:val="14"/>
                <w:szCs w:val="14"/>
                <w:color w:val="auto"/>
              </w:rPr>
              <w:t>3,901,855</w:t>
            </w:r>
          </w:p>
        </w:tc>
        <w:tc>
          <w:tcPr>
            <w:tcW w:w="0" w:type="dxa"/>
            <w:vAlign w:val="bottom"/>
          </w:tcPr>
          <w:p>
            <w:pPr>
              <w:spacing w:after="0"/>
              <w:rPr>
                <w:sz w:val="1"/>
                <w:szCs w:val="1"/>
                <w:color w:val="auto"/>
              </w:rPr>
            </w:pPr>
          </w:p>
        </w:tc>
      </w:tr>
      <w:tr>
        <w:trPr>
          <w:trHeight w:val="20"/>
        </w:trPr>
        <w:tc>
          <w:tcPr>
            <w:tcW w:w="5780" w:type="dxa"/>
            <w:vAlign w:val="bottom"/>
            <w:gridSpan w:val="2"/>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vMerge w:val="restart"/>
          </w:tcPr>
          <w:p>
            <w:pPr>
              <w:spacing w:after="0"/>
              <w:rPr>
                <w:sz w:val="13"/>
                <w:szCs w:val="13"/>
                <w:color w:val="auto"/>
              </w:rPr>
            </w:pPr>
          </w:p>
        </w:tc>
        <w:tc>
          <w:tcPr>
            <w:tcW w:w="5760" w:type="dxa"/>
            <w:vAlign w:val="bottom"/>
            <w:shd w:val="clear" w:color="auto" w:fill="CCEEFF"/>
          </w:tcPr>
          <w:p>
            <w:pPr>
              <w:spacing w:after="0"/>
              <w:rPr>
                <w:sz w:val="13"/>
                <w:szCs w:val="13"/>
                <w:color w:val="auto"/>
              </w:rPr>
            </w:pPr>
          </w:p>
        </w:tc>
        <w:tc>
          <w:tcPr>
            <w:tcW w:w="29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5760" w:type="dxa"/>
            <w:vAlign w:val="bottom"/>
          </w:tcPr>
          <w:p>
            <w:pPr>
              <w:spacing w:after="0"/>
              <w:rPr>
                <w:sz w:val="20"/>
                <w:szCs w:val="20"/>
                <w:color w:val="auto"/>
              </w:rPr>
            </w:pPr>
            <w:r>
              <w:rPr>
                <w:rFonts w:ascii="Arial" w:cs="Arial" w:eastAsia="Arial" w:hAnsi="Arial"/>
                <w:sz w:val="14"/>
                <w:szCs w:val="14"/>
                <w:b w:val="1"/>
                <w:bCs w:val="1"/>
                <w:color w:val="auto"/>
              </w:rPr>
              <w:t>Liabilities and Stockholders’ Equity Liabilities</w:t>
            </w:r>
          </w:p>
        </w:tc>
        <w:tc>
          <w:tcPr>
            <w:tcW w:w="2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4"/>
                <w:szCs w:val="14"/>
                <w:color w:val="auto"/>
              </w:rPr>
              <w:t>Noninterest-bearing deposits</w:t>
            </w:r>
          </w:p>
        </w:tc>
        <w:tc>
          <w:tcPr>
            <w:tcW w:w="30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1,150,488</w:t>
            </w: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1,071,367</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760" w:type="dxa"/>
            <w:vAlign w:val="bottom"/>
          </w:tcPr>
          <w:p>
            <w:pPr>
              <w:spacing w:after="0"/>
              <w:rPr>
                <w:sz w:val="20"/>
                <w:szCs w:val="20"/>
                <w:color w:val="auto"/>
              </w:rPr>
            </w:pPr>
            <w:r>
              <w:rPr>
                <w:rFonts w:ascii="Arial" w:cs="Arial" w:eastAsia="Arial" w:hAnsi="Arial"/>
                <w:sz w:val="14"/>
                <w:szCs w:val="14"/>
                <w:color w:val="auto"/>
              </w:rPr>
              <w:t>Interest-bearing deposits</w:t>
            </w:r>
          </w:p>
        </w:tc>
        <w:tc>
          <w:tcPr>
            <w:tcW w:w="2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2,255,942</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4"/>
                <w:szCs w:val="14"/>
                <w:color w:val="auto"/>
              </w:rPr>
              <w:t>2,269,855</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4"/>
                <w:szCs w:val="14"/>
                <w:color w:val="auto"/>
              </w:rPr>
              <w:t>Total deposits</w:t>
            </w:r>
          </w:p>
        </w:tc>
        <w:tc>
          <w:tcPr>
            <w:tcW w:w="2920" w:type="dxa"/>
            <w:vAlign w:val="bottom"/>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3,406,430</w:t>
            </w:r>
          </w:p>
        </w:tc>
        <w:tc>
          <w:tcPr>
            <w:tcW w:w="22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3,341,222</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760" w:type="dxa"/>
            <w:vAlign w:val="bottom"/>
          </w:tcPr>
          <w:p>
            <w:pPr>
              <w:spacing w:after="0"/>
              <w:rPr>
                <w:sz w:val="20"/>
                <w:szCs w:val="20"/>
                <w:color w:val="auto"/>
              </w:rPr>
            </w:pPr>
            <w:r>
              <w:rPr>
                <w:rFonts w:ascii="Arial" w:cs="Arial" w:eastAsia="Arial" w:hAnsi="Arial"/>
                <w:sz w:val="14"/>
                <w:szCs w:val="14"/>
                <w:color w:val="auto"/>
              </w:rPr>
              <w:t>Other borrowings</w:t>
            </w:r>
          </w:p>
        </w:tc>
        <w:tc>
          <w:tcPr>
            <w:tcW w:w="2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4"/>
                <w:szCs w:val="14"/>
                <w:color w:val="auto"/>
              </w:rPr>
              <w:t>Subordinated debt securities</w:t>
            </w:r>
          </w:p>
        </w:tc>
        <w:tc>
          <w:tcPr>
            <w:tcW w:w="2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75,961</w:t>
            </w:r>
          </w:p>
        </w:tc>
        <w:tc>
          <w:tcPr>
            <w:tcW w:w="10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75,775</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760" w:type="dxa"/>
            <w:vAlign w:val="bottom"/>
          </w:tcPr>
          <w:p>
            <w:pPr>
              <w:spacing w:after="0"/>
              <w:rPr>
                <w:sz w:val="20"/>
                <w:szCs w:val="20"/>
                <w:color w:val="auto"/>
              </w:rPr>
            </w:pPr>
            <w:r>
              <w:rPr>
                <w:rFonts w:ascii="Arial" w:cs="Arial" w:eastAsia="Arial" w:hAnsi="Arial"/>
                <w:sz w:val="14"/>
                <w:szCs w:val="14"/>
                <w:color w:val="auto"/>
              </w:rPr>
              <w:t>Junior subordinated deferrable interest debentures</w:t>
            </w:r>
          </w:p>
        </w:tc>
        <w:tc>
          <w:tcPr>
            <w:tcW w:w="2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46,393</w:t>
            </w:r>
          </w:p>
        </w:tc>
        <w:tc>
          <w:tcPr>
            <w:tcW w:w="100" w:type="dxa"/>
            <w:vAlign w:val="bottom"/>
          </w:tcPr>
          <w:p>
            <w:pPr>
              <w:spacing w:after="0"/>
              <w:rPr>
                <w:sz w:val="14"/>
                <w:szCs w:val="14"/>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4"/>
                <w:szCs w:val="14"/>
                <w:color w:val="auto"/>
              </w:rPr>
              <w:t>46,393</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4"/>
                <w:szCs w:val="14"/>
                <w:color w:val="auto"/>
              </w:rPr>
              <w:t>Other liabilities</w:t>
            </w:r>
          </w:p>
        </w:tc>
        <w:tc>
          <w:tcPr>
            <w:tcW w:w="2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58,265</w:t>
            </w:r>
          </w:p>
        </w:tc>
        <w:tc>
          <w:tcPr>
            <w:tcW w:w="10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31,038</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760" w:type="dxa"/>
            <w:vAlign w:val="bottom"/>
            <w:tcBorders>
              <w:top w:val="single" w:sz="8" w:color="CCEEFF"/>
            </w:tcBorders>
          </w:tcPr>
          <w:p>
            <w:pPr>
              <w:spacing w:after="0"/>
              <w:rPr>
                <w:sz w:val="20"/>
                <w:szCs w:val="20"/>
                <w:color w:val="auto"/>
              </w:rPr>
            </w:pPr>
            <w:r>
              <w:rPr>
                <w:rFonts w:ascii="Arial" w:cs="Arial" w:eastAsia="Arial" w:hAnsi="Arial"/>
                <w:sz w:val="14"/>
                <w:szCs w:val="14"/>
                <w:color w:val="auto"/>
              </w:rPr>
              <w:t>Total liabilities</w:t>
            </w:r>
          </w:p>
        </w:tc>
        <w:tc>
          <w:tcPr>
            <w:tcW w:w="2920" w:type="dxa"/>
            <w:vAlign w:val="bottom"/>
            <w:tcBorders>
              <w:top w:val="single" w:sz="8" w:color="CCEEFF"/>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3,587,049</w:t>
            </w:r>
          </w:p>
        </w:tc>
        <w:tc>
          <w:tcPr>
            <w:tcW w:w="220" w:type="dxa"/>
            <w:vAlign w:val="bottom"/>
            <w:tcBorders>
              <w:top w:val="single" w:sz="8" w:color="CCEEFF"/>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3,494,428</w:t>
            </w:r>
          </w:p>
        </w:tc>
        <w:tc>
          <w:tcPr>
            <w:tcW w:w="10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Stockholders’ Equity</w:t>
            </w:r>
          </w:p>
        </w:tc>
        <w:tc>
          <w:tcPr>
            <w:tcW w:w="2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760" w:type="dxa"/>
            <w:vAlign w:val="bottom"/>
          </w:tcPr>
          <w:p>
            <w:pPr>
              <w:spacing w:after="0"/>
              <w:rPr>
                <w:sz w:val="20"/>
                <w:szCs w:val="20"/>
                <w:color w:val="auto"/>
              </w:rPr>
            </w:pPr>
            <w:r>
              <w:rPr>
                <w:rFonts w:ascii="Arial" w:cs="Arial" w:eastAsia="Arial" w:hAnsi="Arial"/>
                <w:sz w:val="14"/>
                <w:szCs w:val="14"/>
                <w:color w:val="auto"/>
              </w:rPr>
              <w:t>Common stock</w:t>
            </w:r>
          </w:p>
        </w:tc>
        <w:tc>
          <w:tcPr>
            <w:tcW w:w="2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17,027</w:t>
            </w:r>
          </w:p>
        </w:tc>
        <w:tc>
          <w:tcPr>
            <w:tcW w:w="100" w:type="dxa"/>
            <w:vAlign w:val="bottom"/>
          </w:tcPr>
          <w:p>
            <w:pPr>
              <w:spacing w:after="0"/>
              <w:rPr>
                <w:sz w:val="14"/>
                <w:szCs w:val="14"/>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4"/>
                <w:szCs w:val="14"/>
                <w:color w:val="auto"/>
              </w:rPr>
              <w:t>17,760</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4"/>
                <w:szCs w:val="14"/>
                <w:color w:val="auto"/>
              </w:rPr>
              <w:t>Additional paid-in capital</w:t>
            </w:r>
          </w:p>
        </w:tc>
        <w:tc>
          <w:tcPr>
            <w:tcW w:w="2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112,834</w:t>
            </w: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133,215</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760" w:type="dxa"/>
            <w:vAlign w:val="bottom"/>
          </w:tcPr>
          <w:p>
            <w:pPr>
              <w:spacing w:after="0"/>
              <w:rPr>
                <w:sz w:val="20"/>
                <w:szCs w:val="20"/>
                <w:color w:val="auto"/>
              </w:rPr>
            </w:pPr>
            <w:r>
              <w:rPr>
                <w:rFonts w:ascii="Arial" w:cs="Arial" w:eastAsia="Arial" w:hAnsi="Arial"/>
                <w:sz w:val="14"/>
                <w:szCs w:val="14"/>
                <w:color w:val="auto"/>
              </w:rPr>
              <w:t>Retained earnings</w:t>
            </w:r>
          </w:p>
        </w:tc>
        <w:tc>
          <w:tcPr>
            <w:tcW w:w="2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292,261</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4"/>
                <w:szCs w:val="14"/>
                <w:color w:val="auto"/>
              </w:rPr>
              <w:t>242,750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4"/>
                <w:szCs w:val="14"/>
                <w:color w:val="auto"/>
              </w:rPr>
              <w:t>Accumulated other comprehensive income (loss)</w:t>
            </w:r>
          </w:p>
        </w:tc>
        <w:tc>
          <w:tcPr>
            <w:tcW w:w="2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(65,108)</w:t>
            </w:r>
          </w:p>
        </w:tc>
        <w:tc>
          <w:tcPr>
            <w:tcW w:w="10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13,702</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760" w:type="dxa"/>
            <w:vAlign w:val="bottom"/>
            <w:tcBorders>
              <w:top w:val="single" w:sz="8" w:color="CCEEFF"/>
            </w:tcBorders>
          </w:tcPr>
          <w:p>
            <w:pPr>
              <w:spacing w:after="0"/>
              <w:rPr>
                <w:sz w:val="20"/>
                <w:szCs w:val="20"/>
                <w:color w:val="auto"/>
              </w:rPr>
            </w:pPr>
            <w:r>
              <w:rPr>
                <w:rFonts w:ascii="Arial" w:cs="Arial" w:eastAsia="Arial" w:hAnsi="Arial"/>
                <w:sz w:val="14"/>
                <w:szCs w:val="14"/>
                <w:color w:val="auto"/>
              </w:rPr>
              <w:t>Total stockholders’ equity</w:t>
            </w:r>
          </w:p>
        </w:tc>
        <w:tc>
          <w:tcPr>
            <w:tcW w:w="2920" w:type="dxa"/>
            <w:vAlign w:val="bottom"/>
            <w:tcBorders>
              <w:top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357,014</w:t>
            </w:r>
          </w:p>
        </w:tc>
        <w:tc>
          <w:tcPr>
            <w:tcW w:w="220" w:type="dxa"/>
            <w:vAlign w:val="bottom"/>
            <w:tcBorders>
              <w:top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407,427</w:t>
            </w:r>
          </w:p>
        </w:tc>
        <w:tc>
          <w:tcPr>
            <w:tcW w:w="10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Total liabilities and stockholders’ equity</w:t>
            </w:r>
          </w:p>
        </w:tc>
        <w:tc>
          <w:tcPr>
            <w:tcW w:w="29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3,944,063</w:t>
            </w:r>
          </w:p>
        </w:tc>
        <w:tc>
          <w:tcPr>
            <w:tcW w:w="2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3,901,855</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576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300" w:top="125" w:right="319" w:bottom="1440" w:gutter="0" w:footer="0" w:header="0"/>
        </w:sectPr>
      </w:pPr>
    </w:p>
    <w:bookmarkStart w:id="12" w:name="page13"/>
    <w:bookmarkEnd w:id="12"/>
    <w:p>
      <w:pPr>
        <w:spacing w:after="0"/>
        <w:rPr>
          <w:sz w:val="20"/>
          <w:szCs w:val="20"/>
          <w:color w:val="auto"/>
        </w:rPr>
      </w:pPr>
      <w:r>
        <w:rPr>
          <w:rFonts w:ascii="Arial" w:cs="Arial" w:eastAsia="Arial" w:hAnsi="Arial"/>
          <w:sz w:val="14"/>
          <w:szCs w:val="14"/>
          <w:b w:val="1"/>
          <w:bCs w:val="1"/>
          <w:color w:val="auto"/>
        </w:rPr>
        <w:t>South Plains Financial, Inc.</w:t>
      </w:r>
    </w:p>
    <w:p>
      <w:pPr>
        <w:spacing w:after="0" w:line="2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Consolidated Statements of Income</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(Unaudited)</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(Dollars in thousands)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0" w:type="dxa"/>
            <w:vAlign w:val="bottom"/>
          </w:tcPr>
          <w:p>
            <w:pPr>
              <w:spacing w:after="0"/>
              <w:rPr>
                <w:sz w:val="16"/>
                <w:szCs w:val="16"/>
                <w:color w:val="auto"/>
              </w:rPr>
            </w:pPr>
          </w:p>
        </w:tc>
        <w:tc>
          <w:tcPr>
            <w:tcW w:w="44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20" w:type="dxa"/>
            <w:vAlign w:val="bottom"/>
            <w:gridSpan w:val="5"/>
          </w:tcPr>
          <w:p>
            <w:pPr>
              <w:jc w:val="right"/>
              <w:ind w:right="82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2460" w:type="dxa"/>
            <w:vAlign w:val="bottom"/>
            <w:gridSpan w:val="5"/>
          </w:tcPr>
          <w:p>
            <w:pPr>
              <w:jc w:val="right"/>
              <w:ind w:right="640"/>
              <w:spacing w:after="0"/>
              <w:rPr>
                <w:sz w:val="20"/>
                <w:szCs w:val="20"/>
                <w:color w:val="auto"/>
              </w:rPr>
            </w:pPr>
            <w:r>
              <w:rPr>
                <w:rFonts w:ascii="Arial" w:cs="Arial" w:eastAsia="Arial" w:hAnsi="Arial"/>
                <w:sz w:val="14"/>
                <w:szCs w:val="14"/>
                <w:b w:val="1"/>
                <w:bCs w:val="1"/>
                <w:color w:val="auto"/>
              </w:rPr>
              <w:t>Twelve Months Ended</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42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gridSpan w:val="2"/>
          </w:tcPr>
          <w:p>
            <w:pPr>
              <w:ind w:left="40"/>
              <w:spacing w:after="0" w:line="157" w:lineRule="exact"/>
              <w:rPr>
                <w:sz w:val="20"/>
                <w:szCs w:val="20"/>
                <w:color w:val="auto"/>
              </w:rPr>
            </w:pPr>
            <w:r>
              <w:rPr>
                <w:rFonts w:ascii="Arial" w:cs="Arial" w:eastAsia="Arial" w:hAnsi="Arial"/>
                <w:sz w:val="14"/>
                <w:szCs w:val="14"/>
                <w:b w:val="1"/>
                <w:bCs w:val="1"/>
                <w:color w:val="auto"/>
              </w:rPr>
              <w:t>December 31,</w:t>
            </w:r>
          </w:p>
        </w:tc>
        <w:tc>
          <w:tcPr>
            <w:tcW w:w="12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jc w:val="right"/>
              <w:ind w:right="68"/>
              <w:spacing w:after="0" w:line="157" w:lineRule="exact"/>
              <w:rPr>
                <w:sz w:val="20"/>
                <w:szCs w:val="20"/>
                <w:color w:val="auto"/>
              </w:rPr>
            </w:pPr>
            <w:r>
              <w:rPr>
                <w:rFonts w:ascii="Arial" w:cs="Arial" w:eastAsia="Arial" w:hAnsi="Arial"/>
                <w:sz w:val="14"/>
                <w:szCs w:val="14"/>
                <w:b w:val="1"/>
                <w:bCs w:val="1"/>
                <w:color w:val="auto"/>
                <w:w w:val="94"/>
              </w:rPr>
              <w:t>December 31,</w:t>
            </w:r>
          </w:p>
        </w:tc>
        <w:tc>
          <w:tcPr>
            <w:tcW w:w="2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gridSpan w:val="2"/>
          </w:tcPr>
          <w:p>
            <w:pPr>
              <w:jc w:val="right"/>
              <w:ind w:right="360"/>
              <w:spacing w:after="0" w:line="157" w:lineRule="exact"/>
              <w:rPr>
                <w:sz w:val="20"/>
                <w:szCs w:val="20"/>
                <w:color w:val="auto"/>
              </w:rPr>
            </w:pPr>
            <w:r>
              <w:rPr>
                <w:rFonts w:ascii="Arial" w:cs="Arial" w:eastAsia="Arial" w:hAnsi="Arial"/>
                <w:sz w:val="14"/>
                <w:szCs w:val="14"/>
                <w:b w:val="1"/>
                <w:bCs w:val="1"/>
                <w:color w:val="auto"/>
                <w:w w:val="94"/>
              </w:rPr>
              <w:t>December 31,</w:t>
            </w:r>
          </w:p>
        </w:tc>
        <w:tc>
          <w:tcPr>
            <w:tcW w:w="10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jc w:val="right"/>
              <w:ind w:right="68"/>
              <w:spacing w:after="0" w:line="157" w:lineRule="exact"/>
              <w:rPr>
                <w:sz w:val="20"/>
                <w:szCs w:val="20"/>
                <w:color w:val="auto"/>
              </w:rPr>
            </w:pPr>
            <w:r>
              <w:rPr>
                <w:rFonts w:ascii="Arial" w:cs="Arial" w:eastAsia="Arial" w:hAnsi="Arial"/>
                <w:sz w:val="14"/>
                <w:szCs w:val="14"/>
                <w:b w:val="1"/>
                <w:bCs w:val="1"/>
                <w:color w:val="auto"/>
                <w:w w:val="94"/>
              </w:rPr>
              <w:t>December 31,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4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3"/>
        </w:trPr>
        <w:tc>
          <w:tcPr>
            <w:tcW w:w="4440" w:type="dxa"/>
            <w:vAlign w:val="bottom"/>
            <w:gridSpan w:val="2"/>
          </w:tcPr>
          <w:p>
            <w:pPr>
              <w:spacing w:after="0"/>
              <w:rPr>
                <w:sz w:val="20"/>
                <w:szCs w:val="20"/>
                <w:color w:val="auto"/>
              </w:rPr>
            </w:pPr>
            <w:r>
              <w:rPr>
                <w:rFonts w:ascii="Arial" w:cs="Arial" w:eastAsia="Arial" w:hAnsi="Arial"/>
                <w:sz w:val="14"/>
                <w:szCs w:val="14"/>
                <w:b w:val="1"/>
                <w:bCs w:val="1"/>
                <w:color w:val="auto"/>
              </w:rPr>
              <w:t>Interest income:</w:t>
            </w:r>
          </w:p>
        </w:tc>
        <w:tc>
          <w:tcPr>
            <w:tcW w:w="1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4"/>
                <w:szCs w:val="14"/>
                <w:color w:val="auto"/>
              </w:rPr>
              <w:t>Loans, including fees</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38,694</w:t>
            </w:r>
          </w:p>
        </w:tc>
        <w:tc>
          <w:tcPr>
            <w:tcW w:w="24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31,082</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137,954</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120,540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420" w:type="dxa"/>
            <w:vAlign w:val="bottom"/>
          </w:tcPr>
          <w:p>
            <w:pPr>
              <w:spacing w:after="0"/>
              <w:rPr>
                <w:sz w:val="20"/>
                <w:szCs w:val="20"/>
                <w:color w:val="auto"/>
              </w:rPr>
            </w:pPr>
            <w:r>
              <w:rPr>
                <w:rFonts w:ascii="Arial" w:cs="Arial" w:eastAsia="Arial" w:hAnsi="Arial"/>
                <w:sz w:val="14"/>
                <w:szCs w:val="14"/>
                <w:color w:val="auto"/>
              </w:rPr>
              <w:t>Other</w:t>
            </w:r>
          </w:p>
        </w:tc>
        <w:tc>
          <w:tcPr>
            <w:tcW w:w="1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7,534</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3,518</w:t>
            </w:r>
          </w:p>
        </w:tc>
        <w:tc>
          <w:tcPr>
            <w:tcW w:w="100" w:type="dxa"/>
            <w:vAlign w:val="bottom"/>
          </w:tcPr>
          <w:p>
            <w:pPr>
              <w:spacing w:after="0"/>
              <w:rPr>
                <w:sz w:val="15"/>
                <w:szCs w:val="15"/>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23,214</w:t>
            </w:r>
          </w:p>
        </w:tc>
        <w:tc>
          <w:tcPr>
            <w:tcW w:w="100" w:type="dxa"/>
            <w:vAlign w:val="bottom"/>
          </w:tcPr>
          <w:p>
            <w:pPr>
              <w:spacing w:after="0"/>
              <w:rPr>
                <w:sz w:val="15"/>
                <w:szCs w:val="15"/>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4"/>
                <w:szCs w:val="14"/>
                <w:color w:val="auto"/>
              </w:rPr>
              <w:t>14,496</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4"/>
                <w:szCs w:val="14"/>
                <w:color w:val="auto"/>
              </w:rPr>
              <w:t>Total Interest income</w:t>
            </w:r>
          </w:p>
        </w:tc>
        <w:tc>
          <w:tcPr>
            <w:tcW w:w="1540" w:type="dxa"/>
            <w:vAlign w:val="bottom"/>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46,228</w:t>
            </w:r>
          </w:p>
        </w:tc>
        <w:tc>
          <w:tcPr>
            <w:tcW w:w="240" w:type="dxa"/>
            <w:vAlign w:val="bottom"/>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34,600</w:t>
            </w:r>
          </w:p>
        </w:tc>
        <w:tc>
          <w:tcPr>
            <w:tcW w:w="22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161,168</w:t>
            </w:r>
          </w:p>
        </w:tc>
        <w:tc>
          <w:tcPr>
            <w:tcW w:w="22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135,036</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420" w:type="dxa"/>
            <w:vAlign w:val="bottom"/>
          </w:tcPr>
          <w:p>
            <w:pPr>
              <w:spacing w:after="0"/>
              <w:rPr>
                <w:sz w:val="20"/>
                <w:szCs w:val="20"/>
                <w:color w:val="auto"/>
              </w:rPr>
            </w:pPr>
            <w:r>
              <w:rPr>
                <w:rFonts w:ascii="Arial" w:cs="Arial" w:eastAsia="Arial" w:hAnsi="Arial"/>
                <w:sz w:val="14"/>
                <w:szCs w:val="14"/>
                <w:b w:val="1"/>
                <w:bCs w:val="1"/>
                <w:color w:val="auto"/>
              </w:rPr>
              <w:t>Interest expense:</w:t>
            </w:r>
          </w:p>
        </w:tc>
        <w:tc>
          <w:tcPr>
            <w:tcW w:w="1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4"/>
                <w:szCs w:val="14"/>
                <w:color w:val="auto"/>
              </w:rPr>
              <w:t>Deposits</w:t>
            </w:r>
          </w:p>
        </w:tc>
        <w:tc>
          <w:tcPr>
            <w:tcW w:w="1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8,258</w:t>
            </w: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1,920</w:t>
            </w:r>
          </w:p>
        </w:tc>
        <w:tc>
          <w:tcPr>
            <w:tcW w:w="10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17,002</w:t>
            </w:r>
          </w:p>
        </w:tc>
        <w:tc>
          <w:tcPr>
            <w:tcW w:w="10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8,293</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420" w:type="dxa"/>
            <w:vAlign w:val="bottom"/>
          </w:tcPr>
          <w:p>
            <w:pPr>
              <w:spacing w:after="0"/>
              <w:rPr>
                <w:sz w:val="20"/>
                <w:szCs w:val="20"/>
                <w:color w:val="auto"/>
              </w:rPr>
            </w:pPr>
            <w:r>
              <w:rPr>
                <w:rFonts w:ascii="Arial" w:cs="Arial" w:eastAsia="Arial" w:hAnsi="Arial"/>
                <w:sz w:val="14"/>
                <w:szCs w:val="14"/>
                <w:color w:val="auto"/>
              </w:rPr>
              <w:t>Subordinated debt securities</w:t>
            </w:r>
          </w:p>
        </w:tc>
        <w:tc>
          <w:tcPr>
            <w:tcW w:w="1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1,013</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1,012</w:t>
            </w:r>
          </w:p>
        </w:tc>
        <w:tc>
          <w:tcPr>
            <w:tcW w:w="100" w:type="dxa"/>
            <w:vAlign w:val="bottom"/>
          </w:tcPr>
          <w:p>
            <w:pPr>
              <w:spacing w:after="0"/>
              <w:rPr>
                <w:sz w:val="14"/>
                <w:szCs w:val="14"/>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4,050</w:t>
            </w:r>
          </w:p>
        </w:tc>
        <w:tc>
          <w:tcPr>
            <w:tcW w:w="100" w:type="dxa"/>
            <w:vAlign w:val="bottom"/>
          </w:tcPr>
          <w:p>
            <w:pPr>
              <w:spacing w:after="0"/>
              <w:rPr>
                <w:sz w:val="14"/>
                <w:szCs w:val="14"/>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4"/>
                <w:szCs w:val="14"/>
                <w:color w:val="auto"/>
              </w:rPr>
              <w:t>4,056</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4"/>
                <w:szCs w:val="14"/>
                <w:color w:val="auto"/>
              </w:rPr>
              <w:t>Junior subordinated deferrable interest debentures</w:t>
            </w:r>
          </w:p>
        </w:tc>
        <w:tc>
          <w:tcPr>
            <w:tcW w:w="1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635</w:t>
            </w: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219</w:t>
            </w:r>
          </w:p>
        </w:tc>
        <w:tc>
          <w:tcPr>
            <w:tcW w:w="10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1,640</w:t>
            </w:r>
          </w:p>
        </w:tc>
        <w:tc>
          <w:tcPr>
            <w:tcW w:w="10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880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420" w:type="dxa"/>
            <w:vAlign w:val="bottom"/>
          </w:tcPr>
          <w:p>
            <w:pPr>
              <w:spacing w:after="0"/>
              <w:rPr>
                <w:sz w:val="20"/>
                <w:szCs w:val="20"/>
                <w:color w:val="auto"/>
              </w:rPr>
            </w:pPr>
            <w:r>
              <w:rPr>
                <w:rFonts w:ascii="Arial" w:cs="Arial" w:eastAsia="Arial" w:hAnsi="Arial"/>
                <w:sz w:val="14"/>
                <w:szCs w:val="14"/>
                <w:color w:val="auto"/>
              </w:rPr>
              <w:t>Other</w:t>
            </w:r>
          </w:p>
        </w:tc>
        <w:tc>
          <w:tcPr>
            <w:tcW w:w="1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4"/>
                <w:szCs w:val="14"/>
                <w:color w:val="auto"/>
              </w:rPr>
              <w:t>43</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Total Interest expense</w:t>
            </w:r>
          </w:p>
        </w:tc>
        <w:tc>
          <w:tcPr>
            <w:tcW w:w="15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spacing w:after="0"/>
              <w:rPr>
                <w:sz w:val="15"/>
                <w:szCs w:val="15"/>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9,906</w:t>
            </w:r>
          </w:p>
        </w:tc>
        <w:tc>
          <w:tcPr>
            <w:tcW w:w="2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spacing w:after="0"/>
              <w:rPr>
                <w:sz w:val="15"/>
                <w:szCs w:val="15"/>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3,151</w:t>
            </w:r>
          </w:p>
        </w:tc>
        <w:tc>
          <w:tcPr>
            <w:tcW w:w="2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22,692</w:t>
            </w:r>
          </w:p>
        </w:tc>
        <w:tc>
          <w:tcPr>
            <w:tcW w:w="2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13,272</w:t>
            </w:r>
          </w:p>
        </w:tc>
        <w:tc>
          <w:tcPr>
            <w:tcW w:w="1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420" w:type="dxa"/>
            <w:vAlign w:val="bottom"/>
          </w:tcPr>
          <w:p>
            <w:pPr>
              <w:spacing w:after="0"/>
              <w:rPr>
                <w:sz w:val="20"/>
                <w:szCs w:val="20"/>
                <w:color w:val="auto"/>
              </w:rPr>
            </w:pPr>
            <w:r>
              <w:rPr>
                <w:rFonts w:ascii="Arial" w:cs="Arial" w:eastAsia="Arial" w:hAnsi="Arial"/>
                <w:sz w:val="14"/>
                <w:szCs w:val="14"/>
                <w:color w:val="auto"/>
              </w:rPr>
              <w:t>Net interest income</w:t>
            </w:r>
          </w:p>
        </w:tc>
        <w:tc>
          <w:tcPr>
            <w:tcW w:w="1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36,322</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31,449</w:t>
            </w:r>
          </w:p>
        </w:tc>
        <w:tc>
          <w:tcPr>
            <w:tcW w:w="100" w:type="dxa"/>
            <w:vAlign w:val="bottom"/>
          </w:tcPr>
          <w:p>
            <w:pPr>
              <w:spacing w:after="0"/>
              <w:rPr>
                <w:sz w:val="14"/>
                <w:szCs w:val="14"/>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138,476</w:t>
            </w:r>
          </w:p>
        </w:tc>
        <w:tc>
          <w:tcPr>
            <w:tcW w:w="100" w:type="dxa"/>
            <w:vAlign w:val="bottom"/>
          </w:tcPr>
          <w:p>
            <w:pPr>
              <w:spacing w:after="0"/>
              <w:rPr>
                <w:sz w:val="14"/>
                <w:szCs w:val="14"/>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4"/>
                <w:szCs w:val="14"/>
                <w:color w:val="auto"/>
              </w:rPr>
              <w:t>121,764</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Provision for loan losses</w:t>
            </w:r>
          </w:p>
        </w:tc>
        <w:tc>
          <w:tcPr>
            <w:tcW w:w="1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248</w:t>
            </w: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(2,619)</w:t>
            </w:r>
          </w:p>
        </w:tc>
        <w:tc>
          <w:tcPr>
            <w:tcW w:w="10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(1,918)</w:t>
            </w:r>
          </w:p>
        </w:tc>
        <w:tc>
          <w:tcPr>
            <w:tcW w:w="0" w:type="dxa"/>
            <w:vAlign w:val="bottom"/>
          </w:tcPr>
          <w:p>
            <w:pPr>
              <w:spacing w:after="0"/>
              <w:rPr>
                <w:sz w:val="1"/>
                <w:szCs w:val="1"/>
                <w:color w:val="auto"/>
              </w:rPr>
            </w:pPr>
          </w:p>
        </w:tc>
      </w:tr>
      <w:tr>
        <w:trPr>
          <w:trHeight w:val="22"/>
        </w:trPr>
        <w:tc>
          <w:tcPr>
            <w:tcW w:w="20" w:type="dxa"/>
            <w:vAlign w:val="bottom"/>
            <w:vMerge w:val="restart"/>
          </w:tcPr>
          <w:p>
            <w:pPr>
              <w:spacing w:after="0" w:line="20" w:lineRule="exact"/>
              <w:rPr>
                <w:sz w:val="1"/>
                <w:szCs w:val="1"/>
                <w:color w:val="auto"/>
              </w:rPr>
            </w:pPr>
          </w:p>
        </w:tc>
        <w:tc>
          <w:tcPr>
            <w:tcW w:w="4420" w:type="dxa"/>
            <w:vAlign w:val="bottom"/>
            <w:shd w:val="clear" w:color="auto" w:fill="CCEEFF"/>
          </w:tcPr>
          <w:p>
            <w:pPr>
              <w:spacing w:after="0" w:line="20" w:lineRule="exact"/>
              <w:rPr>
                <w:sz w:val="1"/>
                <w:szCs w:val="1"/>
                <w:color w:val="auto"/>
              </w:rPr>
            </w:pPr>
          </w:p>
        </w:tc>
        <w:tc>
          <w:tcPr>
            <w:tcW w:w="15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20" w:type="dxa"/>
            <w:vAlign w:val="bottom"/>
            <w:vMerge w:val="continue"/>
          </w:tcPr>
          <w:p>
            <w:pPr>
              <w:spacing w:after="0"/>
              <w:rPr>
                <w:sz w:val="14"/>
                <w:szCs w:val="14"/>
                <w:color w:val="auto"/>
              </w:rPr>
            </w:pPr>
          </w:p>
        </w:tc>
        <w:tc>
          <w:tcPr>
            <w:tcW w:w="4420" w:type="dxa"/>
            <w:vAlign w:val="bottom"/>
          </w:tcPr>
          <w:p>
            <w:pPr>
              <w:spacing w:after="0"/>
              <w:rPr>
                <w:sz w:val="20"/>
                <w:szCs w:val="20"/>
                <w:color w:val="auto"/>
              </w:rPr>
            </w:pPr>
            <w:r>
              <w:rPr>
                <w:rFonts w:ascii="Arial" w:cs="Arial" w:eastAsia="Arial" w:hAnsi="Arial"/>
                <w:sz w:val="14"/>
                <w:szCs w:val="14"/>
                <w:color w:val="auto"/>
              </w:rPr>
              <w:t>Net interest income after provision for loan losses</w:t>
            </w:r>
          </w:p>
        </w:tc>
        <w:tc>
          <w:tcPr>
            <w:tcW w:w="1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36,074</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31,449</w:t>
            </w:r>
          </w:p>
        </w:tc>
        <w:tc>
          <w:tcPr>
            <w:tcW w:w="100" w:type="dxa"/>
            <w:vAlign w:val="bottom"/>
          </w:tcPr>
          <w:p>
            <w:pPr>
              <w:spacing w:after="0"/>
              <w:rPr>
                <w:sz w:val="14"/>
                <w:szCs w:val="14"/>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141,095</w:t>
            </w:r>
          </w:p>
        </w:tc>
        <w:tc>
          <w:tcPr>
            <w:tcW w:w="100" w:type="dxa"/>
            <w:vAlign w:val="bottom"/>
          </w:tcPr>
          <w:p>
            <w:pPr>
              <w:spacing w:after="0"/>
              <w:rPr>
                <w:sz w:val="14"/>
                <w:szCs w:val="14"/>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4"/>
                <w:szCs w:val="14"/>
                <w:color w:val="auto"/>
              </w:rPr>
              <w:t>123,682</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Noninterest income:</w:t>
            </w:r>
          </w:p>
        </w:tc>
        <w:tc>
          <w:tcPr>
            <w:tcW w:w="1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420" w:type="dxa"/>
            <w:vAlign w:val="bottom"/>
          </w:tcPr>
          <w:p>
            <w:pPr>
              <w:spacing w:after="0"/>
              <w:rPr>
                <w:sz w:val="20"/>
                <w:szCs w:val="20"/>
                <w:color w:val="auto"/>
              </w:rPr>
            </w:pPr>
            <w:r>
              <w:rPr>
                <w:rFonts w:ascii="Arial" w:cs="Arial" w:eastAsia="Arial" w:hAnsi="Arial"/>
                <w:sz w:val="14"/>
                <w:szCs w:val="14"/>
                <w:color w:val="auto"/>
              </w:rPr>
              <w:t>Service charges on deposits</w:t>
            </w:r>
          </w:p>
        </w:tc>
        <w:tc>
          <w:tcPr>
            <w:tcW w:w="1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1,680</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1,940</w:t>
            </w:r>
          </w:p>
        </w:tc>
        <w:tc>
          <w:tcPr>
            <w:tcW w:w="100" w:type="dxa"/>
            <w:vAlign w:val="bottom"/>
          </w:tcPr>
          <w:p>
            <w:pPr>
              <w:spacing w:after="0"/>
              <w:rPr>
                <w:sz w:val="14"/>
                <w:szCs w:val="14"/>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6,829</w:t>
            </w:r>
          </w:p>
        </w:tc>
        <w:tc>
          <w:tcPr>
            <w:tcW w:w="100" w:type="dxa"/>
            <w:vAlign w:val="bottom"/>
          </w:tcPr>
          <w:p>
            <w:pPr>
              <w:spacing w:after="0"/>
              <w:rPr>
                <w:sz w:val="14"/>
                <w:szCs w:val="14"/>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4"/>
                <w:szCs w:val="14"/>
                <w:color w:val="auto"/>
              </w:rPr>
              <w:t>6,963</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4"/>
                <w:szCs w:val="14"/>
                <w:color w:val="auto"/>
              </w:rPr>
              <w:t>Income from insurance activities</w:t>
            </w:r>
          </w:p>
        </w:tc>
        <w:tc>
          <w:tcPr>
            <w:tcW w:w="1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2,823</w:t>
            </w: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2,168</w:t>
            </w:r>
          </w:p>
        </w:tc>
        <w:tc>
          <w:tcPr>
            <w:tcW w:w="10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10,826</w:t>
            </w:r>
          </w:p>
        </w:tc>
        <w:tc>
          <w:tcPr>
            <w:tcW w:w="10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8,314</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420" w:type="dxa"/>
            <w:vAlign w:val="bottom"/>
          </w:tcPr>
          <w:p>
            <w:pPr>
              <w:spacing w:after="0"/>
              <w:rPr>
                <w:sz w:val="20"/>
                <w:szCs w:val="20"/>
                <w:color w:val="auto"/>
              </w:rPr>
            </w:pPr>
            <w:r>
              <w:rPr>
                <w:rFonts w:ascii="Arial" w:cs="Arial" w:eastAsia="Arial" w:hAnsi="Arial"/>
                <w:sz w:val="14"/>
                <w:szCs w:val="14"/>
                <w:color w:val="auto"/>
              </w:rPr>
              <w:t>Mortgage banking activities</w:t>
            </w:r>
          </w:p>
        </w:tc>
        <w:tc>
          <w:tcPr>
            <w:tcW w:w="1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2,777</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12,397</w:t>
            </w:r>
          </w:p>
        </w:tc>
        <w:tc>
          <w:tcPr>
            <w:tcW w:w="100" w:type="dxa"/>
            <w:vAlign w:val="bottom"/>
          </w:tcPr>
          <w:p>
            <w:pPr>
              <w:spacing w:after="0"/>
              <w:rPr>
                <w:sz w:val="14"/>
                <w:szCs w:val="14"/>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31,370</w:t>
            </w:r>
          </w:p>
        </w:tc>
        <w:tc>
          <w:tcPr>
            <w:tcW w:w="100" w:type="dxa"/>
            <w:vAlign w:val="bottom"/>
          </w:tcPr>
          <w:p>
            <w:pPr>
              <w:spacing w:after="0"/>
              <w:rPr>
                <w:sz w:val="14"/>
                <w:szCs w:val="14"/>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4"/>
                <w:szCs w:val="14"/>
                <w:color w:val="auto"/>
              </w:rPr>
              <w:t>59,726</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4"/>
                <w:szCs w:val="14"/>
                <w:color w:val="auto"/>
              </w:rPr>
              <w:t>Bank card services and interchange fees</w:t>
            </w:r>
          </w:p>
        </w:tc>
        <w:tc>
          <w:tcPr>
            <w:tcW w:w="1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3,090</w:t>
            </w: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3,479</w:t>
            </w:r>
          </w:p>
        </w:tc>
        <w:tc>
          <w:tcPr>
            <w:tcW w:w="10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12,946</w:t>
            </w:r>
          </w:p>
        </w:tc>
        <w:tc>
          <w:tcPr>
            <w:tcW w:w="10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12,239</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420" w:type="dxa"/>
            <w:vAlign w:val="bottom"/>
          </w:tcPr>
          <w:p>
            <w:pPr>
              <w:spacing w:after="0"/>
              <w:rPr>
                <w:sz w:val="20"/>
                <w:szCs w:val="20"/>
                <w:color w:val="auto"/>
              </w:rPr>
            </w:pPr>
            <w:r>
              <w:rPr>
                <w:rFonts w:ascii="Arial" w:cs="Arial" w:eastAsia="Arial" w:hAnsi="Arial"/>
                <w:sz w:val="14"/>
                <w:szCs w:val="14"/>
                <w:color w:val="auto"/>
              </w:rPr>
              <w:t>Other</w:t>
            </w:r>
          </w:p>
        </w:tc>
        <w:tc>
          <w:tcPr>
            <w:tcW w:w="1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2,306</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2,944</w:t>
            </w:r>
          </w:p>
        </w:tc>
        <w:tc>
          <w:tcPr>
            <w:tcW w:w="100" w:type="dxa"/>
            <w:vAlign w:val="bottom"/>
          </w:tcPr>
          <w:p>
            <w:pPr>
              <w:spacing w:after="0"/>
              <w:rPr>
                <w:sz w:val="15"/>
                <w:szCs w:val="15"/>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14,174</w:t>
            </w:r>
          </w:p>
        </w:tc>
        <w:tc>
          <w:tcPr>
            <w:tcW w:w="100" w:type="dxa"/>
            <w:vAlign w:val="bottom"/>
          </w:tcPr>
          <w:p>
            <w:pPr>
              <w:spacing w:after="0"/>
              <w:rPr>
                <w:sz w:val="15"/>
                <w:szCs w:val="15"/>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4"/>
                <w:szCs w:val="14"/>
                <w:color w:val="auto"/>
              </w:rPr>
              <w:t>10,227</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4"/>
                <w:szCs w:val="14"/>
                <w:color w:val="auto"/>
              </w:rPr>
              <w:t>Total Noninterest income</w:t>
            </w:r>
          </w:p>
        </w:tc>
        <w:tc>
          <w:tcPr>
            <w:tcW w:w="1540" w:type="dxa"/>
            <w:vAlign w:val="bottom"/>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12,676</w:t>
            </w:r>
          </w:p>
        </w:tc>
        <w:tc>
          <w:tcPr>
            <w:tcW w:w="240" w:type="dxa"/>
            <w:vAlign w:val="bottom"/>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22,928</w:t>
            </w:r>
          </w:p>
        </w:tc>
        <w:tc>
          <w:tcPr>
            <w:tcW w:w="22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76,145</w:t>
            </w:r>
          </w:p>
        </w:tc>
        <w:tc>
          <w:tcPr>
            <w:tcW w:w="22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97,469</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420" w:type="dxa"/>
            <w:vAlign w:val="bottom"/>
          </w:tcPr>
          <w:p>
            <w:pPr>
              <w:spacing w:after="0"/>
              <w:rPr>
                <w:sz w:val="20"/>
                <w:szCs w:val="20"/>
                <w:color w:val="auto"/>
              </w:rPr>
            </w:pPr>
            <w:r>
              <w:rPr>
                <w:rFonts w:ascii="Arial" w:cs="Arial" w:eastAsia="Arial" w:hAnsi="Arial"/>
                <w:sz w:val="14"/>
                <w:szCs w:val="14"/>
                <w:b w:val="1"/>
                <w:bCs w:val="1"/>
                <w:color w:val="auto"/>
              </w:rPr>
              <w:t>Noninterest expense:</w:t>
            </w:r>
          </w:p>
        </w:tc>
        <w:tc>
          <w:tcPr>
            <w:tcW w:w="1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4"/>
                <w:szCs w:val="14"/>
                <w:color w:val="auto"/>
              </w:rPr>
              <w:t>Salaries and employee benefits</w:t>
            </w:r>
          </w:p>
        </w:tc>
        <w:tc>
          <w:tcPr>
            <w:tcW w:w="1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18,703</w:t>
            </w: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21,549</w:t>
            </w:r>
          </w:p>
        </w:tc>
        <w:tc>
          <w:tcPr>
            <w:tcW w:w="10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86,323</w:t>
            </w:r>
          </w:p>
        </w:tc>
        <w:tc>
          <w:tcPr>
            <w:tcW w:w="10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93,360</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420" w:type="dxa"/>
            <w:vAlign w:val="bottom"/>
          </w:tcPr>
          <w:p>
            <w:pPr>
              <w:spacing w:after="0"/>
              <w:rPr>
                <w:sz w:val="20"/>
                <w:szCs w:val="20"/>
                <w:color w:val="auto"/>
              </w:rPr>
            </w:pPr>
            <w:r>
              <w:rPr>
                <w:rFonts w:ascii="Arial" w:cs="Arial" w:eastAsia="Arial" w:hAnsi="Arial"/>
                <w:sz w:val="14"/>
                <w:szCs w:val="14"/>
                <w:color w:val="auto"/>
              </w:rPr>
              <w:t>Net occupancy expense</w:t>
            </w:r>
          </w:p>
        </w:tc>
        <w:tc>
          <w:tcPr>
            <w:tcW w:w="1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4,085</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3,600</w:t>
            </w:r>
          </w:p>
        </w:tc>
        <w:tc>
          <w:tcPr>
            <w:tcW w:w="100" w:type="dxa"/>
            <w:vAlign w:val="bottom"/>
          </w:tcPr>
          <w:p>
            <w:pPr>
              <w:spacing w:after="0"/>
              <w:rPr>
                <w:sz w:val="14"/>
                <w:szCs w:val="14"/>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15,987</w:t>
            </w:r>
          </w:p>
        </w:tc>
        <w:tc>
          <w:tcPr>
            <w:tcW w:w="100" w:type="dxa"/>
            <w:vAlign w:val="bottom"/>
          </w:tcPr>
          <w:p>
            <w:pPr>
              <w:spacing w:after="0"/>
              <w:rPr>
                <w:sz w:val="14"/>
                <w:szCs w:val="14"/>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4"/>
                <w:szCs w:val="14"/>
                <w:color w:val="auto"/>
              </w:rPr>
              <w:t>14,560</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4"/>
                <w:szCs w:val="14"/>
                <w:color w:val="auto"/>
              </w:rPr>
              <w:t>Professional services</w:t>
            </w:r>
          </w:p>
        </w:tc>
        <w:tc>
          <w:tcPr>
            <w:tcW w:w="1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1,945</w:t>
            </w: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2,269</w:t>
            </w:r>
          </w:p>
        </w:tc>
        <w:tc>
          <w:tcPr>
            <w:tcW w:w="10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9,740</w:t>
            </w:r>
          </w:p>
        </w:tc>
        <w:tc>
          <w:tcPr>
            <w:tcW w:w="10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6,752</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420" w:type="dxa"/>
            <w:vAlign w:val="bottom"/>
          </w:tcPr>
          <w:p>
            <w:pPr>
              <w:spacing w:after="0"/>
              <w:rPr>
                <w:sz w:val="20"/>
                <w:szCs w:val="20"/>
                <w:color w:val="auto"/>
              </w:rPr>
            </w:pPr>
            <w:r>
              <w:rPr>
                <w:rFonts w:ascii="Arial" w:cs="Arial" w:eastAsia="Arial" w:hAnsi="Arial"/>
                <w:sz w:val="14"/>
                <w:szCs w:val="14"/>
                <w:color w:val="auto"/>
              </w:rPr>
              <w:t>Marketing and development</w:t>
            </w:r>
          </w:p>
        </w:tc>
        <w:tc>
          <w:tcPr>
            <w:tcW w:w="1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1,223</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1,068</w:t>
            </w:r>
          </w:p>
        </w:tc>
        <w:tc>
          <w:tcPr>
            <w:tcW w:w="100" w:type="dxa"/>
            <w:vAlign w:val="bottom"/>
          </w:tcPr>
          <w:p>
            <w:pPr>
              <w:spacing w:after="0"/>
              <w:rPr>
                <w:sz w:val="14"/>
                <w:szCs w:val="14"/>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3,614</w:t>
            </w:r>
          </w:p>
        </w:tc>
        <w:tc>
          <w:tcPr>
            <w:tcW w:w="100" w:type="dxa"/>
            <w:vAlign w:val="bottom"/>
          </w:tcPr>
          <w:p>
            <w:pPr>
              <w:spacing w:after="0"/>
              <w:rPr>
                <w:sz w:val="14"/>
                <w:szCs w:val="14"/>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4"/>
                <w:szCs w:val="14"/>
                <w:color w:val="auto"/>
              </w:rPr>
              <w:t>3,225</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4"/>
                <w:szCs w:val="14"/>
                <w:color w:val="auto"/>
              </w:rPr>
              <w:t>Other</w:t>
            </w:r>
          </w:p>
        </w:tc>
        <w:tc>
          <w:tcPr>
            <w:tcW w:w="1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6,752</w:t>
            </w: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7,646</w:t>
            </w:r>
          </w:p>
        </w:tc>
        <w:tc>
          <w:tcPr>
            <w:tcW w:w="10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28,425</w:t>
            </w:r>
          </w:p>
        </w:tc>
        <w:tc>
          <w:tcPr>
            <w:tcW w:w="10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30,133</w:t>
            </w:r>
          </w:p>
        </w:tc>
        <w:tc>
          <w:tcPr>
            <w:tcW w:w="0" w:type="dxa"/>
            <w:vAlign w:val="bottom"/>
          </w:tcPr>
          <w:p>
            <w:pPr>
              <w:spacing w:after="0"/>
              <w:rPr>
                <w:sz w:val="1"/>
                <w:szCs w:val="1"/>
                <w:color w:val="auto"/>
              </w:rPr>
            </w:pPr>
          </w:p>
        </w:tc>
      </w:tr>
      <w:tr>
        <w:trPr>
          <w:trHeight w:val="22"/>
        </w:trPr>
        <w:tc>
          <w:tcPr>
            <w:tcW w:w="20" w:type="dxa"/>
            <w:vAlign w:val="bottom"/>
            <w:vMerge w:val="restart"/>
          </w:tcPr>
          <w:p>
            <w:pPr>
              <w:spacing w:after="0" w:line="20" w:lineRule="exact"/>
              <w:rPr>
                <w:sz w:val="1"/>
                <w:szCs w:val="1"/>
                <w:color w:val="auto"/>
              </w:rPr>
            </w:pPr>
          </w:p>
        </w:tc>
        <w:tc>
          <w:tcPr>
            <w:tcW w:w="4420" w:type="dxa"/>
            <w:vAlign w:val="bottom"/>
            <w:shd w:val="clear" w:color="auto" w:fill="CCEEFF"/>
          </w:tcPr>
          <w:p>
            <w:pPr>
              <w:spacing w:after="0" w:line="20" w:lineRule="exact"/>
              <w:rPr>
                <w:sz w:val="1"/>
                <w:szCs w:val="1"/>
                <w:color w:val="auto"/>
              </w:rPr>
            </w:pPr>
          </w:p>
        </w:tc>
        <w:tc>
          <w:tcPr>
            <w:tcW w:w="15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20" w:type="dxa"/>
            <w:vAlign w:val="bottom"/>
            <w:vMerge w:val="continue"/>
          </w:tcPr>
          <w:p>
            <w:pPr>
              <w:spacing w:after="0"/>
              <w:rPr>
                <w:sz w:val="15"/>
                <w:szCs w:val="15"/>
                <w:color w:val="auto"/>
              </w:rPr>
            </w:pPr>
          </w:p>
        </w:tc>
        <w:tc>
          <w:tcPr>
            <w:tcW w:w="4420" w:type="dxa"/>
            <w:vAlign w:val="bottom"/>
          </w:tcPr>
          <w:p>
            <w:pPr>
              <w:spacing w:after="0"/>
              <w:rPr>
                <w:sz w:val="20"/>
                <w:szCs w:val="20"/>
                <w:color w:val="auto"/>
              </w:rPr>
            </w:pPr>
            <w:r>
              <w:rPr>
                <w:rFonts w:ascii="Arial" w:cs="Arial" w:eastAsia="Arial" w:hAnsi="Arial"/>
                <w:sz w:val="14"/>
                <w:szCs w:val="14"/>
                <w:color w:val="auto"/>
              </w:rPr>
              <w:t>Total noninterest expense</w:t>
            </w:r>
          </w:p>
        </w:tc>
        <w:tc>
          <w:tcPr>
            <w:tcW w:w="1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32,708</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36,132</w:t>
            </w:r>
          </w:p>
        </w:tc>
        <w:tc>
          <w:tcPr>
            <w:tcW w:w="100" w:type="dxa"/>
            <w:vAlign w:val="bottom"/>
          </w:tcPr>
          <w:p>
            <w:pPr>
              <w:spacing w:after="0"/>
              <w:rPr>
                <w:sz w:val="15"/>
                <w:szCs w:val="15"/>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144,089</w:t>
            </w:r>
          </w:p>
        </w:tc>
        <w:tc>
          <w:tcPr>
            <w:tcW w:w="100" w:type="dxa"/>
            <w:vAlign w:val="bottom"/>
          </w:tcPr>
          <w:p>
            <w:pPr>
              <w:spacing w:after="0"/>
              <w:rPr>
                <w:sz w:val="15"/>
                <w:szCs w:val="15"/>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4"/>
                <w:szCs w:val="14"/>
                <w:color w:val="auto"/>
              </w:rPr>
              <w:t>148,030</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Income before income taxes</w:t>
            </w:r>
          </w:p>
        </w:tc>
        <w:tc>
          <w:tcPr>
            <w:tcW w:w="1540" w:type="dxa"/>
            <w:vAlign w:val="bottom"/>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16,042</w:t>
            </w:r>
          </w:p>
        </w:tc>
        <w:tc>
          <w:tcPr>
            <w:tcW w:w="240" w:type="dxa"/>
            <w:vAlign w:val="bottom"/>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18,245</w:t>
            </w:r>
          </w:p>
        </w:tc>
        <w:tc>
          <w:tcPr>
            <w:tcW w:w="22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73,151</w:t>
            </w:r>
          </w:p>
        </w:tc>
        <w:tc>
          <w:tcPr>
            <w:tcW w:w="22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73,121</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420" w:type="dxa"/>
            <w:vAlign w:val="bottom"/>
          </w:tcPr>
          <w:p>
            <w:pPr>
              <w:spacing w:after="0"/>
              <w:rPr>
                <w:sz w:val="20"/>
                <w:szCs w:val="20"/>
                <w:color w:val="auto"/>
              </w:rPr>
            </w:pPr>
            <w:r>
              <w:rPr>
                <w:rFonts w:ascii="Arial" w:cs="Arial" w:eastAsia="Arial" w:hAnsi="Arial"/>
                <w:sz w:val="14"/>
                <w:szCs w:val="14"/>
                <w:color w:val="auto"/>
              </w:rPr>
              <w:t>Income tax expense</w:t>
            </w:r>
          </w:p>
        </w:tc>
        <w:tc>
          <w:tcPr>
            <w:tcW w:w="1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3,421</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3,631</w:t>
            </w:r>
          </w:p>
        </w:tc>
        <w:tc>
          <w:tcPr>
            <w:tcW w:w="100" w:type="dxa"/>
            <w:vAlign w:val="bottom"/>
          </w:tcPr>
          <w:p>
            <w:pPr>
              <w:spacing w:after="0"/>
              <w:rPr>
                <w:sz w:val="15"/>
                <w:szCs w:val="15"/>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14,911</w:t>
            </w:r>
          </w:p>
        </w:tc>
        <w:tc>
          <w:tcPr>
            <w:tcW w:w="100" w:type="dxa"/>
            <w:vAlign w:val="bottom"/>
          </w:tcPr>
          <w:p>
            <w:pPr>
              <w:spacing w:after="0"/>
              <w:rPr>
                <w:sz w:val="15"/>
                <w:szCs w:val="15"/>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4"/>
                <w:szCs w:val="14"/>
                <w:color w:val="auto"/>
              </w:rPr>
              <w:t>14,507</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Net income</w:t>
            </w:r>
          </w:p>
        </w:tc>
        <w:tc>
          <w:tcPr>
            <w:tcW w:w="15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12,621</w:t>
            </w:r>
          </w:p>
        </w:tc>
        <w:tc>
          <w:tcPr>
            <w:tcW w:w="2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14,614</w:t>
            </w:r>
          </w:p>
        </w:tc>
        <w:tc>
          <w:tcPr>
            <w:tcW w:w="2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58,240</w:t>
            </w:r>
          </w:p>
        </w:tc>
        <w:tc>
          <w:tcPr>
            <w:tcW w:w="2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58,614</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442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300" w:top="125" w:right="319" w:bottom="1440" w:gutter="0" w:footer="0" w:header="0"/>
        </w:sectPr>
      </w:pPr>
    </w:p>
    <w:bookmarkStart w:id="13" w:name="page14"/>
    <w:bookmarkEnd w:id="13"/>
    <w:p>
      <w:pPr>
        <w:spacing w:after="0"/>
        <w:rPr>
          <w:sz w:val="20"/>
          <w:szCs w:val="20"/>
          <w:color w:val="auto"/>
        </w:rPr>
      </w:pPr>
      <w:r>
        <w:rPr>
          <w:rFonts w:ascii="Arial" w:cs="Arial" w:eastAsia="Arial" w:hAnsi="Arial"/>
          <w:sz w:val="14"/>
          <w:szCs w:val="14"/>
          <w:b w:val="1"/>
          <w:bCs w:val="1"/>
          <w:color w:val="auto"/>
        </w:rPr>
        <w:t>South Plains Financial, Inc.</w:t>
      </w:r>
    </w:p>
    <w:p>
      <w:pPr>
        <w:spacing w:after="0" w:line="2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Loan Composition</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(Unaudited)</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(Dollars in thousands)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0" w:type="dxa"/>
            <w:vAlign w:val="bottom"/>
          </w:tcPr>
          <w:p>
            <w:pPr>
              <w:spacing w:after="0"/>
              <w:rPr>
                <w:sz w:val="16"/>
                <w:szCs w:val="16"/>
                <w:color w:val="auto"/>
              </w:rPr>
            </w:pPr>
          </w:p>
        </w:tc>
        <w:tc>
          <w:tcPr>
            <w:tcW w:w="534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ind w:right="9"/>
              <w:spacing w:after="0"/>
              <w:rPr>
                <w:sz w:val="20"/>
                <w:szCs w:val="20"/>
                <w:color w:val="auto"/>
              </w:rPr>
            </w:pPr>
            <w:r>
              <w:rPr>
                <w:rFonts w:ascii="Arial" w:cs="Arial" w:eastAsia="Arial" w:hAnsi="Arial"/>
                <w:sz w:val="14"/>
                <w:szCs w:val="14"/>
                <w:b w:val="1"/>
                <w:bCs w:val="1"/>
                <w:color w:val="auto"/>
              </w:rPr>
              <w:t>As of</w:t>
            </w:r>
          </w:p>
        </w:tc>
        <w:tc>
          <w:tcPr>
            <w:tcW w:w="10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57"/>
        </w:trPr>
        <w:tc>
          <w:tcPr>
            <w:tcW w:w="20" w:type="dxa"/>
            <w:vAlign w:val="bottom"/>
          </w:tcPr>
          <w:p>
            <w:pPr>
              <w:spacing w:after="0"/>
              <w:rPr>
                <w:sz w:val="13"/>
                <w:szCs w:val="13"/>
                <w:color w:val="auto"/>
              </w:rPr>
            </w:pPr>
          </w:p>
        </w:tc>
        <w:tc>
          <w:tcPr>
            <w:tcW w:w="5340" w:type="dxa"/>
            <w:vAlign w:val="bottom"/>
          </w:tcPr>
          <w:p>
            <w:pPr>
              <w:spacing w:after="0"/>
              <w:rPr>
                <w:sz w:val="13"/>
                <w:szCs w:val="13"/>
                <w:color w:val="auto"/>
              </w:rPr>
            </w:pPr>
          </w:p>
        </w:tc>
        <w:tc>
          <w:tcPr>
            <w:tcW w:w="3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gridSpan w:val="2"/>
          </w:tcPr>
          <w:p>
            <w:pPr>
              <w:jc w:val="center"/>
              <w:ind w:right="340"/>
              <w:spacing w:after="0" w:line="157" w:lineRule="exact"/>
              <w:rPr>
                <w:sz w:val="20"/>
                <w:szCs w:val="20"/>
                <w:color w:val="auto"/>
              </w:rPr>
            </w:pPr>
            <w:r>
              <w:rPr>
                <w:rFonts w:ascii="Arial" w:cs="Arial" w:eastAsia="Arial" w:hAnsi="Arial"/>
                <w:sz w:val="14"/>
                <w:szCs w:val="14"/>
                <w:b w:val="1"/>
                <w:bCs w:val="1"/>
                <w:color w:val="auto"/>
                <w:w w:val="90"/>
              </w:rPr>
              <w:t>December 31,</w:t>
            </w:r>
          </w:p>
        </w:tc>
        <w:tc>
          <w:tcPr>
            <w:tcW w:w="100" w:type="dxa"/>
            <w:vAlign w:val="bottom"/>
          </w:tcPr>
          <w:p>
            <w:pPr>
              <w:spacing w:after="0"/>
              <w:rPr>
                <w:sz w:val="13"/>
                <w:szCs w:val="13"/>
                <w:color w:val="auto"/>
              </w:rPr>
            </w:pPr>
          </w:p>
        </w:tc>
        <w:tc>
          <w:tcPr>
            <w:tcW w:w="1020" w:type="dxa"/>
            <w:vAlign w:val="bottom"/>
          </w:tcPr>
          <w:p>
            <w:pPr>
              <w:jc w:val="center"/>
              <w:ind w:right="28"/>
              <w:spacing w:after="0" w:line="157" w:lineRule="exact"/>
              <w:rPr>
                <w:sz w:val="20"/>
                <w:szCs w:val="20"/>
                <w:color w:val="auto"/>
              </w:rPr>
            </w:pPr>
            <w:r>
              <w:rPr>
                <w:rFonts w:ascii="Arial" w:cs="Arial" w:eastAsia="Arial" w:hAnsi="Arial"/>
                <w:sz w:val="14"/>
                <w:szCs w:val="14"/>
                <w:b w:val="1"/>
                <w:bCs w:val="1"/>
                <w:color w:val="auto"/>
                <w:w w:val="92"/>
              </w:rPr>
              <w:t>December 31,</w:t>
            </w:r>
          </w:p>
        </w:tc>
        <w:tc>
          <w:tcPr>
            <w:tcW w:w="100" w:type="dxa"/>
            <w:vAlign w:val="bottom"/>
          </w:tcPr>
          <w:p>
            <w:pPr>
              <w:spacing w:after="0"/>
              <w:rPr>
                <w:sz w:val="13"/>
                <w:szCs w:val="13"/>
                <w:color w:val="auto"/>
              </w:rPr>
            </w:pPr>
          </w:p>
        </w:tc>
      </w:tr>
      <w:tr>
        <w:trPr>
          <w:trHeight w:val="188"/>
        </w:trPr>
        <w:tc>
          <w:tcPr>
            <w:tcW w:w="20" w:type="dxa"/>
            <w:vAlign w:val="bottom"/>
          </w:tcPr>
          <w:p>
            <w:pPr>
              <w:spacing w:after="0"/>
              <w:rPr>
                <w:sz w:val="16"/>
                <w:szCs w:val="16"/>
                <w:color w:val="auto"/>
              </w:rPr>
            </w:pPr>
          </w:p>
        </w:tc>
        <w:tc>
          <w:tcPr>
            <w:tcW w:w="534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96"/>
              </w:rPr>
              <w:t>2022</w:t>
            </w:r>
          </w:p>
        </w:tc>
        <w:tc>
          <w:tcPr>
            <w:tcW w:w="2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Pr>
          <w:p>
            <w:pPr>
              <w:spacing w:after="0"/>
              <w:rPr>
                <w:sz w:val="16"/>
                <w:szCs w:val="16"/>
                <w:color w:val="auto"/>
              </w:rPr>
            </w:pPr>
          </w:p>
        </w:tc>
      </w:tr>
      <w:tr>
        <w:trPr>
          <w:trHeight w:val="343"/>
        </w:trPr>
        <w:tc>
          <w:tcPr>
            <w:tcW w:w="5360" w:type="dxa"/>
            <w:vAlign w:val="bottom"/>
            <w:gridSpan w:val="2"/>
          </w:tcPr>
          <w:p>
            <w:pPr>
              <w:spacing w:after="0"/>
              <w:rPr>
                <w:sz w:val="20"/>
                <w:szCs w:val="20"/>
                <w:color w:val="auto"/>
              </w:rPr>
            </w:pPr>
            <w:r>
              <w:rPr>
                <w:rFonts w:ascii="Arial" w:cs="Arial" w:eastAsia="Arial" w:hAnsi="Arial"/>
                <w:sz w:val="14"/>
                <w:szCs w:val="14"/>
                <w:b w:val="1"/>
                <w:bCs w:val="1"/>
                <w:color w:val="auto"/>
              </w:rPr>
              <w:t>Loans:</w:t>
            </w:r>
          </w:p>
        </w:tc>
        <w:tc>
          <w:tcPr>
            <w:tcW w:w="3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73"/>
        </w:trPr>
        <w:tc>
          <w:tcPr>
            <w:tcW w:w="20" w:type="dxa"/>
            <w:vAlign w:val="bottom"/>
          </w:tcPr>
          <w:p>
            <w:pPr>
              <w:spacing w:after="0"/>
              <w:rPr>
                <w:sz w:val="15"/>
                <w:szCs w:val="15"/>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4"/>
                <w:szCs w:val="14"/>
                <w:color w:val="auto"/>
              </w:rPr>
              <w:t>Commercial Real Estate</w:t>
            </w:r>
          </w:p>
        </w:tc>
        <w:tc>
          <w:tcPr>
            <w:tcW w:w="34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919,358</w:t>
            </w: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755,444</w:t>
            </w:r>
          </w:p>
        </w:tc>
      </w:tr>
      <w:tr>
        <w:trPr>
          <w:trHeight w:val="172"/>
        </w:trPr>
        <w:tc>
          <w:tcPr>
            <w:tcW w:w="20" w:type="dxa"/>
            <w:vAlign w:val="bottom"/>
          </w:tcPr>
          <w:p>
            <w:pPr>
              <w:spacing w:after="0"/>
              <w:rPr>
                <w:sz w:val="14"/>
                <w:szCs w:val="14"/>
                <w:color w:val="auto"/>
              </w:rPr>
            </w:pPr>
          </w:p>
        </w:tc>
        <w:tc>
          <w:tcPr>
            <w:tcW w:w="5340" w:type="dxa"/>
            <w:vAlign w:val="bottom"/>
          </w:tcPr>
          <w:p>
            <w:pPr>
              <w:spacing w:after="0"/>
              <w:rPr>
                <w:sz w:val="20"/>
                <w:szCs w:val="20"/>
                <w:color w:val="auto"/>
              </w:rPr>
            </w:pPr>
            <w:r>
              <w:rPr>
                <w:rFonts w:ascii="Arial" w:cs="Arial" w:eastAsia="Arial" w:hAnsi="Arial"/>
                <w:sz w:val="14"/>
                <w:szCs w:val="14"/>
                <w:color w:val="auto"/>
              </w:rPr>
              <w:t>Commercial - Specialized</w:t>
            </w:r>
          </w:p>
        </w:tc>
        <w:tc>
          <w:tcPr>
            <w:tcW w:w="3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327,513</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4"/>
                <w:szCs w:val="14"/>
                <w:color w:val="auto"/>
              </w:rPr>
              <w:t>378,725</w:t>
            </w:r>
          </w:p>
        </w:tc>
      </w:tr>
      <w:tr>
        <w:trPr>
          <w:trHeight w:val="172"/>
        </w:trPr>
        <w:tc>
          <w:tcPr>
            <w:tcW w:w="20" w:type="dxa"/>
            <w:vAlign w:val="bottom"/>
          </w:tcPr>
          <w:p>
            <w:pPr>
              <w:spacing w:after="0"/>
              <w:rPr>
                <w:sz w:val="14"/>
                <w:szCs w:val="14"/>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4"/>
                <w:szCs w:val="14"/>
                <w:color w:val="auto"/>
              </w:rPr>
              <w:t>Commercial - General</w:t>
            </w:r>
          </w:p>
        </w:tc>
        <w:tc>
          <w:tcPr>
            <w:tcW w:w="33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484,783</w:t>
            </w: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460,024</w:t>
            </w:r>
          </w:p>
        </w:tc>
      </w:tr>
      <w:tr>
        <w:trPr>
          <w:trHeight w:val="172"/>
        </w:trPr>
        <w:tc>
          <w:tcPr>
            <w:tcW w:w="20" w:type="dxa"/>
            <w:vAlign w:val="bottom"/>
          </w:tcPr>
          <w:p>
            <w:pPr>
              <w:spacing w:after="0"/>
              <w:rPr>
                <w:sz w:val="14"/>
                <w:szCs w:val="14"/>
                <w:color w:val="auto"/>
              </w:rPr>
            </w:pPr>
          </w:p>
        </w:tc>
        <w:tc>
          <w:tcPr>
            <w:tcW w:w="5340" w:type="dxa"/>
            <w:vAlign w:val="bottom"/>
          </w:tcPr>
          <w:p>
            <w:pPr>
              <w:spacing w:after="0"/>
              <w:rPr>
                <w:sz w:val="20"/>
                <w:szCs w:val="20"/>
                <w:color w:val="auto"/>
              </w:rPr>
            </w:pPr>
            <w:r>
              <w:rPr>
                <w:rFonts w:ascii="Arial" w:cs="Arial" w:eastAsia="Arial" w:hAnsi="Arial"/>
                <w:sz w:val="14"/>
                <w:szCs w:val="14"/>
                <w:color w:val="auto"/>
              </w:rPr>
              <w:t>Consumer:</w:t>
            </w:r>
          </w:p>
        </w:tc>
        <w:tc>
          <w:tcPr>
            <w:tcW w:w="3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5340" w:type="dxa"/>
            <w:vAlign w:val="bottom"/>
            <w:shd w:val="clear" w:color="auto" w:fill="CCEEFF"/>
          </w:tcPr>
          <w:p>
            <w:pPr>
              <w:ind w:left="80"/>
              <w:spacing w:after="0"/>
              <w:rPr>
                <w:sz w:val="20"/>
                <w:szCs w:val="20"/>
                <w:color w:val="auto"/>
              </w:rPr>
            </w:pPr>
            <w:r>
              <w:rPr>
                <w:rFonts w:ascii="Arial" w:cs="Arial" w:eastAsia="Arial" w:hAnsi="Arial"/>
                <w:sz w:val="14"/>
                <w:szCs w:val="14"/>
                <w:color w:val="auto"/>
              </w:rPr>
              <w:t>1-4 Family Residential</w:t>
            </w:r>
          </w:p>
        </w:tc>
        <w:tc>
          <w:tcPr>
            <w:tcW w:w="33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460,124</w:t>
            </w: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387,690</w:t>
            </w:r>
          </w:p>
        </w:tc>
      </w:tr>
      <w:tr>
        <w:trPr>
          <w:trHeight w:val="172"/>
        </w:trPr>
        <w:tc>
          <w:tcPr>
            <w:tcW w:w="20" w:type="dxa"/>
            <w:vAlign w:val="bottom"/>
          </w:tcPr>
          <w:p>
            <w:pPr>
              <w:spacing w:after="0"/>
              <w:rPr>
                <w:sz w:val="14"/>
                <w:szCs w:val="14"/>
                <w:color w:val="auto"/>
              </w:rPr>
            </w:pPr>
          </w:p>
        </w:tc>
        <w:tc>
          <w:tcPr>
            <w:tcW w:w="5340" w:type="dxa"/>
            <w:vAlign w:val="bottom"/>
          </w:tcPr>
          <w:p>
            <w:pPr>
              <w:ind w:left="80"/>
              <w:spacing w:after="0"/>
              <w:rPr>
                <w:sz w:val="20"/>
                <w:szCs w:val="20"/>
                <w:color w:val="auto"/>
              </w:rPr>
            </w:pPr>
            <w:r>
              <w:rPr>
                <w:rFonts w:ascii="Arial" w:cs="Arial" w:eastAsia="Arial" w:hAnsi="Arial"/>
                <w:sz w:val="14"/>
                <w:szCs w:val="14"/>
                <w:color w:val="auto"/>
              </w:rPr>
              <w:t>Auto Loans</w:t>
            </w:r>
          </w:p>
        </w:tc>
        <w:tc>
          <w:tcPr>
            <w:tcW w:w="3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321,476</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4"/>
                <w:szCs w:val="14"/>
                <w:color w:val="auto"/>
              </w:rPr>
              <w:t>240,719</w:t>
            </w:r>
          </w:p>
        </w:tc>
      </w:tr>
      <w:tr>
        <w:trPr>
          <w:trHeight w:val="172"/>
        </w:trPr>
        <w:tc>
          <w:tcPr>
            <w:tcW w:w="20" w:type="dxa"/>
            <w:vAlign w:val="bottom"/>
          </w:tcPr>
          <w:p>
            <w:pPr>
              <w:spacing w:after="0"/>
              <w:rPr>
                <w:sz w:val="14"/>
                <w:szCs w:val="14"/>
                <w:color w:val="auto"/>
              </w:rPr>
            </w:pPr>
          </w:p>
        </w:tc>
        <w:tc>
          <w:tcPr>
            <w:tcW w:w="5340" w:type="dxa"/>
            <w:vAlign w:val="bottom"/>
            <w:shd w:val="clear" w:color="auto" w:fill="CCEEFF"/>
          </w:tcPr>
          <w:p>
            <w:pPr>
              <w:ind w:left="80"/>
              <w:spacing w:after="0"/>
              <w:rPr>
                <w:sz w:val="20"/>
                <w:szCs w:val="20"/>
                <w:color w:val="auto"/>
              </w:rPr>
            </w:pPr>
            <w:r>
              <w:rPr>
                <w:rFonts w:ascii="Arial" w:cs="Arial" w:eastAsia="Arial" w:hAnsi="Arial"/>
                <w:sz w:val="14"/>
                <w:szCs w:val="14"/>
                <w:color w:val="auto"/>
              </w:rPr>
              <w:t>Other Consumer</w:t>
            </w:r>
          </w:p>
        </w:tc>
        <w:tc>
          <w:tcPr>
            <w:tcW w:w="33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81,308</w:t>
            </w:r>
          </w:p>
        </w:tc>
        <w:tc>
          <w:tcPr>
            <w:tcW w:w="10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68,113</w:t>
            </w:r>
          </w:p>
        </w:tc>
      </w:tr>
      <w:tr>
        <w:trPr>
          <w:trHeight w:val="174"/>
        </w:trPr>
        <w:tc>
          <w:tcPr>
            <w:tcW w:w="20" w:type="dxa"/>
            <w:vAlign w:val="bottom"/>
          </w:tcPr>
          <w:p>
            <w:pPr>
              <w:spacing w:after="0"/>
              <w:rPr>
                <w:sz w:val="15"/>
                <w:szCs w:val="15"/>
                <w:color w:val="auto"/>
              </w:rPr>
            </w:pPr>
          </w:p>
        </w:tc>
        <w:tc>
          <w:tcPr>
            <w:tcW w:w="5340" w:type="dxa"/>
            <w:vAlign w:val="bottom"/>
          </w:tcPr>
          <w:p>
            <w:pPr>
              <w:spacing w:after="0"/>
              <w:rPr>
                <w:sz w:val="20"/>
                <w:szCs w:val="20"/>
                <w:color w:val="auto"/>
              </w:rPr>
            </w:pPr>
            <w:r>
              <w:rPr>
                <w:rFonts w:ascii="Arial" w:cs="Arial" w:eastAsia="Arial" w:hAnsi="Arial"/>
                <w:sz w:val="14"/>
                <w:szCs w:val="14"/>
                <w:color w:val="auto"/>
              </w:rPr>
              <w:t>Construction</w:t>
            </w:r>
          </w:p>
        </w:tc>
        <w:tc>
          <w:tcPr>
            <w:tcW w:w="3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153,519</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4"/>
                <w:szCs w:val="14"/>
                <w:color w:val="auto"/>
              </w:rPr>
              <w:t>146,862</w:t>
            </w:r>
          </w:p>
        </w:tc>
      </w:tr>
      <w:tr>
        <w:trPr>
          <w:trHeight w:val="212"/>
        </w:trPr>
        <w:tc>
          <w:tcPr>
            <w:tcW w:w="20" w:type="dxa"/>
            <w:vAlign w:val="bottom"/>
          </w:tcPr>
          <w:p>
            <w:pPr>
              <w:spacing w:after="0"/>
              <w:rPr>
                <w:sz w:val="18"/>
                <w:szCs w:val="18"/>
                <w:color w:val="auto"/>
              </w:rPr>
            </w:pPr>
          </w:p>
        </w:tc>
        <w:tc>
          <w:tcPr>
            <w:tcW w:w="5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Total loans held for investment</w:t>
            </w:r>
          </w:p>
        </w:tc>
        <w:tc>
          <w:tcPr>
            <w:tcW w:w="33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2,748,081</w:t>
            </w:r>
          </w:p>
        </w:tc>
        <w:tc>
          <w:tcPr>
            <w:tcW w:w="2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2,437,577</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334"/>
        </w:trPr>
        <w:tc>
          <w:tcPr>
            <w:tcW w:w="5360" w:type="dxa"/>
            <w:vAlign w:val="bottom"/>
            <w:gridSpan w:val="2"/>
          </w:tcPr>
          <w:p>
            <w:pPr>
              <w:spacing w:after="0"/>
              <w:rPr>
                <w:sz w:val="20"/>
                <w:szCs w:val="20"/>
                <w:color w:val="auto"/>
              </w:rPr>
            </w:pPr>
            <w:r>
              <w:rPr>
                <w:rFonts w:ascii="Arial" w:cs="Arial" w:eastAsia="Arial" w:hAnsi="Arial"/>
                <w:sz w:val="14"/>
                <w:szCs w:val="14"/>
                <w:b w:val="1"/>
                <w:bCs w:val="1"/>
                <w:color w:val="auto"/>
              </w:rPr>
              <w:t>South Plains Financial, Inc.</w:t>
            </w:r>
          </w:p>
        </w:tc>
        <w:tc>
          <w:tcPr>
            <w:tcW w:w="3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72"/>
        </w:trPr>
        <w:tc>
          <w:tcPr>
            <w:tcW w:w="5360" w:type="dxa"/>
            <w:vAlign w:val="bottom"/>
            <w:gridSpan w:val="2"/>
          </w:tcPr>
          <w:p>
            <w:pPr>
              <w:spacing w:after="0"/>
              <w:rPr>
                <w:sz w:val="20"/>
                <w:szCs w:val="20"/>
                <w:color w:val="auto"/>
              </w:rPr>
            </w:pPr>
            <w:r>
              <w:rPr>
                <w:rFonts w:ascii="Arial" w:cs="Arial" w:eastAsia="Arial" w:hAnsi="Arial"/>
                <w:sz w:val="14"/>
                <w:szCs w:val="14"/>
                <w:b w:val="1"/>
                <w:bCs w:val="1"/>
                <w:color w:val="auto"/>
              </w:rPr>
              <w:t>Deposit Composition</w:t>
            </w:r>
          </w:p>
        </w:tc>
        <w:tc>
          <w:tcPr>
            <w:tcW w:w="3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2"/>
        </w:trPr>
        <w:tc>
          <w:tcPr>
            <w:tcW w:w="5360" w:type="dxa"/>
            <w:vAlign w:val="bottom"/>
            <w:gridSpan w:val="2"/>
          </w:tcPr>
          <w:p>
            <w:pPr>
              <w:spacing w:after="0"/>
              <w:rPr>
                <w:sz w:val="20"/>
                <w:szCs w:val="20"/>
                <w:color w:val="auto"/>
              </w:rPr>
            </w:pPr>
            <w:r>
              <w:rPr>
                <w:rFonts w:ascii="Arial" w:cs="Arial" w:eastAsia="Arial" w:hAnsi="Arial"/>
                <w:sz w:val="14"/>
                <w:szCs w:val="14"/>
                <w:b w:val="1"/>
                <w:bCs w:val="1"/>
                <w:color w:val="auto"/>
              </w:rPr>
              <w:t>(Unaudited)</w:t>
            </w:r>
          </w:p>
        </w:tc>
        <w:tc>
          <w:tcPr>
            <w:tcW w:w="3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6"/>
        </w:trPr>
        <w:tc>
          <w:tcPr>
            <w:tcW w:w="5360" w:type="dxa"/>
            <w:vAlign w:val="bottom"/>
            <w:gridSpan w:val="2"/>
          </w:tcPr>
          <w:p>
            <w:pPr>
              <w:spacing w:after="0"/>
              <w:rPr>
                <w:sz w:val="20"/>
                <w:szCs w:val="20"/>
                <w:color w:val="auto"/>
              </w:rPr>
            </w:pPr>
            <w:r>
              <w:rPr>
                <w:rFonts w:ascii="Arial" w:cs="Arial" w:eastAsia="Arial" w:hAnsi="Arial"/>
                <w:sz w:val="14"/>
                <w:szCs w:val="14"/>
                <w:b w:val="1"/>
                <w:bCs w:val="1"/>
                <w:color w:val="auto"/>
              </w:rPr>
              <w:t>(Dollars in thousands)</w:t>
            </w:r>
          </w:p>
        </w:tc>
        <w:tc>
          <w:tcPr>
            <w:tcW w:w="3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368"/>
        </w:trPr>
        <w:tc>
          <w:tcPr>
            <w:tcW w:w="20" w:type="dxa"/>
            <w:vAlign w:val="bottom"/>
          </w:tcPr>
          <w:p>
            <w:pPr>
              <w:spacing w:after="0"/>
              <w:rPr>
                <w:sz w:val="24"/>
                <w:szCs w:val="24"/>
                <w:color w:val="auto"/>
              </w:rPr>
            </w:pPr>
          </w:p>
        </w:tc>
        <w:tc>
          <w:tcPr>
            <w:tcW w:w="534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3"/>
          </w:tcPr>
          <w:p>
            <w:pPr>
              <w:jc w:val="right"/>
              <w:ind w:right="9"/>
              <w:spacing w:after="0"/>
              <w:rPr>
                <w:sz w:val="20"/>
                <w:szCs w:val="20"/>
                <w:color w:val="auto"/>
              </w:rPr>
            </w:pPr>
            <w:r>
              <w:rPr>
                <w:rFonts w:ascii="Arial" w:cs="Arial" w:eastAsia="Arial" w:hAnsi="Arial"/>
                <w:sz w:val="14"/>
                <w:szCs w:val="14"/>
                <w:b w:val="1"/>
                <w:bCs w:val="1"/>
                <w:color w:val="auto"/>
              </w:rPr>
              <w:t>As of</w:t>
            </w:r>
          </w:p>
        </w:tc>
        <w:tc>
          <w:tcPr>
            <w:tcW w:w="10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57"/>
        </w:trPr>
        <w:tc>
          <w:tcPr>
            <w:tcW w:w="20" w:type="dxa"/>
            <w:vAlign w:val="bottom"/>
          </w:tcPr>
          <w:p>
            <w:pPr>
              <w:spacing w:after="0"/>
              <w:rPr>
                <w:sz w:val="13"/>
                <w:szCs w:val="13"/>
                <w:color w:val="auto"/>
              </w:rPr>
            </w:pPr>
          </w:p>
        </w:tc>
        <w:tc>
          <w:tcPr>
            <w:tcW w:w="5340" w:type="dxa"/>
            <w:vAlign w:val="bottom"/>
          </w:tcPr>
          <w:p>
            <w:pPr>
              <w:spacing w:after="0"/>
              <w:rPr>
                <w:sz w:val="13"/>
                <w:szCs w:val="13"/>
                <w:color w:val="auto"/>
              </w:rPr>
            </w:pPr>
          </w:p>
        </w:tc>
        <w:tc>
          <w:tcPr>
            <w:tcW w:w="3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gridSpan w:val="2"/>
          </w:tcPr>
          <w:p>
            <w:pPr>
              <w:jc w:val="center"/>
              <w:ind w:right="340"/>
              <w:spacing w:after="0" w:line="157" w:lineRule="exact"/>
              <w:rPr>
                <w:sz w:val="20"/>
                <w:szCs w:val="20"/>
                <w:color w:val="auto"/>
              </w:rPr>
            </w:pPr>
            <w:r>
              <w:rPr>
                <w:rFonts w:ascii="Arial" w:cs="Arial" w:eastAsia="Arial" w:hAnsi="Arial"/>
                <w:sz w:val="14"/>
                <w:szCs w:val="14"/>
                <w:b w:val="1"/>
                <w:bCs w:val="1"/>
                <w:color w:val="auto"/>
                <w:w w:val="90"/>
              </w:rPr>
              <w:t>December 31,</w:t>
            </w:r>
          </w:p>
        </w:tc>
        <w:tc>
          <w:tcPr>
            <w:tcW w:w="100" w:type="dxa"/>
            <w:vAlign w:val="bottom"/>
          </w:tcPr>
          <w:p>
            <w:pPr>
              <w:spacing w:after="0"/>
              <w:rPr>
                <w:sz w:val="13"/>
                <w:szCs w:val="13"/>
                <w:color w:val="auto"/>
              </w:rPr>
            </w:pPr>
          </w:p>
        </w:tc>
        <w:tc>
          <w:tcPr>
            <w:tcW w:w="1020" w:type="dxa"/>
            <w:vAlign w:val="bottom"/>
          </w:tcPr>
          <w:p>
            <w:pPr>
              <w:jc w:val="center"/>
              <w:ind w:right="28"/>
              <w:spacing w:after="0" w:line="157" w:lineRule="exact"/>
              <w:rPr>
                <w:sz w:val="20"/>
                <w:szCs w:val="20"/>
                <w:color w:val="auto"/>
              </w:rPr>
            </w:pPr>
            <w:r>
              <w:rPr>
                <w:rFonts w:ascii="Arial" w:cs="Arial" w:eastAsia="Arial" w:hAnsi="Arial"/>
                <w:sz w:val="14"/>
                <w:szCs w:val="14"/>
                <w:b w:val="1"/>
                <w:bCs w:val="1"/>
                <w:color w:val="auto"/>
                <w:w w:val="92"/>
              </w:rPr>
              <w:t>December 31,</w:t>
            </w:r>
          </w:p>
        </w:tc>
        <w:tc>
          <w:tcPr>
            <w:tcW w:w="100" w:type="dxa"/>
            <w:vAlign w:val="bottom"/>
          </w:tcPr>
          <w:p>
            <w:pPr>
              <w:spacing w:after="0"/>
              <w:rPr>
                <w:sz w:val="13"/>
                <w:szCs w:val="13"/>
                <w:color w:val="auto"/>
              </w:rPr>
            </w:pPr>
          </w:p>
        </w:tc>
      </w:tr>
      <w:tr>
        <w:trPr>
          <w:trHeight w:val="188"/>
        </w:trPr>
        <w:tc>
          <w:tcPr>
            <w:tcW w:w="20" w:type="dxa"/>
            <w:vAlign w:val="bottom"/>
          </w:tcPr>
          <w:p>
            <w:pPr>
              <w:spacing w:after="0"/>
              <w:rPr>
                <w:sz w:val="16"/>
                <w:szCs w:val="16"/>
                <w:color w:val="auto"/>
              </w:rPr>
            </w:pPr>
          </w:p>
        </w:tc>
        <w:tc>
          <w:tcPr>
            <w:tcW w:w="534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96"/>
              </w:rPr>
              <w:t>2022</w:t>
            </w:r>
          </w:p>
        </w:tc>
        <w:tc>
          <w:tcPr>
            <w:tcW w:w="2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Pr>
          <w:p>
            <w:pPr>
              <w:spacing w:after="0"/>
              <w:rPr>
                <w:sz w:val="16"/>
                <w:szCs w:val="16"/>
                <w:color w:val="auto"/>
              </w:rPr>
            </w:pPr>
          </w:p>
        </w:tc>
      </w:tr>
      <w:tr>
        <w:trPr>
          <w:trHeight w:val="343"/>
        </w:trPr>
        <w:tc>
          <w:tcPr>
            <w:tcW w:w="5360" w:type="dxa"/>
            <w:vAlign w:val="bottom"/>
            <w:gridSpan w:val="2"/>
          </w:tcPr>
          <w:p>
            <w:pPr>
              <w:spacing w:after="0"/>
              <w:rPr>
                <w:sz w:val="20"/>
                <w:szCs w:val="20"/>
                <w:color w:val="auto"/>
              </w:rPr>
            </w:pPr>
            <w:r>
              <w:rPr>
                <w:rFonts w:ascii="Arial" w:cs="Arial" w:eastAsia="Arial" w:hAnsi="Arial"/>
                <w:sz w:val="14"/>
                <w:szCs w:val="14"/>
                <w:b w:val="1"/>
                <w:bCs w:val="1"/>
                <w:color w:val="auto"/>
              </w:rPr>
              <w:t>Deposits:</w:t>
            </w:r>
          </w:p>
        </w:tc>
        <w:tc>
          <w:tcPr>
            <w:tcW w:w="3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73"/>
        </w:trPr>
        <w:tc>
          <w:tcPr>
            <w:tcW w:w="20" w:type="dxa"/>
            <w:vAlign w:val="bottom"/>
          </w:tcPr>
          <w:p>
            <w:pPr>
              <w:spacing w:after="0"/>
              <w:rPr>
                <w:sz w:val="15"/>
                <w:szCs w:val="15"/>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4"/>
                <w:szCs w:val="14"/>
                <w:color w:val="auto"/>
              </w:rPr>
              <w:t>Noninterest-bearing deposits</w:t>
            </w:r>
          </w:p>
        </w:tc>
        <w:tc>
          <w:tcPr>
            <w:tcW w:w="34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1,150,488</w:t>
            </w: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1,071,367</w:t>
            </w:r>
          </w:p>
        </w:tc>
      </w:tr>
      <w:tr>
        <w:trPr>
          <w:trHeight w:val="172"/>
        </w:trPr>
        <w:tc>
          <w:tcPr>
            <w:tcW w:w="20" w:type="dxa"/>
            <w:vAlign w:val="bottom"/>
          </w:tcPr>
          <w:p>
            <w:pPr>
              <w:spacing w:after="0"/>
              <w:rPr>
                <w:sz w:val="14"/>
                <w:szCs w:val="14"/>
                <w:color w:val="auto"/>
              </w:rPr>
            </w:pPr>
          </w:p>
        </w:tc>
        <w:tc>
          <w:tcPr>
            <w:tcW w:w="5340" w:type="dxa"/>
            <w:vAlign w:val="bottom"/>
          </w:tcPr>
          <w:p>
            <w:pPr>
              <w:spacing w:after="0"/>
              <w:rPr>
                <w:sz w:val="20"/>
                <w:szCs w:val="20"/>
                <w:color w:val="auto"/>
              </w:rPr>
            </w:pPr>
            <w:r>
              <w:rPr>
                <w:rFonts w:ascii="Arial" w:cs="Arial" w:eastAsia="Arial" w:hAnsi="Arial"/>
                <w:sz w:val="14"/>
                <w:szCs w:val="14"/>
                <w:color w:val="auto"/>
              </w:rPr>
              <w:t>NOW &amp; other transaction accounts</w:t>
            </w:r>
          </w:p>
        </w:tc>
        <w:tc>
          <w:tcPr>
            <w:tcW w:w="3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350,910</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4"/>
                <w:szCs w:val="14"/>
                <w:color w:val="auto"/>
              </w:rPr>
              <w:t>395,322</w:t>
            </w:r>
          </w:p>
        </w:tc>
      </w:tr>
      <w:tr>
        <w:trPr>
          <w:trHeight w:val="172"/>
        </w:trPr>
        <w:tc>
          <w:tcPr>
            <w:tcW w:w="20" w:type="dxa"/>
            <w:vAlign w:val="bottom"/>
          </w:tcPr>
          <w:p>
            <w:pPr>
              <w:spacing w:after="0"/>
              <w:rPr>
                <w:sz w:val="14"/>
                <w:szCs w:val="14"/>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4"/>
                <w:szCs w:val="14"/>
                <w:color w:val="auto"/>
              </w:rPr>
              <w:t>MMDA &amp; other savings</w:t>
            </w:r>
          </w:p>
        </w:tc>
        <w:tc>
          <w:tcPr>
            <w:tcW w:w="33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1,618,833</w:t>
            </w: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1,534,795</w:t>
            </w:r>
          </w:p>
        </w:tc>
      </w:tr>
      <w:tr>
        <w:trPr>
          <w:trHeight w:val="174"/>
        </w:trPr>
        <w:tc>
          <w:tcPr>
            <w:tcW w:w="20" w:type="dxa"/>
            <w:vAlign w:val="bottom"/>
          </w:tcPr>
          <w:p>
            <w:pPr>
              <w:spacing w:after="0"/>
              <w:rPr>
                <w:sz w:val="15"/>
                <w:szCs w:val="15"/>
                <w:color w:val="auto"/>
              </w:rPr>
            </w:pPr>
          </w:p>
        </w:tc>
        <w:tc>
          <w:tcPr>
            <w:tcW w:w="5340" w:type="dxa"/>
            <w:vAlign w:val="bottom"/>
          </w:tcPr>
          <w:p>
            <w:pPr>
              <w:spacing w:after="0"/>
              <w:rPr>
                <w:sz w:val="20"/>
                <w:szCs w:val="20"/>
                <w:color w:val="auto"/>
              </w:rPr>
            </w:pPr>
            <w:r>
              <w:rPr>
                <w:rFonts w:ascii="Arial" w:cs="Arial" w:eastAsia="Arial" w:hAnsi="Arial"/>
                <w:sz w:val="14"/>
                <w:szCs w:val="14"/>
                <w:color w:val="auto"/>
              </w:rPr>
              <w:t>Time deposits</w:t>
            </w:r>
          </w:p>
        </w:tc>
        <w:tc>
          <w:tcPr>
            <w:tcW w:w="3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286,199</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4"/>
                <w:szCs w:val="14"/>
                <w:color w:val="auto"/>
              </w:rPr>
              <w:t>339,738</w:t>
            </w:r>
          </w:p>
        </w:tc>
      </w:tr>
      <w:tr>
        <w:trPr>
          <w:trHeight w:val="212"/>
        </w:trPr>
        <w:tc>
          <w:tcPr>
            <w:tcW w:w="20" w:type="dxa"/>
            <w:vAlign w:val="bottom"/>
          </w:tcPr>
          <w:p>
            <w:pPr>
              <w:spacing w:after="0"/>
              <w:rPr>
                <w:sz w:val="18"/>
                <w:szCs w:val="18"/>
                <w:color w:val="auto"/>
              </w:rPr>
            </w:pPr>
          </w:p>
        </w:tc>
        <w:tc>
          <w:tcPr>
            <w:tcW w:w="5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Total deposits</w:t>
            </w:r>
          </w:p>
        </w:tc>
        <w:tc>
          <w:tcPr>
            <w:tcW w:w="33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3,406,430</w:t>
            </w:r>
          </w:p>
        </w:tc>
        <w:tc>
          <w:tcPr>
            <w:tcW w:w="2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3,341,222</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318"/>
        </w:trPr>
        <w:tc>
          <w:tcPr>
            <w:tcW w:w="20" w:type="dxa"/>
            <w:vAlign w:val="bottom"/>
          </w:tcPr>
          <w:p>
            <w:pPr>
              <w:spacing w:after="0"/>
              <w:rPr>
                <w:sz w:val="24"/>
                <w:szCs w:val="24"/>
                <w:color w:val="auto"/>
              </w:rPr>
            </w:pPr>
          </w:p>
        </w:tc>
        <w:tc>
          <w:tcPr>
            <w:tcW w:w="5340" w:type="dxa"/>
            <w:vAlign w:val="bottom"/>
            <w:tcBorders>
              <w:bottom w:val="single" w:sz="8" w:color="auto"/>
            </w:tcBorders>
          </w:tcPr>
          <w:p>
            <w:pPr>
              <w:spacing w:after="0"/>
              <w:rPr>
                <w:sz w:val="24"/>
                <w:szCs w:val="24"/>
                <w:color w:val="auto"/>
              </w:rPr>
            </w:pPr>
          </w:p>
        </w:tc>
        <w:tc>
          <w:tcPr>
            <w:tcW w:w="33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80"/>
          </w:cols>
          <w:pgMar w:left="300" w:top="125" w:right="319" w:bottom="1440" w:gutter="0" w:footer="0" w:header="0"/>
        </w:sectPr>
      </w:pPr>
    </w:p>
    <w:bookmarkStart w:id="14" w:name="page15"/>
    <w:bookmarkEnd w:id="14"/>
    <w:p>
      <w:pPr>
        <w:spacing w:after="0"/>
        <w:rPr>
          <w:sz w:val="20"/>
          <w:szCs w:val="20"/>
          <w:color w:val="auto"/>
        </w:rPr>
      </w:pPr>
      <w:r>
        <w:rPr>
          <w:rFonts w:ascii="Arial" w:cs="Arial" w:eastAsia="Arial" w:hAnsi="Arial"/>
          <w:sz w:val="14"/>
          <w:szCs w:val="14"/>
          <w:b w:val="1"/>
          <w:bCs w:val="1"/>
          <w:color w:val="auto"/>
        </w:rPr>
        <w:t>South Plains Financial, Inc.</w:t>
      </w:r>
    </w:p>
    <w:p>
      <w:pPr>
        <w:spacing w:after="0" w:line="2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Reconciliation of Non-GAAP Financial Measures (Unaudited)</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(Dollars in thousands)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gridSpan w:val="4"/>
          </w:tcPr>
          <w:p>
            <w:pPr>
              <w:jc w:val="right"/>
              <w:ind w:right="100"/>
              <w:spacing w:after="0"/>
              <w:rPr>
                <w:sz w:val="20"/>
                <w:szCs w:val="20"/>
                <w:color w:val="auto"/>
              </w:rPr>
            </w:pPr>
            <w:r>
              <w:rPr>
                <w:rFonts w:ascii="Arial" w:cs="Arial" w:eastAsia="Arial" w:hAnsi="Arial"/>
                <w:sz w:val="14"/>
                <w:szCs w:val="14"/>
                <w:b w:val="1"/>
                <w:bCs w:val="1"/>
                <w:color w:val="auto"/>
                <w:w w:val="92"/>
              </w:rPr>
              <w:t>For the quarter ended</w:t>
            </w: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w w:val="96"/>
              </w:rPr>
              <w:t>December 31,</w:t>
            </w:r>
          </w:p>
        </w:tc>
        <w:tc>
          <w:tcPr>
            <w:tcW w:w="160" w:type="dxa"/>
            <w:vAlign w:val="bottom"/>
          </w:tcPr>
          <w:p>
            <w:pPr>
              <w:spacing w:after="0"/>
              <w:rPr>
                <w:sz w:val="14"/>
                <w:szCs w:val="14"/>
                <w:color w:val="auto"/>
              </w:rPr>
            </w:pPr>
          </w:p>
        </w:tc>
        <w:tc>
          <w:tcPr>
            <w:tcW w:w="11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9"/>
              </w:rPr>
              <w:t>September 30,</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June 30,</w:t>
            </w:r>
          </w:p>
        </w:tc>
        <w:tc>
          <w:tcPr>
            <w:tcW w:w="180" w:type="dxa"/>
            <w:vAlign w:val="bottom"/>
          </w:tcPr>
          <w:p>
            <w:pPr>
              <w:spacing w:after="0"/>
              <w:rPr>
                <w:sz w:val="14"/>
                <w:szCs w:val="14"/>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March 31,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2022</w:t>
            </w:r>
          </w:p>
        </w:tc>
        <w:tc>
          <w:tcPr>
            <w:tcW w:w="4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2022</w:t>
            </w:r>
          </w:p>
        </w:tc>
        <w:tc>
          <w:tcPr>
            <w:tcW w:w="14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2022</w:t>
            </w:r>
          </w:p>
        </w:tc>
        <w:tc>
          <w:tcPr>
            <w:tcW w:w="1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4200" w:type="dxa"/>
            <w:vAlign w:val="bottom"/>
            <w:gridSpan w:val="2"/>
          </w:tcPr>
          <w:p>
            <w:pPr>
              <w:spacing w:after="0"/>
              <w:rPr>
                <w:sz w:val="20"/>
                <w:szCs w:val="20"/>
                <w:color w:val="auto"/>
              </w:rPr>
            </w:pPr>
            <w:r>
              <w:rPr>
                <w:rFonts w:ascii="Arial" w:cs="Arial" w:eastAsia="Arial" w:hAnsi="Arial"/>
                <w:sz w:val="14"/>
                <w:szCs w:val="14"/>
                <w:b w:val="1"/>
                <w:bCs w:val="1"/>
                <w:color w:val="auto"/>
              </w:rPr>
              <w:t>Pre-tax, pre-provision income</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4"/>
                <w:szCs w:val="14"/>
                <w:color w:val="auto"/>
              </w:rPr>
              <w:t>Net income</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12,621</w:t>
            </w:r>
          </w:p>
        </w:tc>
        <w:tc>
          <w:tcPr>
            <w:tcW w:w="16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15,458</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15,883</w:t>
            </w:r>
          </w:p>
        </w:tc>
        <w:tc>
          <w:tcPr>
            <w:tcW w:w="180" w:type="dxa"/>
            <w:vAlign w:val="bottom"/>
            <w:tcBorders>
              <w:left w:val="single" w:sz="8" w:color="CCEEFF"/>
            </w:tcBorders>
            <w:shd w:val="clear" w:color="auto" w:fill="CCEEFF"/>
          </w:tcPr>
          <w:p>
            <w:pPr>
              <w:jc w:val="right"/>
              <w:ind w:right="4"/>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14,278</w:t>
            </w: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14,614</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180" w:type="dxa"/>
            <w:vAlign w:val="bottom"/>
          </w:tcPr>
          <w:p>
            <w:pPr>
              <w:spacing w:after="0"/>
              <w:rPr>
                <w:sz w:val="20"/>
                <w:szCs w:val="20"/>
                <w:color w:val="auto"/>
              </w:rPr>
            </w:pPr>
            <w:r>
              <w:rPr>
                <w:rFonts w:ascii="Arial" w:cs="Arial" w:eastAsia="Arial" w:hAnsi="Arial"/>
                <w:sz w:val="14"/>
                <w:szCs w:val="14"/>
                <w:color w:val="auto"/>
              </w:rPr>
              <w:t>Income tax expense</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3"/>
          </w:tcPr>
          <w:p>
            <w:pPr>
              <w:jc w:val="right"/>
              <w:ind w:right="180"/>
              <w:spacing w:after="0"/>
              <w:rPr>
                <w:sz w:val="20"/>
                <w:szCs w:val="20"/>
                <w:color w:val="auto"/>
              </w:rPr>
            </w:pPr>
            <w:r>
              <w:rPr>
                <w:rFonts w:ascii="Arial" w:cs="Arial" w:eastAsia="Arial" w:hAnsi="Arial"/>
                <w:sz w:val="14"/>
                <w:szCs w:val="14"/>
                <w:color w:val="auto"/>
              </w:rPr>
              <w:t>3,421</w:t>
            </w:r>
          </w:p>
        </w:tc>
        <w:tc>
          <w:tcPr>
            <w:tcW w:w="160" w:type="dxa"/>
            <w:vAlign w:val="bottom"/>
          </w:tcPr>
          <w:p>
            <w:pPr>
              <w:spacing w:after="0"/>
              <w:rPr>
                <w:sz w:val="14"/>
                <w:szCs w:val="14"/>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4"/>
                <w:szCs w:val="14"/>
                <w:color w:val="auto"/>
              </w:rPr>
              <w:t>3,962</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4"/>
                <w:szCs w:val="14"/>
                <w:color w:val="auto"/>
              </w:rPr>
              <w:t>4,001</w:t>
            </w:r>
          </w:p>
        </w:tc>
        <w:tc>
          <w:tcPr>
            <w:tcW w:w="180" w:type="dxa"/>
            <w:vAlign w:val="bottom"/>
          </w:tcPr>
          <w:p>
            <w:pPr>
              <w:spacing w:after="0"/>
              <w:rPr>
                <w:sz w:val="14"/>
                <w:szCs w:val="14"/>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4"/>
                <w:szCs w:val="14"/>
                <w:color w:val="auto"/>
              </w:rPr>
              <w:t>3,527</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4"/>
                <w:szCs w:val="14"/>
                <w:color w:val="auto"/>
              </w:rPr>
              <w:t>3,631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4"/>
                <w:szCs w:val="14"/>
                <w:color w:val="auto"/>
              </w:rPr>
              <w:t>Provision for loan losses</w:t>
            </w:r>
          </w:p>
        </w:tc>
        <w:tc>
          <w:tcPr>
            <w:tcW w:w="440" w:type="dxa"/>
            <w:vAlign w:val="bottom"/>
            <w:tcBorders>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2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248</w:t>
            </w:r>
          </w:p>
        </w:tc>
        <w:tc>
          <w:tcPr>
            <w:tcW w:w="160" w:type="dxa"/>
            <w:vAlign w:val="bottom"/>
            <w:tcBorders>
              <w:left w:val="single" w:sz="8" w:color="CCEEFF"/>
            </w:tcBorders>
            <w:shd w:val="clear" w:color="auto" w:fill="CCEEFF"/>
          </w:tcPr>
          <w:p>
            <w:pPr>
              <w:spacing w:after="0"/>
              <w:rPr>
                <w:sz w:val="15"/>
                <w:szCs w:val="15"/>
                <w:color w:val="auto"/>
              </w:rPr>
            </w:pPr>
          </w:p>
        </w:tc>
        <w:tc>
          <w:tcPr>
            <w:tcW w:w="1100" w:type="dxa"/>
            <w:vAlign w:val="bottom"/>
            <w:tcBorders>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(782)</w:t>
            </w:r>
          </w:p>
        </w:tc>
        <w:tc>
          <w:tcPr>
            <w:tcW w:w="160" w:type="dxa"/>
            <w:vAlign w:val="bottom"/>
            <w:tcBorders>
              <w:right w:val="single" w:sz="8" w:color="CCEEFF"/>
            </w:tcBorders>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Borders>
              <w:left w:val="single" w:sz="8" w:color="CCEEFF"/>
            </w:tcBorders>
            <w:shd w:val="clear" w:color="auto" w:fill="CCEEFF"/>
          </w:tcPr>
          <w:p>
            <w:pPr>
              <w:spacing w:after="0"/>
              <w:rPr>
                <w:sz w:val="15"/>
                <w:szCs w:val="15"/>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(2,085)</w:t>
            </w:r>
          </w:p>
        </w:tc>
        <w:tc>
          <w:tcPr>
            <w:tcW w:w="80" w:type="dxa"/>
            <w:vAlign w:val="bottom"/>
            <w:tcBorders>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2"/>
        </w:trPr>
        <w:tc>
          <w:tcPr>
            <w:tcW w:w="20" w:type="dxa"/>
            <w:vAlign w:val="bottom"/>
            <w:vMerge w:val="restart"/>
          </w:tcPr>
          <w:p>
            <w:pPr>
              <w:spacing w:after="0"/>
              <w:rPr>
                <w:sz w:val="14"/>
                <w:szCs w:val="14"/>
                <w:color w:val="auto"/>
              </w:rPr>
            </w:pPr>
          </w:p>
        </w:tc>
        <w:tc>
          <w:tcPr>
            <w:tcW w:w="4180" w:type="dxa"/>
            <w:vAlign w:val="bottom"/>
            <w:tcBorders>
              <w:top w:val="single" w:sz="8" w:color="CCEEFF"/>
            </w:tcBorders>
          </w:tcPr>
          <w:p>
            <w:pPr>
              <w:spacing w:after="0"/>
              <w:rPr>
                <w:sz w:val="14"/>
                <w:szCs w:val="14"/>
                <w:color w:val="auto"/>
              </w:rPr>
            </w:pPr>
          </w:p>
        </w:tc>
        <w:tc>
          <w:tcPr>
            <w:tcW w:w="440" w:type="dxa"/>
            <w:vAlign w:val="bottom"/>
            <w:tcBorders>
              <w:top w:val="single" w:sz="8" w:color="CCEEFF"/>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60" w:type="dxa"/>
            <w:vAlign w:val="bottom"/>
            <w:tcBorders>
              <w:top w:val="single" w:sz="8" w:color="CCEEFF"/>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4"/>
                <w:szCs w:val="14"/>
                <w:color w:val="auto"/>
              </w:rPr>
              <w:t>Pre-tax, pre-provision income</w:t>
            </w:r>
          </w:p>
        </w:tc>
        <w:tc>
          <w:tcPr>
            <w:tcW w:w="44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16,290</w:t>
            </w:r>
          </w:p>
        </w:tc>
        <w:tc>
          <w:tcPr>
            <w:tcW w:w="16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18,638</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19,884</w:t>
            </w:r>
          </w:p>
        </w:tc>
        <w:tc>
          <w:tcPr>
            <w:tcW w:w="180" w:type="dxa"/>
            <w:vAlign w:val="bottom"/>
            <w:tcBorders>
              <w:left w:val="single" w:sz="8" w:color="CCEEFF"/>
            </w:tcBorders>
            <w:shd w:val="clear" w:color="auto" w:fill="CCEEFF"/>
          </w:tcPr>
          <w:p>
            <w:pPr>
              <w:jc w:val="right"/>
              <w:ind w:right="4"/>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15,720</w:t>
            </w: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18,245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4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left w:val="single" w:sz="8" w:color="CCEEFF"/>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1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left w:val="single" w:sz="8" w:color="CCEEFF"/>
            </w:tcBorders>
            <w:shd w:val="clear" w:color="auto" w:fill="000000"/>
          </w:tcPr>
          <w:p>
            <w:pPr>
              <w:spacing w:after="0" w:line="20" w:lineRule="exact"/>
              <w:rPr>
                <w:sz w:val="1"/>
                <w:szCs w:val="1"/>
                <w:color w:val="auto"/>
              </w:rPr>
            </w:pPr>
          </w:p>
        </w:tc>
        <w:tc>
          <w:tcPr>
            <w:tcW w:w="98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4"/>
        </w:trPr>
        <w:tc>
          <w:tcPr>
            <w:tcW w:w="4200" w:type="dxa"/>
            <w:vAlign w:val="bottom"/>
            <w:gridSpan w:val="2"/>
          </w:tcPr>
          <w:p>
            <w:pPr>
              <w:spacing w:after="0"/>
              <w:rPr>
                <w:sz w:val="20"/>
                <w:szCs w:val="20"/>
                <w:color w:val="auto"/>
              </w:rPr>
            </w:pPr>
            <w:r>
              <w:rPr>
                <w:rFonts w:ascii="Arial" w:cs="Arial" w:eastAsia="Arial" w:hAnsi="Arial"/>
                <w:sz w:val="14"/>
                <w:szCs w:val="14"/>
                <w:b w:val="1"/>
                <w:bCs w:val="1"/>
                <w:color w:val="auto"/>
              </w:rPr>
              <w:t>South Plains Financial, Inc.</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4200" w:type="dxa"/>
            <w:vAlign w:val="bottom"/>
            <w:gridSpan w:val="2"/>
          </w:tcPr>
          <w:p>
            <w:pPr>
              <w:spacing w:after="0"/>
              <w:rPr>
                <w:sz w:val="20"/>
                <w:szCs w:val="20"/>
                <w:color w:val="auto"/>
              </w:rPr>
            </w:pPr>
            <w:r>
              <w:rPr>
                <w:rFonts w:ascii="Arial" w:cs="Arial" w:eastAsia="Arial" w:hAnsi="Arial"/>
                <w:sz w:val="14"/>
                <w:szCs w:val="14"/>
                <w:b w:val="1"/>
                <w:bCs w:val="1"/>
                <w:color w:val="auto"/>
              </w:rPr>
              <w:t>Reconciliation of Non-GAAP Financial Measures (Unaudited)</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4200" w:type="dxa"/>
            <w:vAlign w:val="bottom"/>
            <w:gridSpan w:val="2"/>
          </w:tcPr>
          <w:p>
            <w:pPr>
              <w:spacing w:after="0"/>
              <w:rPr>
                <w:sz w:val="20"/>
                <w:szCs w:val="20"/>
                <w:color w:val="auto"/>
              </w:rPr>
            </w:pPr>
            <w:r>
              <w:rPr>
                <w:rFonts w:ascii="Arial" w:cs="Arial" w:eastAsia="Arial" w:hAnsi="Arial"/>
                <w:sz w:val="14"/>
                <w:szCs w:val="14"/>
                <w:b w:val="1"/>
                <w:bCs w:val="1"/>
                <w:color w:val="auto"/>
              </w:rPr>
              <w:t>(Dollars in thousands)</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68"/>
        </w:trPr>
        <w:tc>
          <w:tcPr>
            <w:tcW w:w="2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gridSpan w:val="2"/>
          </w:tcPr>
          <w:p>
            <w:pPr>
              <w:jc w:val="center"/>
              <w:ind w:right="460"/>
              <w:spacing w:after="0"/>
              <w:rPr>
                <w:sz w:val="20"/>
                <w:szCs w:val="20"/>
                <w:color w:val="auto"/>
              </w:rPr>
            </w:pPr>
            <w:r>
              <w:rPr>
                <w:rFonts w:ascii="Arial" w:cs="Arial" w:eastAsia="Arial" w:hAnsi="Arial"/>
                <w:sz w:val="14"/>
                <w:szCs w:val="14"/>
                <w:b w:val="1"/>
                <w:bCs w:val="1"/>
                <w:color w:val="auto"/>
                <w:w w:val="91"/>
              </w:rPr>
              <w:t>As of</w:t>
            </w:r>
          </w:p>
        </w:tc>
        <w:tc>
          <w:tcPr>
            <w:tcW w:w="1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1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gridSpan w:val="3"/>
          </w:tcPr>
          <w:p>
            <w:pPr>
              <w:jc w:val="right"/>
              <w:ind w:right="380"/>
              <w:spacing w:after="0" w:line="157" w:lineRule="exact"/>
              <w:rPr>
                <w:sz w:val="20"/>
                <w:szCs w:val="20"/>
                <w:color w:val="auto"/>
              </w:rPr>
            </w:pPr>
            <w:r>
              <w:rPr>
                <w:rFonts w:ascii="Arial" w:cs="Arial" w:eastAsia="Arial" w:hAnsi="Arial"/>
                <w:sz w:val="14"/>
                <w:szCs w:val="14"/>
                <w:b w:val="1"/>
                <w:bCs w:val="1"/>
                <w:color w:val="auto"/>
                <w:w w:val="90"/>
              </w:rPr>
              <w:t>December 31,</w:t>
            </w:r>
          </w:p>
        </w:tc>
        <w:tc>
          <w:tcPr>
            <w:tcW w:w="1260" w:type="dxa"/>
            <w:vAlign w:val="bottom"/>
            <w:gridSpan w:val="3"/>
          </w:tcPr>
          <w:p>
            <w:pPr>
              <w:jc w:val="center"/>
              <w:ind w:right="140"/>
              <w:spacing w:after="0" w:line="157" w:lineRule="exact"/>
              <w:rPr>
                <w:sz w:val="20"/>
                <w:szCs w:val="20"/>
                <w:color w:val="auto"/>
              </w:rPr>
            </w:pPr>
            <w:r>
              <w:rPr>
                <w:rFonts w:ascii="Arial" w:cs="Arial" w:eastAsia="Arial" w:hAnsi="Arial"/>
                <w:sz w:val="14"/>
                <w:szCs w:val="14"/>
                <w:b w:val="1"/>
                <w:bCs w:val="1"/>
                <w:color w:val="auto"/>
                <w:w w:val="91"/>
              </w:rPr>
              <w:t>September 30,</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gridSpan w:val="2"/>
          </w:tcPr>
          <w:p>
            <w:pPr>
              <w:jc w:val="center"/>
              <w:ind w:right="460"/>
              <w:spacing w:after="0" w:line="157" w:lineRule="exact"/>
              <w:rPr>
                <w:sz w:val="20"/>
                <w:szCs w:val="20"/>
                <w:color w:val="auto"/>
              </w:rPr>
            </w:pPr>
            <w:r>
              <w:rPr>
                <w:rFonts w:ascii="Arial" w:cs="Arial" w:eastAsia="Arial" w:hAnsi="Arial"/>
                <w:sz w:val="14"/>
                <w:szCs w:val="14"/>
                <w:b w:val="1"/>
                <w:bCs w:val="1"/>
                <w:color w:val="auto"/>
                <w:w w:val="92"/>
              </w:rPr>
              <w:t>June 30,</w:t>
            </w:r>
          </w:p>
        </w:tc>
        <w:tc>
          <w:tcPr>
            <w:tcW w:w="180" w:type="dxa"/>
            <w:vAlign w:val="bottom"/>
          </w:tcPr>
          <w:p>
            <w:pPr>
              <w:spacing w:after="0"/>
              <w:rPr>
                <w:sz w:val="13"/>
                <w:szCs w:val="13"/>
                <w:color w:val="auto"/>
              </w:rPr>
            </w:pPr>
          </w:p>
        </w:tc>
        <w:tc>
          <w:tcPr>
            <w:tcW w:w="1120" w:type="dxa"/>
            <w:vAlign w:val="bottom"/>
            <w:gridSpan w:val="2"/>
          </w:tcPr>
          <w:p>
            <w:pPr>
              <w:jc w:val="right"/>
              <w:ind w:right="420"/>
              <w:spacing w:after="0" w:line="157" w:lineRule="exact"/>
              <w:rPr>
                <w:sz w:val="20"/>
                <w:szCs w:val="20"/>
                <w:color w:val="auto"/>
              </w:rPr>
            </w:pPr>
            <w:r>
              <w:rPr>
                <w:rFonts w:ascii="Arial" w:cs="Arial" w:eastAsia="Arial" w:hAnsi="Arial"/>
                <w:sz w:val="14"/>
                <w:szCs w:val="14"/>
                <w:b w:val="1"/>
                <w:bCs w:val="1"/>
                <w:color w:val="auto"/>
              </w:rPr>
              <w:t>March 31,</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jc w:val="right"/>
              <w:ind w:right="88"/>
              <w:spacing w:after="0" w:line="157" w:lineRule="exact"/>
              <w:rPr>
                <w:sz w:val="20"/>
                <w:szCs w:val="20"/>
                <w:color w:val="auto"/>
              </w:rPr>
            </w:pPr>
            <w:r>
              <w:rPr>
                <w:rFonts w:ascii="Arial" w:cs="Arial" w:eastAsia="Arial" w:hAnsi="Arial"/>
                <w:sz w:val="14"/>
                <w:szCs w:val="14"/>
                <w:b w:val="1"/>
                <w:bCs w:val="1"/>
                <w:color w:val="auto"/>
                <w:w w:val="92"/>
              </w:rPr>
              <w:t>December 31,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2022</w:t>
            </w: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208"/>
              <w:spacing w:after="0"/>
              <w:rPr>
                <w:sz w:val="20"/>
                <w:szCs w:val="20"/>
                <w:color w:val="auto"/>
              </w:rPr>
            </w:pPr>
            <w:r>
              <w:rPr>
                <w:rFonts w:ascii="Arial" w:cs="Arial" w:eastAsia="Arial" w:hAnsi="Arial"/>
                <w:sz w:val="14"/>
                <w:szCs w:val="14"/>
                <w:b w:val="1"/>
                <w:bCs w:val="1"/>
                <w:color w:val="auto"/>
                <w:w w:val="89"/>
              </w:rPr>
              <w:t>2022</w:t>
            </w:r>
          </w:p>
        </w:tc>
        <w:tc>
          <w:tcPr>
            <w:tcW w:w="1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4200" w:type="dxa"/>
            <w:vAlign w:val="bottom"/>
            <w:gridSpan w:val="2"/>
          </w:tcPr>
          <w:p>
            <w:pPr>
              <w:spacing w:after="0"/>
              <w:rPr>
                <w:sz w:val="20"/>
                <w:szCs w:val="20"/>
                <w:color w:val="auto"/>
              </w:rPr>
            </w:pPr>
            <w:r>
              <w:rPr>
                <w:rFonts w:ascii="Arial" w:cs="Arial" w:eastAsia="Arial" w:hAnsi="Arial"/>
                <w:sz w:val="14"/>
                <w:szCs w:val="14"/>
                <w:b w:val="1"/>
                <w:bCs w:val="1"/>
                <w:color w:val="auto"/>
              </w:rPr>
              <w:t>Tangible common equity</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4"/>
                <w:szCs w:val="14"/>
                <w:color w:val="auto"/>
              </w:rPr>
              <w:t>Total common stockholders’ equity</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357,014</w:t>
            </w:r>
          </w:p>
        </w:tc>
        <w:tc>
          <w:tcPr>
            <w:tcW w:w="180" w:type="dxa"/>
            <w:vAlign w:val="bottom"/>
            <w:shd w:val="clear" w:color="auto" w:fill="CCEEFF"/>
          </w:tcPr>
          <w:p>
            <w:pPr>
              <w:spacing w:after="0"/>
              <w:rPr>
                <w:sz w:val="15"/>
                <w:szCs w:val="15"/>
                <w:color w:val="auto"/>
              </w:rPr>
            </w:pPr>
          </w:p>
        </w:tc>
        <w:tc>
          <w:tcPr>
            <w:tcW w:w="160" w:type="dxa"/>
            <w:vAlign w:val="bottom"/>
            <w:tcBorders>
              <w:left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10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341,799</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$ 364,222</w:t>
            </w:r>
          </w:p>
        </w:tc>
        <w:tc>
          <w:tcPr>
            <w:tcW w:w="180" w:type="dxa"/>
            <w:vAlign w:val="bottom"/>
            <w:shd w:val="clear" w:color="auto" w:fill="CCEEFF"/>
          </w:tcPr>
          <w:p>
            <w:pPr>
              <w:spacing w:after="0"/>
              <w:rPr>
                <w:sz w:val="15"/>
                <w:szCs w:val="15"/>
                <w:color w:val="auto"/>
              </w:rPr>
            </w:pPr>
          </w:p>
        </w:tc>
        <w:tc>
          <w:tcPr>
            <w:tcW w:w="180" w:type="dxa"/>
            <w:vAlign w:val="bottom"/>
            <w:tcBorders>
              <w:left w:val="single" w:sz="8" w:color="CCEEFF"/>
            </w:tcBorders>
            <w:shd w:val="clear" w:color="auto" w:fill="CCEEFF"/>
          </w:tcPr>
          <w:p>
            <w:pPr>
              <w:jc w:val="right"/>
              <w:ind w:right="64"/>
              <w:spacing w:after="0"/>
              <w:rPr>
                <w:sz w:val="20"/>
                <w:szCs w:val="20"/>
                <w:color w:val="auto"/>
              </w:rPr>
            </w:pPr>
            <w:r>
              <w:rPr>
                <w:rFonts w:ascii="Arial" w:cs="Arial" w:eastAsia="Arial" w:hAnsi="Arial"/>
                <w:sz w:val="10"/>
                <w:szCs w:val="10"/>
                <w:color w:val="auto"/>
                <w:w w:val="71"/>
              </w:rPr>
              <w:t>$</w:t>
            </w: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$ 387,068</w:t>
            </w:r>
          </w:p>
        </w:tc>
        <w:tc>
          <w:tcPr>
            <w:tcW w:w="140" w:type="dxa"/>
            <w:vAlign w:val="bottom"/>
            <w:shd w:val="clear" w:color="auto" w:fill="CCEEFF"/>
          </w:tcPr>
          <w:p>
            <w:pPr>
              <w:spacing w:after="0"/>
              <w:rPr>
                <w:sz w:val="15"/>
                <w:szCs w:val="15"/>
                <w:color w:val="auto"/>
              </w:rPr>
            </w:pPr>
          </w:p>
        </w:tc>
        <w:tc>
          <w:tcPr>
            <w:tcW w:w="1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$ 407,427</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180" w:type="dxa"/>
            <w:vAlign w:val="bottom"/>
          </w:tcPr>
          <w:p>
            <w:pPr>
              <w:spacing w:after="0"/>
              <w:rPr>
                <w:sz w:val="20"/>
                <w:szCs w:val="20"/>
                <w:color w:val="auto"/>
              </w:rPr>
            </w:pPr>
            <w:r>
              <w:rPr>
                <w:rFonts w:ascii="Arial" w:cs="Arial" w:eastAsia="Arial" w:hAnsi="Arial"/>
                <w:sz w:val="14"/>
                <w:szCs w:val="14"/>
                <w:color w:val="auto"/>
              </w:rPr>
              <w:t>Less: goodwill and other intangibles</w:t>
            </w: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gridSpan w:val="2"/>
          </w:tcPr>
          <w:p>
            <w:pPr>
              <w:jc w:val="right"/>
              <w:spacing w:after="0"/>
              <w:rPr>
                <w:sz w:val="20"/>
                <w:szCs w:val="20"/>
                <w:color w:val="auto"/>
              </w:rPr>
            </w:pPr>
            <w:r>
              <w:rPr>
                <w:rFonts w:ascii="Arial" w:cs="Arial" w:eastAsia="Arial" w:hAnsi="Arial"/>
                <w:sz w:val="14"/>
                <w:szCs w:val="14"/>
                <w:color w:val="auto"/>
              </w:rPr>
              <w:t>(23,857)</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4"/>
                <w:szCs w:val="14"/>
                <w:color w:val="auto"/>
              </w:rPr>
              <w:t>(24,228)</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(24,620)</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4"/>
                <w:szCs w:val="14"/>
                <w:color w:val="auto"/>
              </w:rPr>
              <w:t>(25,011)</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4"/>
                <w:szCs w:val="14"/>
                <w:color w:val="auto"/>
              </w:rPr>
              <w:t>(25,403)</w:t>
            </w:r>
          </w:p>
        </w:tc>
        <w:tc>
          <w:tcPr>
            <w:tcW w:w="0" w:type="dxa"/>
            <w:vAlign w:val="bottom"/>
          </w:tcPr>
          <w:p>
            <w:pPr>
              <w:spacing w:after="0"/>
              <w:rPr>
                <w:sz w:val="1"/>
                <w:szCs w:val="1"/>
                <w:color w:val="auto"/>
              </w:rPr>
            </w:pPr>
          </w:p>
        </w:tc>
      </w:tr>
      <w:tr>
        <w:trPr>
          <w:trHeight w:val="172"/>
        </w:trPr>
        <w:tc>
          <w:tcPr>
            <w:tcW w:w="20" w:type="dxa"/>
            <w:vAlign w:val="bottom"/>
            <w:vMerge w:val="restart"/>
          </w:tcPr>
          <w:p>
            <w:pPr>
              <w:spacing w:after="0"/>
              <w:rPr>
                <w:sz w:val="14"/>
                <w:szCs w:val="14"/>
                <w:color w:val="auto"/>
              </w:rPr>
            </w:pPr>
          </w:p>
        </w:tc>
        <w:tc>
          <w:tcPr>
            <w:tcW w:w="4180" w:type="dxa"/>
            <w:vAlign w:val="bottom"/>
            <w:shd w:val="clear" w:color="auto" w:fill="CCEEFF"/>
          </w:tcPr>
          <w:p>
            <w:pPr>
              <w:spacing w:after="0"/>
              <w:rPr>
                <w:sz w:val="14"/>
                <w:szCs w:val="14"/>
                <w:color w:val="auto"/>
              </w:rPr>
            </w:pPr>
          </w:p>
        </w:tc>
        <w:tc>
          <w:tcPr>
            <w:tcW w:w="440" w:type="dxa"/>
            <w:vAlign w:val="bottom"/>
            <w:tcBorders>
              <w:right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040" w:type="dxa"/>
            <w:vAlign w:val="bottom"/>
            <w:tcBorders>
              <w:top w:val="single" w:sz="8" w:color="auto"/>
              <w:right w:val="single" w:sz="8" w:color="CCEEFF"/>
            </w:tcBorders>
            <w:gridSpan w:val="2"/>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0" w:type="dxa"/>
            <w:vAlign w:val="bottom"/>
            <w:tcBorders>
              <w:top w:val="single" w:sz="8" w:color="auto"/>
              <w:left w:val="single" w:sz="8" w:color="CCEEFF"/>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140" w:type="dxa"/>
            <w:vAlign w:val="bottom"/>
            <w:tcBorders>
              <w:right w:val="single" w:sz="8" w:color="CCEEFF"/>
            </w:tcBorders>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right w:val="single" w:sz="8" w:color="CCEEFF"/>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80" w:type="dxa"/>
            <w:vAlign w:val="bottom"/>
            <w:tcBorders>
              <w:top w:val="single" w:sz="8" w:color="auto"/>
              <w:left w:val="single" w:sz="8" w:color="CCEEFF"/>
            </w:tcBorders>
            <w:shd w:val="clear" w:color="auto" w:fill="CCEEFF"/>
          </w:tcPr>
          <w:p>
            <w:pPr>
              <w:spacing w:after="0"/>
              <w:rPr>
                <w:sz w:val="14"/>
                <w:szCs w:val="14"/>
                <w:color w:val="auto"/>
              </w:rPr>
            </w:pPr>
          </w:p>
        </w:tc>
        <w:tc>
          <w:tcPr>
            <w:tcW w:w="980" w:type="dxa"/>
            <w:vAlign w:val="bottom"/>
            <w:tcBorders>
              <w:top w:val="single" w:sz="8" w:color="auto"/>
              <w:right w:val="single" w:sz="8" w:color="CCEEFF"/>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tcBorders>
              <w:right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020" w:type="dxa"/>
            <w:vAlign w:val="bottom"/>
            <w:tcBorders>
              <w:top w:val="single" w:sz="8" w:color="auto"/>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4180" w:type="dxa"/>
            <w:vAlign w:val="bottom"/>
          </w:tcPr>
          <w:p>
            <w:pPr>
              <w:spacing w:after="0"/>
              <w:rPr>
                <w:sz w:val="20"/>
                <w:szCs w:val="20"/>
                <w:color w:val="auto"/>
              </w:rPr>
            </w:pPr>
            <w:r>
              <w:rPr>
                <w:rFonts w:ascii="Arial" w:cs="Arial" w:eastAsia="Arial" w:hAnsi="Arial"/>
                <w:sz w:val="14"/>
                <w:szCs w:val="14"/>
                <w:b w:val="1"/>
                <w:bCs w:val="1"/>
                <w:color w:val="auto"/>
              </w:rPr>
              <w:t>Tangible common equity</w:t>
            </w:r>
          </w:p>
        </w:tc>
        <w:tc>
          <w:tcPr>
            <w:tcW w:w="5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40"/>
              <w:spacing w:after="0"/>
              <w:rPr>
                <w:sz w:val="20"/>
                <w:szCs w:val="20"/>
                <w:color w:val="auto"/>
              </w:rPr>
            </w:pPr>
            <w:r>
              <w:rPr>
                <w:rFonts w:ascii="Arial" w:cs="Arial" w:eastAsia="Arial" w:hAnsi="Arial"/>
                <w:sz w:val="14"/>
                <w:szCs w:val="14"/>
                <w:color w:val="auto"/>
              </w:rPr>
              <w:t>333,157</w:t>
            </w:r>
          </w:p>
        </w:tc>
        <w:tc>
          <w:tcPr>
            <w:tcW w:w="180" w:type="dxa"/>
            <w:vAlign w:val="bottom"/>
          </w:tcPr>
          <w:p>
            <w:pPr>
              <w:spacing w:after="0"/>
              <w:rPr>
                <w:sz w:val="14"/>
                <w:szCs w:val="14"/>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317,571</w:t>
            </w:r>
          </w:p>
        </w:tc>
        <w:tc>
          <w:tcPr>
            <w:tcW w:w="3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$ 339,602</w:t>
            </w:r>
          </w:p>
        </w:tc>
        <w:tc>
          <w:tcPr>
            <w:tcW w:w="180" w:type="dxa"/>
            <w:vAlign w:val="bottom"/>
          </w:tcPr>
          <w:p>
            <w:pPr>
              <w:spacing w:after="0"/>
              <w:rPr>
                <w:sz w:val="14"/>
                <w:szCs w:val="14"/>
                <w:color w:val="auto"/>
              </w:rPr>
            </w:pPr>
          </w:p>
        </w:tc>
        <w:tc>
          <w:tcPr>
            <w:tcW w:w="180" w:type="dxa"/>
            <w:vAlign w:val="bottom"/>
          </w:tcPr>
          <w:p>
            <w:pPr>
              <w:jc w:val="right"/>
              <w:ind w:right="64"/>
              <w:spacing w:after="0"/>
              <w:rPr>
                <w:sz w:val="20"/>
                <w:szCs w:val="20"/>
                <w:color w:val="auto"/>
              </w:rPr>
            </w:pPr>
            <w:r>
              <w:rPr>
                <w:rFonts w:ascii="Arial" w:cs="Arial" w:eastAsia="Arial" w:hAnsi="Arial"/>
                <w:sz w:val="10"/>
                <w:szCs w:val="10"/>
                <w:color w:val="auto"/>
                <w:w w:val="71"/>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$ 362,057</w:t>
            </w:r>
          </w:p>
        </w:tc>
        <w:tc>
          <w:tcPr>
            <w:tcW w:w="140" w:type="dxa"/>
            <w:vAlign w:val="bottom"/>
          </w:tcPr>
          <w:p>
            <w:pPr>
              <w:spacing w:after="0"/>
              <w:rPr>
                <w:sz w:val="14"/>
                <w:szCs w:val="14"/>
                <w:color w:val="auto"/>
              </w:rPr>
            </w:pPr>
          </w:p>
        </w:tc>
        <w:tc>
          <w:tcPr>
            <w:tcW w:w="1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$ 382,024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20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vMerge w:val="restart"/>
          </w:tcPr>
          <w:p>
            <w:pPr>
              <w:spacing w:after="0"/>
              <w:rPr>
                <w:sz w:val="13"/>
                <w:szCs w:val="13"/>
                <w:color w:val="auto"/>
              </w:rPr>
            </w:pPr>
          </w:p>
        </w:tc>
        <w:tc>
          <w:tcPr>
            <w:tcW w:w="4180" w:type="dxa"/>
            <w:vAlign w:val="bottom"/>
            <w:shd w:val="clear" w:color="auto" w:fill="CCEEFF"/>
          </w:tcPr>
          <w:p>
            <w:pPr>
              <w:spacing w:after="0"/>
              <w:rPr>
                <w:sz w:val="13"/>
                <w:szCs w:val="13"/>
                <w:color w:val="auto"/>
              </w:rPr>
            </w:pPr>
          </w:p>
        </w:tc>
        <w:tc>
          <w:tcPr>
            <w:tcW w:w="440" w:type="dxa"/>
            <w:vAlign w:val="bottom"/>
            <w:tcBorders>
              <w:righ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40" w:type="dxa"/>
            <w:vAlign w:val="bottom"/>
            <w:tcBorders>
              <w:right w:val="single" w:sz="8" w:color="CCEEFF"/>
            </w:tcBorders>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60" w:type="dxa"/>
            <w:vAlign w:val="bottom"/>
            <w:tcBorders>
              <w:left w:val="single" w:sz="8" w:color="CCEEFF"/>
            </w:tcBorders>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40" w:type="dxa"/>
            <w:vAlign w:val="bottom"/>
            <w:tcBorders>
              <w:right w:val="single" w:sz="8" w:color="CCEEFF"/>
            </w:tcBorders>
            <w:shd w:val="clear" w:color="auto" w:fill="CCEEFF"/>
          </w:tcPr>
          <w:p>
            <w:pPr>
              <w:spacing w:after="0"/>
              <w:rPr>
                <w:sz w:val="13"/>
                <w:szCs w:val="13"/>
                <w:color w:val="auto"/>
              </w:rPr>
            </w:pPr>
          </w:p>
        </w:tc>
        <w:tc>
          <w:tcPr>
            <w:tcW w:w="160" w:type="dxa"/>
            <w:vAlign w:val="bottom"/>
            <w:tcBorders>
              <w:right w:val="single" w:sz="8" w:color="CCEEFF"/>
            </w:tcBorders>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60" w:type="dxa"/>
            <w:vAlign w:val="bottom"/>
            <w:tcBorders>
              <w:right w:val="single" w:sz="8" w:color="CCEEFF"/>
            </w:tcBorders>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80" w:type="dxa"/>
            <w:vAlign w:val="bottom"/>
            <w:tcBorders>
              <w:left w:val="single" w:sz="8" w:color="CCEEFF"/>
            </w:tcBorders>
            <w:shd w:val="clear" w:color="auto" w:fill="CCEEFF"/>
          </w:tcPr>
          <w:p>
            <w:pPr>
              <w:spacing w:after="0"/>
              <w:rPr>
                <w:sz w:val="13"/>
                <w:szCs w:val="13"/>
                <w:color w:val="auto"/>
              </w:rPr>
            </w:pPr>
          </w:p>
        </w:tc>
        <w:tc>
          <w:tcPr>
            <w:tcW w:w="980" w:type="dxa"/>
            <w:vAlign w:val="bottom"/>
            <w:tcBorders>
              <w:right w:val="single" w:sz="8" w:color="CCEEFF"/>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tcBorders>
              <w:righ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20" w:type="dxa"/>
            <w:vAlign w:val="bottom"/>
            <w:tcBorders>
              <w:righ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4180" w:type="dxa"/>
            <w:vAlign w:val="bottom"/>
          </w:tcPr>
          <w:p>
            <w:pPr>
              <w:spacing w:after="0"/>
              <w:rPr>
                <w:sz w:val="20"/>
                <w:szCs w:val="20"/>
                <w:color w:val="auto"/>
              </w:rPr>
            </w:pPr>
            <w:r>
              <w:rPr>
                <w:rFonts w:ascii="Arial" w:cs="Arial" w:eastAsia="Arial" w:hAnsi="Arial"/>
                <w:sz w:val="14"/>
                <w:szCs w:val="14"/>
                <w:b w:val="1"/>
                <w:bCs w:val="1"/>
                <w:color w:val="auto"/>
              </w:rPr>
              <w:t>Tangible assets</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4"/>
                <w:szCs w:val="14"/>
                <w:color w:val="auto"/>
              </w:rPr>
              <w:t>Total assets</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3,944,063</w:t>
            </w:r>
          </w:p>
        </w:tc>
        <w:tc>
          <w:tcPr>
            <w:tcW w:w="40" w:type="dxa"/>
            <w:vAlign w:val="bottom"/>
            <w:tcBorders>
              <w:right w:val="single" w:sz="8" w:color="CCEEFF"/>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0" w:type="dxa"/>
            <w:vAlign w:val="bottom"/>
            <w:tcBorders>
              <w:left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10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3,992,690</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$ 3,974,724</w:t>
            </w:r>
          </w:p>
        </w:tc>
        <w:tc>
          <w:tcPr>
            <w:tcW w:w="180" w:type="dxa"/>
            <w:vAlign w:val="bottom"/>
            <w:shd w:val="clear" w:color="auto" w:fill="CCEEFF"/>
          </w:tcPr>
          <w:p>
            <w:pPr>
              <w:spacing w:after="0"/>
              <w:rPr>
                <w:sz w:val="14"/>
                <w:szCs w:val="14"/>
                <w:color w:val="auto"/>
              </w:rPr>
            </w:pPr>
          </w:p>
        </w:tc>
        <w:tc>
          <w:tcPr>
            <w:tcW w:w="180" w:type="dxa"/>
            <w:vAlign w:val="bottom"/>
            <w:tcBorders>
              <w:left w:val="single" w:sz="8" w:color="CCEEFF"/>
            </w:tcBorders>
            <w:shd w:val="clear" w:color="auto" w:fill="CCEEFF"/>
          </w:tcPr>
          <w:p>
            <w:pPr>
              <w:jc w:val="right"/>
              <w:ind w:right="64"/>
              <w:spacing w:after="0"/>
              <w:rPr>
                <w:sz w:val="20"/>
                <w:szCs w:val="20"/>
                <w:color w:val="auto"/>
              </w:rPr>
            </w:pPr>
            <w:r>
              <w:rPr>
                <w:rFonts w:ascii="Arial" w:cs="Arial" w:eastAsia="Arial" w:hAnsi="Arial"/>
                <w:sz w:val="10"/>
                <w:szCs w:val="10"/>
                <w:color w:val="auto"/>
                <w:w w:val="71"/>
              </w:rPr>
              <w:t>$</w:t>
            </w: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$ 3,999,744</w:t>
            </w:r>
          </w:p>
        </w:tc>
        <w:tc>
          <w:tcPr>
            <w:tcW w:w="140" w:type="dxa"/>
            <w:vAlign w:val="bottom"/>
            <w:shd w:val="clear" w:color="auto" w:fill="CCEEFF"/>
          </w:tcPr>
          <w:p>
            <w:pPr>
              <w:spacing w:after="0"/>
              <w:rPr>
                <w:sz w:val="14"/>
                <w:szCs w:val="14"/>
                <w:color w:val="auto"/>
              </w:rPr>
            </w:pPr>
          </w:p>
        </w:tc>
        <w:tc>
          <w:tcPr>
            <w:tcW w:w="1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$ 3,901,855</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180" w:type="dxa"/>
            <w:vAlign w:val="bottom"/>
          </w:tcPr>
          <w:p>
            <w:pPr>
              <w:spacing w:after="0"/>
              <w:rPr>
                <w:sz w:val="20"/>
                <w:szCs w:val="20"/>
                <w:color w:val="auto"/>
              </w:rPr>
            </w:pPr>
            <w:r>
              <w:rPr>
                <w:rFonts w:ascii="Arial" w:cs="Arial" w:eastAsia="Arial" w:hAnsi="Arial"/>
                <w:sz w:val="14"/>
                <w:szCs w:val="14"/>
                <w:color w:val="auto"/>
              </w:rPr>
              <w:t>Less: goodwill and other intangibles</w:t>
            </w: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gridSpan w:val="2"/>
          </w:tcPr>
          <w:p>
            <w:pPr>
              <w:jc w:val="right"/>
              <w:spacing w:after="0"/>
              <w:rPr>
                <w:sz w:val="20"/>
                <w:szCs w:val="20"/>
                <w:color w:val="auto"/>
              </w:rPr>
            </w:pPr>
            <w:r>
              <w:rPr>
                <w:rFonts w:ascii="Arial" w:cs="Arial" w:eastAsia="Arial" w:hAnsi="Arial"/>
                <w:sz w:val="14"/>
                <w:szCs w:val="14"/>
                <w:color w:val="auto"/>
              </w:rPr>
              <w:t>(23,857)</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4"/>
                <w:szCs w:val="14"/>
                <w:color w:val="auto"/>
              </w:rPr>
              <w:t>(24,228)</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(24,620)</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4"/>
                <w:szCs w:val="14"/>
                <w:color w:val="auto"/>
              </w:rPr>
              <w:t>(25,011)</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4"/>
                <w:szCs w:val="14"/>
                <w:color w:val="auto"/>
              </w:rPr>
              <w:t>(25,403)</w:t>
            </w:r>
          </w:p>
        </w:tc>
        <w:tc>
          <w:tcPr>
            <w:tcW w:w="0" w:type="dxa"/>
            <w:vAlign w:val="bottom"/>
          </w:tcPr>
          <w:p>
            <w:pPr>
              <w:spacing w:after="0"/>
              <w:rPr>
                <w:sz w:val="1"/>
                <w:szCs w:val="1"/>
                <w:color w:val="auto"/>
              </w:rPr>
            </w:pPr>
          </w:p>
        </w:tc>
      </w:tr>
      <w:tr>
        <w:trPr>
          <w:trHeight w:val="172"/>
        </w:trPr>
        <w:tc>
          <w:tcPr>
            <w:tcW w:w="20" w:type="dxa"/>
            <w:vAlign w:val="bottom"/>
            <w:vMerge w:val="restart"/>
          </w:tcPr>
          <w:p>
            <w:pPr>
              <w:spacing w:after="0"/>
              <w:rPr>
                <w:sz w:val="14"/>
                <w:szCs w:val="14"/>
                <w:color w:val="auto"/>
              </w:rPr>
            </w:pPr>
          </w:p>
        </w:tc>
        <w:tc>
          <w:tcPr>
            <w:tcW w:w="4180" w:type="dxa"/>
            <w:vAlign w:val="bottom"/>
            <w:shd w:val="clear" w:color="auto" w:fill="CCEEFF"/>
          </w:tcPr>
          <w:p>
            <w:pPr>
              <w:spacing w:after="0"/>
              <w:rPr>
                <w:sz w:val="14"/>
                <w:szCs w:val="14"/>
                <w:color w:val="auto"/>
              </w:rPr>
            </w:pPr>
          </w:p>
        </w:tc>
        <w:tc>
          <w:tcPr>
            <w:tcW w:w="440" w:type="dxa"/>
            <w:vAlign w:val="bottom"/>
            <w:tcBorders>
              <w:right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spacing w:after="0"/>
              <w:rPr>
                <w:sz w:val="14"/>
                <w:szCs w:val="14"/>
                <w:color w:val="auto"/>
              </w:rPr>
            </w:pPr>
          </w:p>
        </w:tc>
        <w:tc>
          <w:tcPr>
            <w:tcW w:w="40" w:type="dxa"/>
            <w:vAlign w:val="bottom"/>
            <w:tcBorders>
              <w:right w:val="single" w:sz="8" w:color="CCEEFF"/>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0" w:type="dxa"/>
            <w:vAlign w:val="bottom"/>
            <w:tcBorders>
              <w:top w:val="single" w:sz="8" w:color="auto"/>
              <w:left w:val="single" w:sz="8" w:color="CCEEFF"/>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140" w:type="dxa"/>
            <w:vAlign w:val="bottom"/>
            <w:tcBorders>
              <w:right w:val="single" w:sz="8" w:color="CCEEFF"/>
            </w:tcBorders>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right w:val="single" w:sz="8" w:color="CCEEFF"/>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80" w:type="dxa"/>
            <w:vAlign w:val="bottom"/>
            <w:tcBorders>
              <w:top w:val="single" w:sz="8" w:color="auto"/>
              <w:left w:val="single" w:sz="8" w:color="CCEEFF"/>
            </w:tcBorders>
            <w:shd w:val="clear" w:color="auto" w:fill="CCEEFF"/>
          </w:tcPr>
          <w:p>
            <w:pPr>
              <w:spacing w:after="0"/>
              <w:rPr>
                <w:sz w:val="14"/>
                <w:szCs w:val="14"/>
                <w:color w:val="auto"/>
              </w:rPr>
            </w:pPr>
          </w:p>
        </w:tc>
        <w:tc>
          <w:tcPr>
            <w:tcW w:w="980" w:type="dxa"/>
            <w:vAlign w:val="bottom"/>
            <w:tcBorders>
              <w:top w:val="single" w:sz="8" w:color="auto"/>
              <w:right w:val="single" w:sz="8" w:color="CCEEFF"/>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tcBorders>
              <w:right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020" w:type="dxa"/>
            <w:vAlign w:val="bottom"/>
            <w:tcBorders>
              <w:top w:val="single" w:sz="8" w:color="auto"/>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4180" w:type="dxa"/>
            <w:vAlign w:val="bottom"/>
          </w:tcPr>
          <w:p>
            <w:pPr>
              <w:spacing w:after="0"/>
              <w:rPr>
                <w:sz w:val="20"/>
                <w:szCs w:val="20"/>
                <w:color w:val="auto"/>
              </w:rPr>
            </w:pPr>
            <w:r>
              <w:rPr>
                <w:rFonts w:ascii="Arial" w:cs="Arial" w:eastAsia="Arial" w:hAnsi="Arial"/>
                <w:sz w:val="14"/>
                <w:szCs w:val="14"/>
                <w:b w:val="1"/>
                <w:bCs w:val="1"/>
                <w:color w:val="auto"/>
              </w:rPr>
              <w:t>Tangible assets</w:t>
            </w:r>
          </w:p>
        </w:tc>
        <w:tc>
          <w:tcPr>
            <w:tcW w:w="5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3,920,206</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3,968,462</w:t>
            </w:r>
          </w:p>
        </w:tc>
        <w:tc>
          <w:tcPr>
            <w:tcW w:w="3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$ 3,950,104</w:t>
            </w:r>
          </w:p>
        </w:tc>
        <w:tc>
          <w:tcPr>
            <w:tcW w:w="180" w:type="dxa"/>
            <w:vAlign w:val="bottom"/>
          </w:tcPr>
          <w:p>
            <w:pPr>
              <w:spacing w:after="0"/>
              <w:rPr>
                <w:sz w:val="14"/>
                <w:szCs w:val="14"/>
                <w:color w:val="auto"/>
              </w:rPr>
            </w:pPr>
          </w:p>
        </w:tc>
        <w:tc>
          <w:tcPr>
            <w:tcW w:w="180" w:type="dxa"/>
            <w:vAlign w:val="bottom"/>
          </w:tcPr>
          <w:p>
            <w:pPr>
              <w:jc w:val="right"/>
              <w:ind w:right="64"/>
              <w:spacing w:after="0"/>
              <w:rPr>
                <w:sz w:val="20"/>
                <w:szCs w:val="20"/>
                <w:color w:val="auto"/>
              </w:rPr>
            </w:pPr>
            <w:r>
              <w:rPr>
                <w:rFonts w:ascii="Arial" w:cs="Arial" w:eastAsia="Arial" w:hAnsi="Arial"/>
                <w:sz w:val="10"/>
                <w:szCs w:val="10"/>
                <w:color w:val="auto"/>
                <w:w w:val="71"/>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$ 3,974,733</w:t>
            </w:r>
          </w:p>
        </w:tc>
        <w:tc>
          <w:tcPr>
            <w:tcW w:w="140" w:type="dxa"/>
            <w:vAlign w:val="bottom"/>
          </w:tcPr>
          <w:p>
            <w:pPr>
              <w:spacing w:after="0"/>
              <w:rPr>
                <w:sz w:val="14"/>
                <w:szCs w:val="14"/>
                <w:color w:val="auto"/>
              </w:rPr>
            </w:pPr>
          </w:p>
        </w:tc>
        <w:tc>
          <w:tcPr>
            <w:tcW w:w="1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$ 3,876,452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20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vMerge w:val="restart"/>
          </w:tcPr>
          <w:p>
            <w:pPr>
              <w:spacing w:after="0"/>
              <w:rPr>
                <w:sz w:val="13"/>
                <w:szCs w:val="13"/>
                <w:color w:val="auto"/>
              </w:rPr>
            </w:pPr>
          </w:p>
        </w:tc>
        <w:tc>
          <w:tcPr>
            <w:tcW w:w="4180" w:type="dxa"/>
            <w:vAlign w:val="bottom"/>
            <w:shd w:val="clear" w:color="auto" w:fill="CCEEFF"/>
          </w:tcPr>
          <w:p>
            <w:pPr>
              <w:spacing w:after="0"/>
              <w:rPr>
                <w:sz w:val="13"/>
                <w:szCs w:val="13"/>
                <w:color w:val="auto"/>
              </w:rPr>
            </w:pPr>
          </w:p>
        </w:tc>
        <w:tc>
          <w:tcPr>
            <w:tcW w:w="440" w:type="dxa"/>
            <w:vAlign w:val="bottom"/>
            <w:tcBorders>
              <w:righ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40" w:type="dxa"/>
            <w:vAlign w:val="bottom"/>
            <w:tcBorders>
              <w:right w:val="single" w:sz="8" w:color="CCEEFF"/>
            </w:tcBorders>
            <w:gridSpan w:val="2"/>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60" w:type="dxa"/>
            <w:vAlign w:val="bottom"/>
            <w:tcBorders>
              <w:left w:val="single" w:sz="8" w:color="CCEEFF"/>
            </w:tcBorders>
            <w:shd w:val="clear" w:color="auto" w:fill="CCEEFF"/>
          </w:tcPr>
          <w:p>
            <w:pPr>
              <w:spacing w:after="0"/>
              <w:rPr>
                <w:sz w:val="13"/>
                <w:szCs w:val="13"/>
                <w:color w:val="auto"/>
              </w:rPr>
            </w:pPr>
          </w:p>
        </w:tc>
        <w:tc>
          <w:tcPr>
            <w:tcW w:w="1100" w:type="dxa"/>
            <w:vAlign w:val="bottom"/>
            <w:tcBorders>
              <w:right w:val="single" w:sz="8" w:color="CCEEFF"/>
            </w:tcBorders>
            <w:gridSpan w:val="2"/>
            <w:shd w:val="clear" w:color="auto" w:fill="CCEEFF"/>
          </w:tcPr>
          <w:p>
            <w:pPr>
              <w:spacing w:after="0"/>
              <w:rPr>
                <w:sz w:val="13"/>
                <w:szCs w:val="13"/>
                <w:color w:val="auto"/>
              </w:rPr>
            </w:pPr>
          </w:p>
        </w:tc>
        <w:tc>
          <w:tcPr>
            <w:tcW w:w="160" w:type="dxa"/>
            <w:vAlign w:val="bottom"/>
            <w:tcBorders>
              <w:right w:val="single" w:sz="8" w:color="CCEEFF"/>
            </w:tcBorders>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60" w:type="dxa"/>
            <w:vAlign w:val="bottom"/>
            <w:tcBorders>
              <w:right w:val="single" w:sz="8" w:color="CCEEFF"/>
            </w:tcBorders>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80" w:type="dxa"/>
            <w:vAlign w:val="bottom"/>
            <w:tcBorders>
              <w:left w:val="single" w:sz="8" w:color="CCEEFF"/>
            </w:tcBorders>
            <w:shd w:val="clear" w:color="auto" w:fill="CCEEFF"/>
          </w:tcPr>
          <w:p>
            <w:pPr>
              <w:spacing w:after="0"/>
              <w:rPr>
                <w:sz w:val="13"/>
                <w:szCs w:val="13"/>
                <w:color w:val="auto"/>
              </w:rPr>
            </w:pPr>
          </w:p>
        </w:tc>
        <w:tc>
          <w:tcPr>
            <w:tcW w:w="980" w:type="dxa"/>
            <w:vAlign w:val="bottom"/>
            <w:tcBorders>
              <w:right w:val="single" w:sz="8" w:color="CCEEFF"/>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tcBorders>
              <w:righ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20" w:type="dxa"/>
            <w:vAlign w:val="bottom"/>
            <w:tcBorders>
              <w:righ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4180" w:type="dxa"/>
            <w:vAlign w:val="bottom"/>
          </w:tcPr>
          <w:p>
            <w:pPr>
              <w:spacing w:after="0"/>
              <w:rPr>
                <w:sz w:val="20"/>
                <w:szCs w:val="20"/>
                <w:color w:val="auto"/>
              </w:rPr>
            </w:pPr>
            <w:r>
              <w:rPr>
                <w:rFonts w:ascii="Arial" w:cs="Arial" w:eastAsia="Arial" w:hAnsi="Arial"/>
                <w:sz w:val="14"/>
                <w:szCs w:val="14"/>
                <w:color w:val="auto"/>
              </w:rPr>
              <w:t>Shares outstanding</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4"/>
                <w:szCs w:val="14"/>
                <w:color w:val="auto"/>
              </w:rPr>
              <w:t>17,027,197</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17,064,640</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17,417,094</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17,673,407</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17,760,243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20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vMerge w:val="restart"/>
          </w:tcPr>
          <w:p>
            <w:pPr>
              <w:spacing w:after="0"/>
              <w:rPr>
                <w:sz w:val="13"/>
                <w:szCs w:val="13"/>
                <w:color w:val="auto"/>
              </w:rPr>
            </w:pPr>
          </w:p>
        </w:tc>
        <w:tc>
          <w:tcPr>
            <w:tcW w:w="4180" w:type="dxa"/>
            <w:vAlign w:val="bottom"/>
            <w:shd w:val="clear" w:color="auto" w:fill="CCEEFF"/>
          </w:tcPr>
          <w:p>
            <w:pPr>
              <w:spacing w:after="0"/>
              <w:rPr>
                <w:sz w:val="13"/>
                <w:szCs w:val="13"/>
                <w:color w:val="auto"/>
              </w:rPr>
            </w:pPr>
          </w:p>
        </w:tc>
        <w:tc>
          <w:tcPr>
            <w:tcW w:w="440" w:type="dxa"/>
            <w:vAlign w:val="bottom"/>
            <w:tcBorders>
              <w:righ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20" w:type="dxa"/>
            <w:vAlign w:val="bottom"/>
            <w:gridSpan w:val="3"/>
            <w:shd w:val="clear" w:color="auto" w:fill="CCEEFF"/>
          </w:tcPr>
          <w:p>
            <w:pPr>
              <w:spacing w:after="0"/>
              <w:rPr>
                <w:sz w:val="13"/>
                <w:szCs w:val="13"/>
                <w:color w:val="auto"/>
              </w:rPr>
            </w:pPr>
          </w:p>
        </w:tc>
        <w:tc>
          <w:tcPr>
            <w:tcW w:w="160" w:type="dxa"/>
            <w:vAlign w:val="bottom"/>
            <w:tcBorders>
              <w:left w:val="single" w:sz="8" w:color="CCEEFF"/>
            </w:tcBorders>
            <w:shd w:val="clear" w:color="auto" w:fill="CCEEFF"/>
          </w:tcPr>
          <w:p>
            <w:pPr>
              <w:spacing w:after="0"/>
              <w:rPr>
                <w:sz w:val="13"/>
                <w:szCs w:val="13"/>
                <w:color w:val="auto"/>
              </w:rPr>
            </w:pPr>
          </w:p>
        </w:tc>
        <w:tc>
          <w:tcPr>
            <w:tcW w:w="1100" w:type="dxa"/>
            <w:vAlign w:val="bottom"/>
            <w:tcBorders>
              <w:right w:val="single" w:sz="8" w:color="CCEEFF"/>
            </w:tcBorders>
            <w:gridSpan w:val="2"/>
            <w:shd w:val="clear" w:color="auto" w:fill="CCEEFF"/>
          </w:tcPr>
          <w:p>
            <w:pPr>
              <w:spacing w:after="0"/>
              <w:rPr>
                <w:sz w:val="13"/>
                <w:szCs w:val="13"/>
                <w:color w:val="auto"/>
              </w:rPr>
            </w:pPr>
          </w:p>
        </w:tc>
        <w:tc>
          <w:tcPr>
            <w:tcW w:w="160" w:type="dxa"/>
            <w:vAlign w:val="bottom"/>
            <w:tcBorders>
              <w:right w:val="single" w:sz="8" w:color="CCEEFF"/>
            </w:tcBorders>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spacing w:after="0"/>
              <w:rPr>
                <w:sz w:val="13"/>
                <w:szCs w:val="13"/>
                <w:color w:val="auto"/>
              </w:rPr>
            </w:pPr>
          </w:p>
        </w:tc>
        <w:tc>
          <w:tcPr>
            <w:tcW w:w="180" w:type="dxa"/>
            <w:vAlign w:val="bottom"/>
            <w:tcBorders>
              <w:left w:val="single" w:sz="8" w:color="CCEEFF"/>
            </w:tcBorders>
            <w:shd w:val="clear" w:color="auto" w:fill="CCEEFF"/>
          </w:tcPr>
          <w:p>
            <w:pPr>
              <w:spacing w:after="0"/>
              <w:rPr>
                <w:sz w:val="13"/>
                <w:szCs w:val="13"/>
                <w:color w:val="auto"/>
              </w:rPr>
            </w:pPr>
          </w:p>
        </w:tc>
        <w:tc>
          <w:tcPr>
            <w:tcW w:w="1120" w:type="dxa"/>
            <w:vAlign w:val="bottom"/>
            <w:gridSpan w:val="2"/>
            <w:shd w:val="clear" w:color="auto" w:fill="CCEEFF"/>
          </w:tcPr>
          <w:p>
            <w:pPr>
              <w:spacing w:after="0"/>
              <w:rPr>
                <w:sz w:val="13"/>
                <w:szCs w:val="13"/>
                <w:color w:val="auto"/>
              </w:rPr>
            </w:pPr>
          </w:p>
        </w:tc>
        <w:tc>
          <w:tcPr>
            <w:tcW w:w="80" w:type="dxa"/>
            <w:vAlign w:val="bottom"/>
            <w:tcBorders>
              <w:righ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4180" w:type="dxa"/>
            <w:vAlign w:val="bottom"/>
          </w:tcPr>
          <w:p>
            <w:pPr>
              <w:spacing w:after="0"/>
              <w:rPr>
                <w:sz w:val="20"/>
                <w:szCs w:val="20"/>
                <w:color w:val="auto"/>
              </w:rPr>
            </w:pPr>
            <w:r>
              <w:rPr>
                <w:rFonts w:ascii="Arial" w:cs="Arial" w:eastAsia="Arial" w:hAnsi="Arial"/>
                <w:sz w:val="14"/>
                <w:szCs w:val="14"/>
                <w:color w:val="auto"/>
              </w:rPr>
              <w:t>Total stockholders’ equity to total assets</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3"/>
          </w:tcPr>
          <w:p>
            <w:pPr>
              <w:jc w:val="right"/>
              <w:ind w:right="120"/>
              <w:spacing w:after="0"/>
              <w:rPr>
                <w:sz w:val="20"/>
                <w:szCs w:val="20"/>
                <w:color w:val="auto"/>
              </w:rPr>
            </w:pPr>
            <w:r>
              <w:rPr>
                <w:rFonts w:ascii="Arial" w:cs="Arial" w:eastAsia="Arial" w:hAnsi="Arial"/>
                <w:sz w:val="14"/>
                <w:szCs w:val="14"/>
                <w:color w:val="auto"/>
              </w:rPr>
              <w:t>9.05%</w:t>
            </w:r>
          </w:p>
        </w:tc>
        <w:tc>
          <w:tcPr>
            <w:tcW w:w="160" w:type="dxa"/>
            <w:vAlign w:val="bottom"/>
          </w:tcPr>
          <w:p>
            <w:pPr>
              <w:spacing w:after="0"/>
              <w:rPr>
                <w:sz w:val="14"/>
                <w:szCs w:val="14"/>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4"/>
                <w:szCs w:val="14"/>
                <w:color w:val="auto"/>
              </w:rPr>
              <w:t>8.56%</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4"/>
                <w:szCs w:val="14"/>
                <w:color w:val="auto"/>
              </w:rPr>
              <w:t>9.16%</w:t>
            </w:r>
          </w:p>
        </w:tc>
        <w:tc>
          <w:tcPr>
            <w:tcW w:w="180" w:type="dxa"/>
            <w:vAlign w:val="bottom"/>
          </w:tcPr>
          <w:p>
            <w:pPr>
              <w:spacing w:after="0"/>
              <w:rPr>
                <w:sz w:val="14"/>
                <w:szCs w:val="14"/>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4"/>
                <w:szCs w:val="14"/>
                <w:color w:val="auto"/>
              </w:rPr>
              <w:t>9.68%</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right"/>
              <w:spacing w:after="0"/>
              <w:rPr>
                <w:sz w:val="20"/>
                <w:szCs w:val="20"/>
                <w:color w:val="auto"/>
              </w:rPr>
            </w:pPr>
            <w:r>
              <w:rPr>
                <w:rFonts w:ascii="Arial" w:cs="Arial" w:eastAsia="Arial" w:hAnsi="Arial"/>
                <w:sz w:val="14"/>
                <w:szCs w:val="14"/>
                <w:color w:val="auto"/>
              </w:rPr>
              <w:t>10.44%</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4"/>
                <w:szCs w:val="14"/>
                <w:color w:val="auto"/>
              </w:rPr>
              <w:t>Tangible common equity to tangible assets</w:t>
            </w:r>
          </w:p>
        </w:tc>
        <w:tc>
          <w:tcPr>
            <w:tcW w:w="44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2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8.50%</w:t>
            </w:r>
          </w:p>
        </w:tc>
        <w:tc>
          <w:tcPr>
            <w:tcW w:w="160" w:type="dxa"/>
            <w:vAlign w:val="bottom"/>
            <w:tcBorders>
              <w:left w:val="single" w:sz="8" w:color="CCEEFF"/>
            </w:tcBorders>
            <w:shd w:val="clear" w:color="auto" w:fill="CCEEFF"/>
          </w:tcPr>
          <w:p>
            <w:pPr>
              <w:spacing w:after="0"/>
              <w:rPr>
                <w:sz w:val="14"/>
                <w:szCs w:val="14"/>
                <w:color w:val="auto"/>
              </w:rPr>
            </w:pPr>
          </w:p>
        </w:tc>
        <w:tc>
          <w:tcPr>
            <w:tcW w:w="1100" w:type="dxa"/>
            <w:vAlign w:val="bottom"/>
            <w:tcBorders>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8.00%</w:t>
            </w:r>
          </w:p>
        </w:tc>
        <w:tc>
          <w:tcPr>
            <w:tcW w:w="160" w:type="dxa"/>
            <w:vAlign w:val="bottom"/>
            <w:tcBorders>
              <w:right w:val="single" w:sz="8" w:color="CCEEFF"/>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8.60%</w:t>
            </w:r>
          </w:p>
        </w:tc>
        <w:tc>
          <w:tcPr>
            <w:tcW w:w="180" w:type="dxa"/>
            <w:vAlign w:val="bottom"/>
            <w:tcBorders>
              <w:left w:val="single" w:sz="8" w:color="CCEEFF"/>
            </w:tcBorders>
            <w:shd w:val="clear" w:color="auto" w:fill="CCEEFF"/>
          </w:tcPr>
          <w:p>
            <w:pPr>
              <w:spacing w:after="0"/>
              <w:rPr>
                <w:sz w:val="14"/>
                <w:szCs w:val="14"/>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9.11%</w:t>
            </w:r>
          </w:p>
        </w:tc>
        <w:tc>
          <w:tcPr>
            <w:tcW w:w="8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9.85%</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180" w:type="dxa"/>
            <w:vAlign w:val="bottom"/>
          </w:tcPr>
          <w:p>
            <w:pPr>
              <w:spacing w:after="0"/>
              <w:rPr>
                <w:sz w:val="20"/>
                <w:szCs w:val="20"/>
                <w:color w:val="auto"/>
              </w:rPr>
            </w:pPr>
            <w:r>
              <w:rPr>
                <w:rFonts w:ascii="Arial" w:cs="Arial" w:eastAsia="Arial" w:hAnsi="Arial"/>
                <w:sz w:val="14"/>
                <w:szCs w:val="14"/>
                <w:color w:val="auto"/>
              </w:rPr>
              <w:t>Book value per share</w:t>
            </w:r>
          </w:p>
        </w:tc>
        <w:tc>
          <w:tcPr>
            <w:tcW w:w="5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40"/>
              <w:spacing w:after="0"/>
              <w:rPr>
                <w:sz w:val="20"/>
                <w:szCs w:val="20"/>
                <w:color w:val="auto"/>
              </w:rPr>
            </w:pPr>
            <w:r>
              <w:rPr>
                <w:rFonts w:ascii="Arial" w:cs="Arial" w:eastAsia="Arial" w:hAnsi="Arial"/>
                <w:sz w:val="14"/>
                <w:szCs w:val="14"/>
                <w:color w:val="auto"/>
              </w:rPr>
              <w:t>20.97</w:t>
            </w:r>
          </w:p>
        </w:tc>
        <w:tc>
          <w:tcPr>
            <w:tcW w:w="180" w:type="dxa"/>
            <w:vAlign w:val="bottom"/>
          </w:tcPr>
          <w:p>
            <w:pPr>
              <w:spacing w:after="0"/>
              <w:rPr>
                <w:sz w:val="14"/>
                <w:szCs w:val="14"/>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20.03</w:t>
            </w:r>
          </w:p>
        </w:tc>
        <w:tc>
          <w:tcPr>
            <w:tcW w:w="3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20.91</w:t>
            </w:r>
          </w:p>
        </w:tc>
        <w:tc>
          <w:tcPr>
            <w:tcW w:w="180" w:type="dxa"/>
            <w:vAlign w:val="bottom"/>
          </w:tcPr>
          <w:p>
            <w:pPr>
              <w:spacing w:after="0"/>
              <w:rPr>
                <w:sz w:val="14"/>
                <w:szCs w:val="14"/>
                <w:color w:val="auto"/>
              </w:rPr>
            </w:pPr>
          </w:p>
        </w:tc>
        <w:tc>
          <w:tcPr>
            <w:tcW w:w="180" w:type="dxa"/>
            <w:vAlign w:val="bottom"/>
          </w:tcPr>
          <w:p>
            <w:pPr>
              <w:jc w:val="right"/>
              <w:ind w:right="64"/>
              <w:spacing w:after="0"/>
              <w:rPr>
                <w:sz w:val="20"/>
                <w:szCs w:val="20"/>
                <w:color w:val="auto"/>
              </w:rPr>
            </w:pPr>
            <w:r>
              <w:rPr>
                <w:rFonts w:ascii="Arial" w:cs="Arial" w:eastAsia="Arial" w:hAnsi="Arial"/>
                <w:sz w:val="10"/>
                <w:szCs w:val="10"/>
                <w:color w:val="auto"/>
                <w:w w:val="71"/>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21.90</w:t>
            </w:r>
          </w:p>
        </w:tc>
        <w:tc>
          <w:tcPr>
            <w:tcW w:w="140" w:type="dxa"/>
            <w:vAlign w:val="bottom"/>
          </w:tcPr>
          <w:p>
            <w:pPr>
              <w:spacing w:after="0"/>
              <w:rPr>
                <w:sz w:val="14"/>
                <w:szCs w:val="14"/>
                <w:color w:val="auto"/>
              </w:rPr>
            </w:pPr>
          </w:p>
        </w:tc>
        <w:tc>
          <w:tcPr>
            <w:tcW w:w="1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22.94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4"/>
                <w:szCs w:val="14"/>
                <w:color w:val="auto"/>
              </w:rPr>
              <w:t>Tangible book value per share</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19.57</w:t>
            </w:r>
          </w:p>
        </w:tc>
        <w:tc>
          <w:tcPr>
            <w:tcW w:w="180" w:type="dxa"/>
            <w:vAlign w:val="bottom"/>
            <w:shd w:val="clear" w:color="auto" w:fill="CCEEFF"/>
          </w:tcPr>
          <w:p>
            <w:pPr>
              <w:spacing w:after="0"/>
              <w:rPr>
                <w:sz w:val="14"/>
                <w:szCs w:val="14"/>
                <w:color w:val="auto"/>
              </w:rPr>
            </w:pPr>
          </w:p>
        </w:tc>
        <w:tc>
          <w:tcPr>
            <w:tcW w:w="160" w:type="dxa"/>
            <w:vAlign w:val="bottom"/>
            <w:tcBorders>
              <w:left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10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18.61</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19.50</w:t>
            </w:r>
          </w:p>
        </w:tc>
        <w:tc>
          <w:tcPr>
            <w:tcW w:w="180" w:type="dxa"/>
            <w:vAlign w:val="bottom"/>
            <w:shd w:val="clear" w:color="auto" w:fill="CCEEFF"/>
          </w:tcPr>
          <w:p>
            <w:pPr>
              <w:spacing w:after="0"/>
              <w:rPr>
                <w:sz w:val="14"/>
                <w:szCs w:val="14"/>
                <w:color w:val="auto"/>
              </w:rPr>
            </w:pPr>
          </w:p>
        </w:tc>
        <w:tc>
          <w:tcPr>
            <w:tcW w:w="180" w:type="dxa"/>
            <w:vAlign w:val="bottom"/>
            <w:tcBorders>
              <w:left w:val="single" w:sz="8" w:color="CCEEFF"/>
            </w:tcBorders>
            <w:shd w:val="clear" w:color="auto" w:fill="CCEEFF"/>
          </w:tcPr>
          <w:p>
            <w:pPr>
              <w:jc w:val="right"/>
              <w:ind w:right="64"/>
              <w:spacing w:after="0"/>
              <w:rPr>
                <w:sz w:val="20"/>
                <w:szCs w:val="20"/>
                <w:color w:val="auto"/>
              </w:rPr>
            </w:pPr>
            <w:r>
              <w:rPr>
                <w:rFonts w:ascii="Arial" w:cs="Arial" w:eastAsia="Arial" w:hAnsi="Arial"/>
                <w:sz w:val="10"/>
                <w:szCs w:val="10"/>
                <w:color w:val="auto"/>
                <w:w w:val="71"/>
              </w:rPr>
              <w:t>$</w:t>
            </w: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20.49</w:t>
            </w:r>
          </w:p>
        </w:tc>
        <w:tc>
          <w:tcPr>
            <w:tcW w:w="140" w:type="dxa"/>
            <w:vAlign w:val="bottom"/>
            <w:shd w:val="clear" w:color="auto" w:fill="CCEEFF"/>
          </w:tcPr>
          <w:p>
            <w:pPr>
              <w:spacing w:after="0"/>
              <w:rPr>
                <w:sz w:val="14"/>
                <w:szCs w:val="14"/>
                <w:color w:val="auto"/>
              </w:rPr>
            </w:pPr>
          </w:p>
        </w:tc>
        <w:tc>
          <w:tcPr>
            <w:tcW w:w="1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21.51</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475"/>
        </w:trPr>
        <w:tc>
          <w:tcPr>
            <w:tcW w:w="20" w:type="dxa"/>
            <w:vAlign w:val="bottom"/>
          </w:tcPr>
          <w:p>
            <w:pPr>
              <w:spacing w:after="0"/>
              <w:rPr>
                <w:sz w:val="24"/>
                <w:szCs w:val="24"/>
                <w:color w:val="auto"/>
              </w:rPr>
            </w:pPr>
          </w:p>
        </w:tc>
        <w:tc>
          <w:tcPr>
            <w:tcW w:w="41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300" w:top="125" w:right="319" w:bottom="1440" w:gutter="0" w:footer="0" w:header="0"/>
        </w:sectPr>
      </w:pPr>
    </w:p>
    <w:bookmarkStart w:id="15" w:name="page16"/>
    <w:bookmarkEnd w:id="15"/>
    <w:p>
      <w:pPr>
        <w:ind w:left="9260"/>
        <w:spacing w:after="0"/>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60260" cy="273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0260" cy="27305"/>
                    </a:xfrm>
                    <a:prstGeom prst="rect">
                      <a:avLst/>
                    </a:prstGeom>
                    <a:noFill/>
                  </pic:spPr>
                </pic:pic>
              </a:graphicData>
            </a:graphic>
          </wp:anchor>
        </w:drawing>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-719455</wp:posOffset>
            </wp:positionH>
            <wp:positionV relativeFrom="paragraph">
              <wp:posOffset>151130</wp:posOffset>
            </wp:positionV>
            <wp:extent cx="7209790" cy="58070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09790" cy="5807075"/>
                    </a:xfrm>
                    <a:prstGeom prst="rect">
                      <a:avLst/>
                    </a:prstGeom>
                    <a:noFill/>
                  </pic:spPr>
                </pic:pic>
              </a:graphicData>
            </a:graphic>
          </wp:anchor>
        </w:drawing>
      </w:r>
    </w:p>
    <w:p>
      <w:pPr>
        <w:sectPr>
          <w:pgSz w:w="11900" w:h="16838" w:orient="portrait"/>
          <w:cols w:equalWidth="0" w:num="1">
            <w:col w:w="10140"/>
          </w:cols>
          <w:pgMar w:left="1440" w:top="246" w:right="319" w:bottom="1440"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209790" cy="58210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09790" cy="58210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209790" cy="58070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09790" cy="58070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209790" cy="580707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09790" cy="58070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209790" cy="580707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09790" cy="58070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209790" cy="580707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09790" cy="58070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5882640</wp:posOffset>
            </wp:positionV>
            <wp:extent cx="7160260" cy="1397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209790" cy="580707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09790" cy="58070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209790" cy="580707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09790" cy="58070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209790" cy="580707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09790" cy="58070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209790" cy="580707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09790" cy="58070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209790" cy="580707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09790" cy="58070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209790" cy="580707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09790" cy="58070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209790" cy="580707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09790" cy="58070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209790" cy="580707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09790" cy="58070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209790" cy="580707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09790" cy="58070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209790" cy="580707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09790" cy="58070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209790" cy="580707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09790" cy="58070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209790" cy="580707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09790" cy="58070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209790" cy="580707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09790" cy="58070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209790" cy="580707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09790" cy="58070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209790" cy="589597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09790" cy="589597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1)"/>
      <w:numFmt w:val="lowerLetter"/>
      <w:start w:val="4"/>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1)"/>
      <w:numFmt w:val="decimal"/>
      <w:start w:val="866"/>
    </w:lvl>
  </w:abstractNum>
  <w:abstractNum w:abstractNumId="5">
    <w:nsid w:val="2EB141F2"/>
    <w:multiLevelType w:val="hybridMultilevel"/>
    <w:lvl w:ilvl="0">
      <w:lvlJc w:val="left"/>
      <w:lvlText w:val="(%1)"/>
      <w:numFmt w:val="decimal"/>
      <w:start w:val="1"/>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2023-01-26T17:22:23Z</dcterms:created>
  <dcterms:modified xsi:type="dcterms:W3CDTF">2023-01-26T17:22:23Z</dcterms:modified>
</cp:coreProperties>
</file>