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44" w:lineRule="exact"/>
        <w:rPr>
          <w:sz w:val="24"/>
          <w:szCs w:val="24"/>
          <w:color w:val="auto"/>
        </w:rPr>
      </w:pPr>
    </w:p>
    <w:p>
      <w:pPr>
        <w:sectPr>
          <w:pgSz w:w="11900" w:h="16838" w:orient="portrait"/>
          <w:cols w:equalWidth="0" w:num="2">
            <w:col w:w="7200" w:space="720"/>
            <w:col w:w="3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 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1315000.00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16419362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2560" w:right="1300" w:hanging="2510"/>
        <w:spacing w:after="0"/>
        <w:rPr>
          <w:sz w:val="20"/>
          <w:szCs w:val="20"/>
          <w:color w:val="auto"/>
        </w:rPr>
      </w:pPr>
      <w:r>
        <w:rPr>
          <w:rFonts w:ascii="Times New Roman" w:cs="Times New Roman" w:eastAsia="Times New Roman" w:hAnsi="Times New Roman"/>
          <w:sz w:val="22"/>
          <w:szCs w:val="22"/>
          <w:color w:val="auto"/>
        </w:rPr>
        <w:t xml:space="preserve">Common Stock 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150000 03/11/2019 N/A result of a 29-for-1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stock dividend</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Curtis C. Griffith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2024-06-13T16:25:54Z</dcterms:created>
  <dcterms:modified xsi:type="dcterms:W3CDTF">2024-06-13T16:25:54Z</dcterms:modified>
</cp:coreProperties>
</file>